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00" w:lineRule="exact"/>
        <w:ind w:left="0" w:firstLine="0"/>
        <w:jc w:val="center"/>
        <w:textAlignment w:val="auto"/>
        <w:rPr>
          <w:rFonts w:hint="eastAsia" w:ascii="仿宋_GB2312" w:hAnsi="微软雅黑" w:eastAsia="仿宋_GB2312" w:cs="仿宋_GB2312"/>
          <w:b/>
          <w:bCs w:val="0"/>
          <w:i w:val="0"/>
          <w:caps w:val="0"/>
          <w:color w:val="000000"/>
          <w:spacing w:val="0"/>
          <w:sz w:val="30"/>
          <w:szCs w:val="30"/>
          <w:lang w:eastAsia="zh-CN"/>
        </w:rPr>
      </w:pPr>
      <w:r>
        <w:rPr>
          <w:rStyle w:val="8"/>
          <w:rFonts w:hint="eastAsia" w:ascii="仿宋_GB2312" w:hAnsi="仿宋_GB2312" w:eastAsia="仿宋_GB2312" w:cs="仿宋_GB2312"/>
          <w:b/>
          <w:bCs/>
          <w:i w:val="0"/>
          <w:caps w:val="0"/>
          <w:color w:val="000000"/>
          <w:spacing w:val="0"/>
          <w:sz w:val="30"/>
          <w:szCs w:val="30"/>
          <w:lang w:val="en-US" w:eastAsia="zh-CN"/>
        </w:rPr>
        <w:t>制液车间浸出净化工序消除安全隐患技术升级改造（二期）项目</w:t>
      </w:r>
      <w:r>
        <w:rPr>
          <w:rStyle w:val="8"/>
          <w:rFonts w:hint="eastAsia" w:ascii="仿宋_GB2312" w:hAnsi="仿宋_GB2312" w:eastAsia="仿宋_GB2312" w:cs="仿宋_GB2312"/>
          <w:i w:val="0"/>
          <w:caps w:val="0"/>
          <w:color w:val="000000"/>
          <w:spacing w:val="0"/>
          <w:sz w:val="30"/>
          <w:szCs w:val="30"/>
          <w:lang w:val="en-US" w:eastAsia="zh-CN"/>
        </w:rPr>
        <w:t>10kV干式变压器</w:t>
      </w:r>
      <w:r>
        <w:rPr>
          <w:rStyle w:val="8"/>
          <w:rFonts w:hint="eastAsia" w:ascii="仿宋_GB2312" w:hAnsi="仿宋_GB2312" w:eastAsia="仿宋_GB2312" w:cs="仿宋_GB2312"/>
          <w:i w:val="0"/>
          <w:caps w:val="0"/>
          <w:color w:val="000000"/>
          <w:spacing w:val="0"/>
          <w:sz w:val="30"/>
          <w:szCs w:val="30"/>
          <w:lang w:eastAsia="zh-CN"/>
        </w:rPr>
        <w:t>采购</w:t>
      </w:r>
      <w:r>
        <w:rPr>
          <w:rFonts w:hint="eastAsia" w:ascii="仿宋_GB2312" w:hAnsi="微软雅黑" w:eastAsia="仿宋_GB2312" w:cs="仿宋_GB2312"/>
          <w:b/>
          <w:bCs w:val="0"/>
          <w:i w:val="0"/>
          <w:caps w:val="0"/>
          <w:color w:val="000000"/>
          <w:spacing w:val="0"/>
          <w:sz w:val="30"/>
          <w:szCs w:val="30"/>
        </w:rPr>
        <w:t>报价</w:t>
      </w:r>
      <w:r>
        <w:rPr>
          <w:rFonts w:hint="eastAsia" w:ascii="仿宋_GB2312" w:hAnsi="微软雅黑" w:eastAsia="仿宋_GB2312" w:cs="仿宋_GB2312"/>
          <w:b/>
          <w:bCs w:val="0"/>
          <w:i w:val="0"/>
          <w:caps w:val="0"/>
          <w:color w:val="000000"/>
          <w:spacing w:val="0"/>
          <w:sz w:val="30"/>
          <w:szCs w:val="30"/>
          <w:lang w:eastAsia="zh-CN"/>
        </w:rPr>
        <w:t>单</w:t>
      </w:r>
    </w:p>
    <w:tbl>
      <w:tblPr>
        <w:tblStyle w:val="6"/>
        <w:tblW w:w="1493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20"/>
        <w:gridCol w:w="4631"/>
        <w:gridCol w:w="765"/>
        <w:gridCol w:w="1140"/>
        <w:gridCol w:w="1155"/>
        <w:gridCol w:w="1665"/>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序号</w:t>
            </w:r>
          </w:p>
        </w:tc>
        <w:tc>
          <w:tcPr>
            <w:tcW w:w="1020"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物资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名称</w:t>
            </w:r>
          </w:p>
        </w:tc>
        <w:tc>
          <w:tcPr>
            <w:tcW w:w="4631"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型号规格或技术要求</w:t>
            </w:r>
          </w:p>
        </w:tc>
        <w:tc>
          <w:tcPr>
            <w:tcW w:w="765"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数量</w:t>
            </w:r>
          </w:p>
        </w:tc>
        <w:tc>
          <w:tcPr>
            <w:tcW w:w="1140"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单价（元）</w:t>
            </w:r>
          </w:p>
        </w:tc>
        <w:tc>
          <w:tcPr>
            <w:tcW w:w="1155"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金额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（元）</w:t>
            </w:r>
          </w:p>
        </w:tc>
        <w:tc>
          <w:tcPr>
            <w:tcW w:w="1665"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生产厂家</w:t>
            </w:r>
          </w:p>
        </w:tc>
        <w:tc>
          <w:tcPr>
            <w:tcW w:w="4013"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rPr>
              <w:t>1</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rPr>
              <w:t>干式变压器</w:t>
            </w:r>
          </w:p>
        </w:tc>
        <w:tc>
          <w:tcPr>
            <w:tcW w:w="4631"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sz w:val="21"/>
                <w:szCs w:val="21"/>
              </w:rPr>
              <w:t>SCB1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200</w:t>
            </w:r>
            <w:r>
              <w:rPr>
                <w:rFonts w:hint="eastAsia" w:ascii="宋体" w:hAnsi="宋体" w:eastAsia="宋体" w:cs="宋体"/>
                <w:sz w:val="21"/>
                <w:szCs w:val="21"/>
              </w:rPr>
              <w:t xml:space="preserve">0/10 </w:t>
            </w:r>
            <w:r>
              <w:rPr>
                <w:rFonts w:hint="eastAsia" w:ascii="宋体" w:hAnsi="宋体" w:cs="宋体"/>
                <w:sz w:val="21"/>
                <w:szCs w:val="21"/>
                <w:lang w:val="en-US" w:eastAsia="zh-CN"/>
              </w:rPr>
              <w:t>200</w:t>
            </w:r>
            <w:r>
              <w:rPr>
                <w:rFonts w:hint="eastAsia" w:ascii="宋体" w:hAnsi="宋体" w:eastAsia="宋体" w:cs="宋体"/>
                <w:sz w:val="21"/>
                <w:szCs w:val="21"/>
              </w:rPr>
              <w:t xml:space="preserve">0KAV D.yn11,Uk=6%   </w:t>
            </w:r>
          </w:p>
          <w:p>
            <w:pPr>
              <w:keepNext w:val="0"/>
              <w:keepLines w:val="0"/>
              <w:pageBreakBefore w:val="0"/>
              <w:kinsoku/>
              <w:wordWrap/>
              <w:overflowPunct/>
              <w:topLinePunct w:val="0"/>
              <w:autoSpaceDE/>
              <w:autoSpaceDN/>
              <w:bidi w:val="0"/>
              <w:adjustRightInd/>
              <w:snapToGrid/>
              <w:spacing w:line="3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10±2X2.5%/0.4/0.23kV</w:t>
            </w:r>
            <w:r>
              <w:rPr>
                <w:rFonts w:hint="eastAsia" w:ascii="宋体" w:hAnsi="宋体" w:cs="宋体"/>
                <w:sz w:val="21"/>
                <w:szCs w:val="21"/>
                <w:lang w:val="en-US" w:eastAsia="zh-CN"/>
              </w:rPr>
              <w:t>,带485通讯</w:t>
            </w:r>
          </w:p>
          <w:p>
            <w:pPr>
              <w:pStyle w:val="2"/>
              <w:pageBreakBefore w:val="0"/>
              <w:kinsoku/>
              <w:wordWrap/>
              <w:overflowPunct/>
              <w:topLinePunct w:val="0"/>
              <w:autoSpaceDE/>
              <w:autoSpaceDN/>
              <w:bidi w:val="0"/>
              <w:snapToGrid/>
              <w:spacing w:before="0" w:after="0" w:line="300" w:lineRule="exact"/>
              <w:jc w:val="left"/>
              <w:rPr>
                <w:rFonts w:hint="eastAsia" w:ascii="宋体" w:hAnsi="宋体" w:eastAsia="宋体" w:cs="宋体"/>
                <w:sz w:val="21"/>
                <w:szCs w:val="21"/>
                <w:lang w:val="en-US" w:eastAsia="zh-CN"/>
              </w:rPr>
            </w:pPr>
            <w:r>
              <w:rPr>
                <w:rFonts w:hint="eastAsia" w:ascii="宋体" w:hAnsi="宋体" w:eastAsia="宋体" w:cs="宋体"/>
                <w:b/>
                <w:sz w:val="21"/>
                <w:szCs w:val="21"/>
                <w:lang w:eastAsia="zh-CN"/>
              </w:rPr>
              <w:t>应符合</w:t>
            </w:r>
            <w:r>
              <w:rPr>
                <w:rFonts w:hint="eastAsia" w:ascii="宋体" w:hAnsi="宋体" w:eastAsia="宋体" w:cs="宋体"/>
                <w:b/>
                <w:sz w:val="21"/>
                <w:szCs w:val="21"/>
                <w:lang w:val="en-US" w:eastAsia="zh-CN"/>
              </w:rPr>
              <w:t>GB20052-2020《电力变压器能效限定值及能效等级》对2级能效的要求；</w:t>
            </w:r>
          </w:p>
        </w:tc>
        <w:tc>
          <w:tcPr>
            <w:tcW w:w="7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aps w:val="0"/>
                <w:color w:val="000000"/>
                <w:spacing w:val="0"/>
                <w:sz w:val="24"/>
                <w:szCs w:val="24"/>
                <w:vertAlign w:val="baseline"/>
                <w:lang w:val="en-US" w:eastAsia="zh-CN"/>
              </w:rPr>
            </w:pPr>
            <w:r>
              <w:rPr>
                <w:rFonts w:hint="eastAsia" w:ascii="仿宋_GB2312" w:hAnsi="仿宋_GB2312" w:eastAsia="仿宋_GB2312" w:cs="仿宋_GB2312"/>
                <w:i w:val="0"/>
                <w:caps w:val="0"/>
                <w:color w:val="000000"/>
                <w:spacing w:val="0"/>
                <w:sz w:val="24"/>
                <w:szCs w:val="24"/>
                <w:vertAlign w:val="baseline"/>
                <w:lang w:val="en-US" w:eastAsia="zh-CN"/>
              </w:rPr>
              <w:t>2台</w:t>
            </w:r>
          </w:p>
        </w:tc>
        <w:tc>
          <w:tcPr>
            <w:tcW w:w="1140"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4"/>
                <w:szCs w:val="24"/>
                <w:vertAlign w:val="baseline"/>
                <w:lang w:val="en-US" w:eastAsia="zh-CN"/>
              </w:rPr>
            </w:pPr>
          </w:p>
        </w:tc>
        <w:tc>
          <w:tcPr>
            <w:tcW w:w="1155"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p>
        </w:tc>
        <w:tc>
          <w:tcPr>
            <w:tcW w:w="1665"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p>
        </w:tc>
        <w:tc>
          <w:tcPr>
            <w:tcW w:w="40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rPr>
              <w:t>进线方式：下进左出1台，下进右出1台。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aps w:val="0"/>
                <w:color w:val="000000"/>
                <w:spacing w:val="0"/>
                <w:sz w:val="21"/>
                <w:szCs w:val="21"/>
                <w:vertAlign w:val="baseline"/>
                <w:lang w:val="en-US" w:eastAsia="zh-CN"/>
              </w:rPr>
            </w:pPr>
            <w:r>
              <w:rPr>
                <w:rFonts w:hint="eastAsia" w:ascii="宋体" w:hAnsi="宋体" w:eastAsia="宋体" w:cs="宋体"/>
                <w:i w:val="0"/>
                <w:caps w:val="0"/>
                <w:color w:val="000000"/>
                <w:spacing w:val="0"/>
                <w:sz w:val="21"/>
                <w:szCs w:val="21"/>
                <w:vertAlign w:val="baseline"/>
                <w:lang w:val="en-US" w:eastAsia="zh-CN"/>
              </w:rPr>
              <w:t>合计</w:t>
            </w:r>
          </w:p>
        </w:tc>
        <w:tc>
          <w:tcPr>
            <w:tcW w:w="46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aps w:val="0"/>
                <w:color w:val="000000"/>
                <w:spacing w:val="0"/>
                <w:sz w:val="21"/>
                <w:szCs w:val="21"/>
                <w:vertAlign w:val="baseline"/>
                <w:lang w:val="en-US" w:eastAsia="zh-CN"/>
              </w:rPr>
            </w:pPr>
          </w:p>
        </w:tc>
        <w:tc>
          <w:tcPr>
            <w:tcW w:w="7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aps w:val="0"/>
                <w:color w:val="000000"/>
                <w:spacing w:val="0"/>
                <w:sz w:val="21"/>
                <w:szCs w:val="21"/>
                <w:vertAlign w:val="baseline"/>
                <w:lang w:val="en-US" w:eastAsia="zh-CN"/>
              </w:rPr>
            </w:pPr>
            <w:r>
              <w:rPr>
                <w:rFonts w:hint="eastAsia" w:ascii="宋体" w:hAnsi="宋体" w:cs="宋体"/>
                <w:i w:val="0"/>
                <w:caps w:val="0"/>
                <w:color w:val="000000"/>
                <w:spacing w:val="0"/>
                <w:sz w:val="21"/>
                <w:szCs w:val="21"/>
                <w:vertAlign w:val="baseline"/>
                <w:lang w:val="en-US" w:eastAsia="zh-CN"/>
              </w:rPr>
              <w:t>2台</w:t>
            </w:r>
          </w:p>
        </w:tc>
        <w:tc>
          <w:tcPr>
            <w:tcW w:w="1140"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p>
        </w:tc>
        <w:tc>
          <w:tcPr>
            <w:tcW w:w="1155"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p>
        </w:tc>
        <w:tc>
          <w:tcPr>
            <w:tcW w:w="1665"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p>
        </w:tc>
        <w:tc>
          <w:tcPr>
            <w:tcW w:w="4013"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i w:val="0"/>
                <w:caps w:val="0"/>
                <w:color w:val="00000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7"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Arial" w:eastAsia="楷体_GB2312" w:cs="Arial"/>
                <w:sz w:val="24"/>
                <w:szCs w:val="24"/>
                <w:lang w:eastAsia="zh-CN"/>
              </w:rPr>
            </w:pPr>
            <w:r>
              <w:rPr>
                <w:rFonts w:hint="eastAsia" w:ascii="楷体_GB2312" w:hAnsi="Arial" w:eastAsia="楷体_GB2312" w:cs="Arial"/>
                <w:sz w:val="24"/>
                <w:szCs w:val="24"/>
                <w:lang w:eastAsia="zh-CN"/>
              </w:rPr>
              <w:t>说明：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Arial" w:eastAsia="楷体_GB2312" w:cs="Arial"/>
                <w:sz w:val="24"/>
                <w:szCs w:val="24"/>
              </w:rPr>
            </w:pPr>
            <w:r>
              <w:rPr>
                <w:rFonts w:hint="eastAsia" w:ascii="楷体_GB2312" w:hAnsi="Arial" w:eastAsia="楷体_GB2312" w:cs="Arial"/>
                <w:b/>
                <w:bCs/>
                <w:sz w:val="24"/>
                <w:szCs w:val="24"/>
                <w:lang w:eastAsia="zh-CN"/>
              </w:rPr>
              <w:t>一、</w:t>
            </w:r>
            <w:r>
              <w:rPr>
                <w:rFonts w:hint="eastAsia" w:ascii="楷体_GB2312" w:hAnsi="Arial" w:eastAsia="楷体_GB2312" w:cs="Arial"/>
                <w:sz w:val="24"/>
                <w:szCs w:val="24"/>
              </w:rPr>
              <w:t>变压器外壳防护等级IP4X以上（带不锈钢外壳），外壳尺寸（宽*高*深=2200*2200*1600）轨距</w:t>
            </w:r>
            <w:r>
              <w:rPr>
                <w:rFonts w:hint="eastAsia" w:ascii="楷体_GB2312" w:hAnsi="Arial" w:eastAsia="楷体_GB2312" w:cs="Arial"/>
                <w:sz w:val="24"/>
                <w:szCs w:val="24"/>
                <w:lang w:val="en-US" w:eastAsia="zh-CN"/>
              </w:rPr>
              <w:t>107</w:t>
            </w:r>
            <w:r>
              <w:rPr>
                <w:rFonts w:hint="eastAsia" w:ascii="楷体_GB2312" w:hAnsi="Arial" w:eastAsia="楷体_GB2312" w:cs="Arial"/>
                <w:sz w:val="24"/>
                <w:szCs w:val="24"/>
              </w:rPr>
              <w:t>0mm，配电柜母排延伸200mm在变压器内完成与配电柜的母排连接（合同签订后需方提供配电柜详细母排尺寸，变压器厂家完成配电柜的母排连接，配套连接螺栓及附件）</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Arial" w:eastAsia="楷体_GB2312" w:cs="Arial"/>
                <w:b/>
                <w:bCs/>
                <w:sz w:val="24"/>
                <w:szCs w:val="24"/>
              </w:rPr>
            </w:pPr>
            <w:r>
              <w:rPr>
                <w:rFonts w:hint="eastAsia" w:ascii="楷体_GB2312" w:hAnsi="Arial" w:eastAsia="楷体_GB2312" w:cs="Arial"/>
                <w:b/>
                <w:bCs/>
                <w:sz w:val="24"/>
                <w:szCs w:val="24"/>
                <w:lang w:eastAsia="zh-CN"/>
              </w:rPr>
              <w:t>二</w:t>
            </w:r>
            <w:r>
              <w:rPr>
                <w:rFonts w:hint="eastAsia" w:ascii="楷体_GB2312" w:hAnsi="Arial" w:eastAsia="楷体_GB2312" w:cs="Arial"/>
                <w:b/>
                <w:bCs/>
                <w:sz w:val="24"/>
                <w:szCs w:val="24"/>
              </w:rPr>
              <w:t>、设备满足下列标准和规范</w:t>
            </w:r>
          </w:p>
          <w:p>
            <w:pPr>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楷体_GB2312" w:hAnsi="Arial" w:eastAsia="楷体_GB2312" w:cs="Arial"/>
                <w:sz w:val="24"/>
                <w:szCs w:val="24"/>
              </w:rPr>
            </w:pPr>
            <w:r>
              <w:rPr>
                <w:rFonts w:hint="eastAsia" w:ascii="楷体_GB2312" w:hAnsi="Arial" w:eastAsia="楷体_GB2312" w:cs="Arial"/>
                <w:sz w:val="24"/>
                <w:szCs w:val="24"/>
              </w:rPr>
              <w:t>GB1094.1～5-85《电力变压器》</w:t>
            </w:r>
          </w:p>
          <w:p>
            <w:pPr>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楷体_GB2312" w:hAnsi="Arial" w:eastAsia="楷体_GB2312" w:cs="Arial"/>
                <w:sz w:val="24"/>
                <w:szCs w:val="24"/>
              </w:rPr>
            </w:pPr>
            <w:r>
              <w:rPr>
                <w:rFonts w:hint="eastAsia" w:ascii="楷体_GB2312" w:hAnsi="Arial" w:eastAsia="楷体_GB2312" w:cs="Arial"/>
                <w:sz w:val="24"/>
                <w:szCs w:val="24"/>
              </w:rPr>
              <w:t>GB5275-85《变压器高压电器和套管的接线端子》：</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Arial" w:eastAsia="楷体_GB2312" w:cs="Arial"/>
                <w:b/>
                <w:bCs/>
                <w:sz w:val="24"/>
                <w:szCs w:val="24"/>
              </w:rPr>
            </w:pPr>
            <w:r>
              <w:rPr>
                <w:rFonts w:hint="eastAsia" w:ascii="楷体_GB2312" w:hAnsi="Arial" w:eastAsia="楷体_GB2312" w:cs="Arial"/>
                <w:b/>
                <w:bCs/>
                <w:sz w:val="24"/>
                <w:szCs w:val="24"/>
                <w:lang w:eastAsia="zh-CN"/>
              </w:rPr>
              <w:t>三</w:t>
            </w:r>
            <w:r>
              <w:rPr>
                <w:rFonts w:hint="eastAsia" w:ascii="楷体_GB2312" w:hAnsi="Arial" w:eastAsia="楷体_GB2312" w:cs="Arial"/>
                <w:b/>
                <w:bCs/>
                <w:sz w:val="24"/>
                <w:szCs w:val="24"/>
              </w:rPr>
              <w:t>、技术条件</w:t>
            </w:r>
          </w:p>
          <w:p>
            <w:pPr>
              <w:keepNext w:val="0"/>
              <w:keepLines w:val="0"/>
              <w:pageBreakBefore w:val="0"/>
              <w:widowControl w:val="0"/>
              <w:kinsoku/>
              <w:wordWrap/>
              <w:overflowPunct/>
              <w:topLinePunct w:val="0"/>
              <w:autoSpaceDE/>
              <w:autoSpaceDN/>
              <w:bidi w:val="0"/>
              <w:adjustRightInd/>
              <w:snapToGrid/>
              <w:spacing w:line="380" w:lineRule="exact"/>
              <w:ind w:left="780" w:leftChars="200" w:hanging="360" w:hangingChars="150"/>
              <w:textAlignment w:val="auto"/>
              <w:rPr>
                <w:rFonts w:hint="eastAsia" w:ascii="楷体_GB2312" w:hAnsi="Arial" w:eastAsia="楷体_GB2312" w:cs="Arial"/>
                <w:sz w:val="24"/>
                <w:szCs w:val="24"/>
              </w:rPr>
            </w:pPr>
            <w:r>
              <w:rPr>
                <w:rFonts w:hint="eastAsia" w:ascii="楷体_GB2312" w:hAnsi="Arial" w:eastAsia="楷体_GB2312" w:cs="Arial"/>
                <w:sz w:val="24"/>
                <w:szCs w:val="24"/>
              </w:rPr>
              <w:t>1、高压额定电压10KV,低压侧工作电压：400V。400V系统为中心点直接接地系统；电压比：10±2*2.5%/0.4KV；连接组别：D.yn11；绝缘等级：F极；最高温度：100℃，极限温度155℃；防护等级：IP20；冷却方式：AF；</w:t>
            </w:r>
            <w:r>
              <w:rPr>
                <w:rFonts w:ascii="楷体_GB2312" w:hAnsi="Arial" w:eastAsia="楷体_GB2312" w:cs="Arial"/>
                <w:sz w:val="24"/>
                <w:szCs w:val="24"/>
              </w:rPr>
              <w:t>传感元件断线报警，温控元件输出接点容量不小于10VA，</w:t>
            </w:r>
            <w:r>
              <w:rPr>
                <w:rFonts w:ascii="楷体_GB2312" w:hAnsi="Arial" w:eastAsia="楷体_GB2312" w:cs="Arial"/>
                <w:b/>
                <w:sz w:val="24"/>
                <w:szCs w:val="24"/>
              </w:rPr>
              <w:t>温控箱电源AC220V</w:t>
            </w:r>
            <w:r>
              <w:rPr>
                <w:rFonts w:hint="eastAsia" w:ascii="楷体_GB2312" w:hAnsi="Arial" w:eastAsia="楷体_GB2312" w:cs="Arial"/>
                <w:b/>
                <w:sz w:val="24"/>
                <w:szCs w:val="24"/>
              </w:rPr>
              <w:t>由变压器内部供电</w:t>
            </w:r>
            <w:r>
              <w:rPr>
                <w:rFonts w:hint="eastAsia" w:ascii="楷体_GB2312" w:hAnsi="Arial" w:eastAsia="楷体_GB2312" w:cs="Arial"/>
                <w:sz w:val="24"/>
                <w:szCs w:val="24"/>
              </w:rPr>
              <w:t>，便于检修,</w:t>
            </w:r>
            <w:r>
              <w:rPr>
                <w:rFonts w:ascii="楷体_GB2312" w:hAnsi="Arial" w:eastAsia="楷体_GB2312" w:cs="Arial"/>
                <w:sz w:val="24"/>
                <w:szCs w:val="24"/>
              </w:rPr>
              <w:t>风机能自启、自停</w:t>
            </w:r>
            <w:r>
              <w:rPr>
                <w:rFonts w:hint="eastAsia" w:ascii="楷体_GB2312" w:hAnsi="Arial" w:eastAsia="楷体_GB2312" w:cs="Arial"/>
                <w:sz w:val="24"/>
                <w:szCs w:val="24"/>
              </w:rPr>
              <w:t>；</w:t>
            </w:r>
            <w:r>
              <w:rPr>
                <w:rFonts w:ascii="楷体_GB2312" w:hAnsi="Arial" w:eastAsia="楷体_GB2312" w:cs="Arial"/>
                <w:sz w:val="24"/>
                <w:szCs w:val="24"/>
              </w:rPr>
              <w:t>干式变压器应带有温控</w:t>
            </w:r>
            <w:r>
              <w:rPr>
                <w:rFonts w:hint="eastAsia" w:ascii="楷体_GB2312" w:hAnsi="Arial" w:eastAsia="楷体_GB2312" w:cs="Arial"/>
                <w:sz w:val="24"/>
                <w:szCs w:val="24"/>
              </w:rPr>
              <w:t>器，温控器安装于变压器外壳低压侧正面，温控器内提供信号输出接点。温控器具备远传、失电永久记忆、故障自动检测及报警；变压器寿命不小于</w:t>
            </w:r>
            <w:r>
              <w:rPr>
                <w:rFonts w:ascii="楷体_GB2312" w:hAnsi="Arial" w:eastAsia="楷体_GB2312" w:cs="Arial"/>
                <w:sz w:val="24"/>
                <w:szCs w:val="24"/>
              </w:rPr>
              <w:t>30年</w:t>
            </w:r>
            <w:r>
              <w:rPr>
                <w:rFonts w:hint="eastAsia" w:ascii="楷体_GB2312" w:hAnsi="Arial" w:eastAsia="楷体_GB2312" w:cs="Arial"/>
                <w:sz w:val="24"/>
                <w:szCs w:val="24"/>
              </w:rPr>
              <w:t>；</w:t>
            </w:r>
            <w:r>
              <w:rPr>
                <w:rFonts w:ascii="楷体_GB2312" w:hAnsi="Arial" w:eastAsia="楷体_GB2312" w:cs="Arial"/>
                <w:sz w:val="24"/>
                <w:szCs w:val="24"/>
              </w:rPr>
              <w:t>外壳是自承式刚性结构，外壳钢板的厚度应满足国标和IEC的有关标准</w:t>
            </w:r>
            <w:r>
              <w:rPr>
                <w:rFonts w:hint="eastAsia" w:ascii="楷体_GB2312" w:hAnsi="Arial" w:eastAsia="楷体_GB2312" w:cs="Arial"/>
                <w:sz w:val="24"/>
                <w:szCs w:val="24"/>
              </w:rPr>
              <w:t>；</w:t>
            </w:r>
            <w:r>
              <w:rPr>
                <w:rFonts w:ascii="楷体_GB2312" w:hAnsi="Arial" w:eastAsia="楷体_GB2312" w:cs="Arial"/>
                <w:sz w:val="24"/>
                <w:szCs w:val="24"/>
              </w:rPr>
              <w:t>变压器外壳高度应与开关柜高度一致</w:t>
            </w:r>
            <w:r>
              <w:rPr>
                <w:rFonts w:hint="eastAsia" w:ascii="楷体_GB2312" w:hAnsi="Arial" w:eastAsia="楷体_GB2312" w:cs="Arial"/>
                <w:sz w:val="24"/>
                <w:szCs w:val="24"/>
              </w:rPr>
              <w:t>；外壳采用不锈钢钢板制成，钢板厚≥1.2mm，</w:t>
            </w:r>
            <w:r>
              <w:rPr>
                <w:rFonts w:hint="eastAsia" w:ascii="楷体_GB2312" w:hAnsi="Arial" w:eastAsia="楷体_GB2312" w:cs="Arial"/>
                <w:b/>
                <w:sz w:val="24"/>
                <w:szCs w:val="24"/>
              </w:rPr>
              <w:t>变压器外壳应把变压器自带支撑底座包裹在内</w:t>
            </w:r>
            <w:r>
              <w:rPr>
                <w:rFonts w:hint="eastAsia" w:ascii="楷体_GB2312" w:hAnsi="Arial" w:eastAsia="楷体_GB2312" w:cs="Arial"/>
                <w:sz w:val="24"/>
                <w:szCs w:val="24"/>
              </w:rPr>
              <w:t>；噪声水平：≤</w:t>
            </w:r>
            <w:r>
              <w:rPr>
                <w:rFonts w:ascii="楷体_GB2312" w:hAnsi="Arial" w:eastAsia="楷体_GB2312" w:cs="Arial"/>
                <w:sz w:val="24"/>
                <w:szCs w:val="24"/>
              </w:rPr>
              <w:t>5</w:t>
            </w:r>
            <w:r>
              <w:rPr>
                <w:rFonts w:hint="eastAsia" w:ascii="楷体_GB2312" w:hAnsi="Arial" w:eastAsia="楷体_GB2312" w:cs="Arial"/>
                <w:sz w:val="24"/>
                <w:szCs w:val="24"/>
              </w:rPr>
              <w:t>0</w:t>
            </w:r>
            <w:r>
              <w:rPr>
                <w:rFonts w:ascii="楷体_GB2312" w:hAnsi="Arial" w:eastAsia="楷体_GB2312" w:cs="Arial"/>
                <w:sz w:val="24"/>
                <w:szCs w:val="24"/>
              </w:rPr>
              <w:t>dB(在离外壳1m,高度为1.5m处测量)</w:t>
            </w:r>
            <w:r>
              <w:rPr>
                <w:rFonts w:hint="eastAsia" w:ascii="楷体_GB2312" w:hAnsi="Arial" w:eastAsia="楷体_GB2312" w:cs="Arial"/>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left="780" w:leftChars="200" w:hanging="360" w:hangingChars="150"/>
              <w:textAlignment w:val="auto"/>
              <w:rPr>
                <w:rFonts w:ascii="楷体_GB2312" w:hAnsi="Arial" w:eastAsia="楷体_GB2312" w:cs="Arial"/>
                <w:sz w:val="24"/>
                <w:szCs w:val="24"/>
              </w:rPr>
            </w:pPr>
            <w:r>
              <w:rPr>
                <w:rFonts w:hint="eastAsia" w:ascii="楷体_GB2312" w:hAnsi="Arial" w:eastAsia="楷体_GB2312" w:cs="Arial"/>
                <w:sz w:val="24"/>
                <w:szCs w:val="24"/>
              </w:rPr>
              <w:t>2、</w:t>
            </w:r>
            <w:r>
              <w:rPr>
                <w:rFonts w:ascii="楷体_GB2312" w:hAnsi="Arial" w:eastAsia="楷体_GB2312" w:cs="Arial"/>
                <w:sz w:val="24"/>
                <w:szCs w:val="24"/>
              </w:rPr>
              <w:t>变压器采用环氧树脂浇注式干式变压器，变压器工作环境的最高温度按40℃考虑。变压器采用低损耗铜芯变压器，其在使用环境条件下能满负荷长期运行，并有一定的过负荷能力。变压器外壳内高压侧应考虑设置固定电缆用的支架；低压侧应设置固定母线用的支柱绝缘子，并应满足短路时的动热稳定的要求。</w:t>
            </w:r>
          </w:p>
          <w:p>
            <w:pPr>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ascii="楷体_GB2312" w:hAnsi="Arial" w:eastAsia="楷体_GB2312" w:cs="Arial"/>
                <w:sz w:val="24"/>
                <w:szCs w:val="24"/>
              </w:rPr>
            </w:pPr>
            <w:r>
              <w:rPr>
                <w:rFonts w:hint="eastAsia" w:ascii="楷体_GB2312" w:hAnsi="Arial" w:eastAsia="楷体_GB2312" w:cs="Arial"/>
                <w:sz w:val="24"/>
                <w:szCs w:val="24"/>
              </w:rPr>
              <w:t>3、</w:t>
            </w:r>
            <w:r>
              <w:rPr>
                <w:rFonts w:ascii="楷体_GB2312" w:hAnsi="Arial" w:eastAsia="楷体_GB2312" w:cs="Arial"/>
                <w:sz w:val="24"/>
                <w:szCs w:val="24"/>
              </w:rPr>
              <w:t>变压器应能从两侧方便地与PC开关柜直接连接，其高低压侧出线应适应上、下两种方式。</w:t>
            </w:r>
          </w:p>
          <w:p>
            <w:pPr>
              <w:keepNext w:val="0"/>
              <w:keepLines w:val="0"/>
              <w:pageBreakBefore w:val="0"/>
              <w:widowControl w:val="0"/>
              <w:kinsoku/>
              <w:wordWrap/>
              <w:overflowPunct/>
              <w:topLinePunct w:val="0"/>
              <w:autoSpaceDE/>
              <w:autoSpaceDN/>
              <w:bidi w:val="0"/>
              <w:adjustRightInd/>
              <w:snapToGrid/>
              <w:spacing w:line="380" w:lineRule="exact"/>
              <w:ind w:left="780" w:leftChars="200" w:hanging="360" w:hangingChars="150"/>
              <w:textAlignment w:val="auto"/>
              <w:rPr>
                <w:rFonts w:ascii="楷体_GB2312" w:hAnsi="Arial" w:eastAsia="楷体_GB2312" w:cs="Arial"/>
                <w:sz w:val="24"/>
                <w:szCs w:val="24"/>
              </w:rPr>
            </w:pPr>
            <w:r>
              <w:rPr>
                <w:rFonts w:hint="eastAsia" w:ascii="楷体_GB2312" w:hAnsi="Arial" w:eastAsia="楷体_GB2312" w:cs="Arial"/>
                <w:sz w:val="24"/>
                <w:szCs w:val="24"/>
              </w:rPr>
              <w:t>4、</w:t>
            </w:r>
            <w:r>
              <w:rPr>
                <w:rFonts w:ascii="楷体_GB2312" w:hAnsi="Arial" w:eastAsia="楷体_GB2312" w:cs="Arial"/>
                <w:sz w:val="24"/>
                <w:szCs w:val="24"/>
              </w:rPr>
              <w:t>干式变压器的冷却方式为AN/AF（100%/150%）。变压器应装设带报警和跳闸的温控装置，并能自动启动风机系统进行冷却。信号接点耐压应不低于DC110V，接点容量不小于DC110V、5A。</w:t>
            </w:r>
          </w:p>
          <w:p>
            <w:pPr>
              <w:keepNext w:val="0"/>
              <w:keepLines w:val="0"/>
              <w:pageBreakBefore w:val="0"/>
              <w:widowControl w:val="0"/>
              <w:kinsoku/>
              <w:wordWrap/>
              <w:overflowPunct/>
              <w:topLinePunct w:val="0"/>
              <w:autoSpaceDE/>
              <w:autoSpaceDN/>
              <w:bidi w:val="0"/>
              <w:adjustRightInd/>
              <w:snapToGrid/>
              <w:spacing w:line="380" w:lineRule="exact"/>
              <w:ind w:left="780" w:leftChars="200" w:hanging="360" w:hangingChars="150"/>
              <w:textAlignment w:val="auto"/>
              <w:rPr>
                <w:rFonts w:ascii="楷体_GB2312" w:hAnsi="Arial" w:eastAsia="楷体_GB2312" w:cs="Arial"/>
                <w:sz w:val="24"/>
                <w:szCs w:val="24"/>
              </w:rPr>
            </w:pPr>
            <w:r>
              <w:rPr>
                <w:rFonts w:hint="eastAsia" w:ascii="楷体_GB2312" w:hAnsi="Arial" w:eastAsia="楷体_GB2312" w:cs="Arial"/>
                <w:sz w:val="24"/>
                <w:szCs w:val="24"/>
              </w:rPr>
              <w:t>5、</w:t>
            </w:r>
            <w:r>
              <w:rPr>
                <w:rFonts w:ascii="楷体_GB2312" w:hAnsi="Arial" w:eastAsia="楷体_GB2312" w:cs="Arial"/>
                <w:sz w:val="24"/>
                <w:szCs w:val="24"/>
              </w:rPr>
              <w:t>干式变压器都应具有就地三相线圈温度指示，温度表应为微处理式数字表（该表由制造厂装设在变压器外壳上）。干式变压器上的所有二次引入/引出线均应通过制造厂的端子接线盒。</w:t>
            </w:r>
          </w:p>
          <w:p>
            <w:pPr>
              <w:keepNext w:val="0"/>
              <w:keepLines w:val="0"/>
              <w:pageBreakBefore w:val="0"/>
              <w:widowControl w:val="0"/>
              <w:kinsoku/>
              <w:wordWrap/>
              <w:overflowPunct/>
              <w:topLinePunct w:val="0"/>
              <w:autoSpaceDE/>
              <w:autoSpaceDN/>
              <w:bidi w:val="0"/>
              <w:adjustRightInd/>
              <w:snapToGrid/>
              <w:spacing w:line="380" w:lineRule="exact"/>
              <w:ind w:left="780" w:leftChars="200" w:hanging="360" w:hangingChars="150"/>
              <w:textAlignment w:val="auto"/>
              <w:rPr>
                <w:rFonts w:ascii="楷体_GB2312" w:hAnsi="Arial" w:eastAsia="楷体_GB2312" w:cs="Arial"/>
                <w:sz w:val="24"/>
                <w:szCs w:val="24"/>
              </w:rPr>
            </w:pPr>
            <w:r>
              <w:rPr>
                <w:rFonts w:hint="eastAsia" w:ascii="楷体_GB2312" w:hAnsi="Arial" w:eastAsia="楷体_GB2312" w:cs="Arial"/>
                <w:sz w:val="24"/>
                <w:szCs w:val="24"/>
              </w:rPr>
              <w:t>6、</w:t>
            </w:r>
            <w:r>
              <w:rPr>
                <w:rFonts w:ascii="楷体_GB2312" w:hAnsi="Arial" w:eastAsia="楷体_GB2312" w:cs="Arial"/>
                <w:sz w:val="24"/>
                <w:szCs w:val="24"/>
              </w:rPr>
              <w:t>应尽量避免干式变压器在运行中出现的发热问题。干式变压器在运行中不可以打开柜门，并有闭锁功能。</w:t>
            </w:r>
          </w:p>
          <w:p>
            <w:pPr>
              <w:keepNext w:val="0"/>
              <w:keepLines w:val="0"/>
              <w:pageBreakBefore w:val="0"/>
              <w:widowControl w:val="0"/>
              <w:kinsoku/>
              <w:wordWrap/>
              <w:overflowPunct/>
              <w:topLinePunct w:val="0"/>
              <w:autoSpaceDE/>
              <w:autoSpaceDN/>
              <w:bidi w:val="0"/>
              <w:adjustRightInd/>
              <w:snapToGrid/>
              <w:spacing w:line="380" w:lineRule="exact"/>
              <w:ind w:left="780" w:leftChars="200" w:hanging="360" w:hangingChars="150"/>
              <w:textAlignment w:val="auto"/>
              <w:rPr>
                <w:rFonts w:hint="eastAsia" w:ascii="楷体_GB2312" w:hAnsi="Arial" w:eastAsia="楷体_GB2312" w:cs="Arial"/>
                <w:b/>
                <w:sz w:val="24"/>
                <w:szCs w:val="24"/>
              </w:rPr>
            </w:pPr>
            <w:r>
              <w:rPr>
                <w:rFonts w:hint="eastAsia" w:ascii="楷体_GB2312" w:hAnsi="Arial" w:eastAsia="楷体_GB2312" w:cs="Arial"/>
                <w:sz w:val="24"/>
                <w:szCs w:val="24"/>
              </w:rPr>
              <w:t>7、</w:t>
            </w:r>
            <w:r>
              <w:rPr>
                <w:rFonts w:ascii="楷体_GB2312" w:hAnsi="Arial" w:eastAsia="楷体_GB2312" w:cs="Arial"/>
                <w:sz w:val="24"/>
                <w:szCs w:val="24"/>
              </w:rPr>
              <w:t>干式变压器上安装一套温控装置，测温传感器采用Pt100铂电阻。温控器除显示三相绕组温度变化外，还应具有故障报警、超温声光报警、超温跳闸报警等控制功能及自动启、停风机功能和风机过载保护功能。报警和跳闸信号应接至DCS系统中，同时各提供一对接点至变压器综合保护测控装置。信号接点耐压应不低于DC110V，接点容量不小于DC 110V、5A。</w:t>
            </w:r>
            <w:r>
              <w:rPr>
                <w:rFonts w:ascii="楷体_GB2312" w:hAnsi="Arial" w:eastAsia="楷体_GB2312" w:cs="Arial"/>
                <w:b/>
                <w:sz w:val="24"/>
                <w:szCs w:val="24"/>
              </w:rPr>
              <w:t>温控装置还应能输出4～20mA温度信号,每相线圈输出一个4～20mA温度信号，供DCS使用。</w:t>
            </w:r>
          </w:p>
          <w:p>
            <w:pPr>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楷体_GB2312" w:hAnsi="Arial" w:eastAsia="楷体_GB2312" w:cs="Arial"/>
                <w:sz w:val="24"/>
                <w:szCs w:val="24"/>
              </w:rPr>
            </w:pPr>
            <w:r>
              <w:rPr>
                <w:rFonts w:hint="eastAsia" w:ascii="楷体_GB2312" w:hAnsi="Arial" w:eastAsia="楷体_GB2312" w:cs="Arial"/>
                <w:sz w:val="24"/>
                <w:szCs w:val="24"/>
              </w:rPr>
              <w:t>8、变压器需带高压带电显示器</w:t>
            </w:r>
          </w:p>
          <w:p>
            <w:pPr>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楷体_GB2312" w:hAnsi="Arial" w:eastAsia="楷体_GB2312" w:cs="Arial"/>
                <w:sz w:val="24"/>
                <w:szCs w:val="24"/>
              </w:rPr>
            </w:pPr>
            <w:r>
              <w:rPr>
                <w:rFonts w:hint="eastAsia" w:ascii="楷体_GB2312" w:hAnsi="Arial" w:eastAsia="楷体_GB2312" w:cs="Arial"/>
                <w:sz w:val="24"/>
                <w:szCs w:val="24"/>
              </w:rPr>
              <w:t>9、技术协议签订后提供配电柜侧进线母排图纸，在变压器内部完成母排连接。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Arial" w:eastAsia="楷体_GB2312" w:cs="Arial"/>
                <w:b/>
                <w:bCs/>
                <w:sz w:val="24"/>
                <w:szCs w:val="24"/>
              </w:rPr>
            </w:pPr>
            <w:r>
              <w:rPr>
                <w:rFonts w:hint="eastAsia" w:ascii="楷体_GB2312" w:hAnsi="Arial" w:eastAsia="楷体_GB2312" w:cs="Arial"/>
                <w:b/>
                <w:bCs/>
                <w:sz w:val="24"/>
                <w:szCs w:val="24"/>
                <w:lang w:eastAsia="zh-CN"/>
              </w:rPr>
              <w:t>四</w:t>
            </w:r>
            <w:r>
              <w:rPr>
                <w:rFonts w:hint="eastAsia" w:ascii="楷体_GB2312" w:hAnsi="Arial" w:eastAsia="楷体_GB2312" w:cs="Arial"/>
                <w:b/>
                <w:bCs/>
                <w:sz w:val="24"/>
                <w:szCs w:val="24"/>
              </w:rPr>
              <w:t>、卖方提出的图纸及资料</w:t>
            </w:r>
          </w:p>
          <w:p>
            <w:pPr>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楷体_GB2312" w:hAnsi="Arial" w:eastAsia="楷体_GB2312" w:cs="Arial"/>
                <w:sz w:val="24"/>
                <w:szCs w:val="24"/>
              </w:rPr>
            </w:pPr>
            <w:r>
              <w:rPr>
                <w:rFonts w:hint="eastAsia" w:ascii="楷体_GB2312" w:hAnsi="Arial" w:eastAsia="楷体_GB2312" w:cs="Arial"/>
                <w:sz w:val="24"/>
                <w:szCs w:val="24"/>
              </w:rPr>
              <w:t xml:space="preserve"> 1.总装配图。2.全部设备重量及部件单重，3.运输较大部件的重量及尺寸。4.设备材料清单。5.接地实验设备的说明及技术要求。6.备品备件及辅助设备清单。7.变压器内部安装接线图。8.变压器安装、运行、维护手册和资料。9.产品实验报告、检验报告、鉴定证书。温控箱内部接线图。</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Arial" w:eastAsia="楷体_GB2312" w:cs="Arial"/>
                <w:b/>
                <w:bCs/>
                <w:sz w:val="24"/>
                <w:szCs w:val="24"/>
              </w:rPr>
            </w:pPr>
            <w:r>
              <w:rPr>
                <w:rFonts w:hint="eastAsia" w:ascii="楷体_GB2312" w:hAnsi="Arial" w:eastAsia="楷体_GB2312" w:cs="Arial"/>
                <w:b/>
                <w:bCs/>
                <w:sz w:val="24"/>
                <w:szCs w:val="24"/>
                <w:lang w:eastAsia="zh-CN"/>
              </w:rPr>
              <w:t>五</w:t>
            </w:r>
            <w:r>
              <w:rPr>
                <w:rFonts w:hint="eastAsia" w:ascii="楷体_GB2312" w:hAnsi="Arial" w:eastAsia="楷体_GB2312" w:cs="Arial"/>
                <w:b/>
                <w:bCs/>
                <w:sz w:val="24"/>
                <w:szCs w:val="24"/>
              </w:rPr>
              <w:t>、技术文件：</w:t>
            </w:r>
          </w:p>
          <w:p>
            <w:pPr>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楷体_GB2312" w:hAnsi="Arial" w:eastAsia="楷体_GB2312" w:cs="Arial"/>
                <w:sz w:val="24"/>
                <w:szCs w:val="24"/>
              </w:rPr>
            </w:pPr>
            <w:r>
              <w:rPr>
                <w:rFonts w:hint="eastAsia" w:ascii="楷体_GB2312" w:hAnsi="Arial" w:eastAsia="楷体_GB2312" w:cs="Arial"/>
                <w:sz w:val="24"/>
                <w:szCs w:val="24"/>
              </w:rPr>
              <w:t>1.技术协议签订后7日内，提供甲方设计所需的相关技术文件(外形图、接线图、原理图等)。</w:t>
            </w:r>
          </w:p>
          <w:p>
            <w:pPr>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楷体_GB2312" w:hAnsi="Arial" w:eastAsia="楷体_GB2312" w:cs="Arial"/>
                <w:sz w:val="24"/>
                <w:szCs w:val="24"/>
              </w:rPr>
            </w:pPr>
            <w:r>
              <w:rPr>
                <w:rFonts w:hint="eastAsia" w:ascii="楷体_GB2312" w:hAnsi="Arial" w:eastAsia="楷体_GB2312" w:cs="Arial"/>
                <w:sz w:val="24"/>
                <w:szCs w:val="24"/>
              </w:rPr>
              <w:t>2.交货时,提供最终的设计图纸、安装图纸、检验报告、使用说明各一份，另提供图纸为Autocad电子版图纸。</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楷体_GB2312" w:hAnsi="Arial" w:eastAsia="楷体_GB2312" w:cs="Arial"/>
                <w:b/>
                <w:bCs/>
                <w:sz w:val="24"/>
                <w:szCs w:val="24"/>
              </w:rPr>
            </w:pPr>
            <w:r>
              <w:rPr>
                <w:rFonts w:hint="eastAsia" w:ascii="楷体_GB2312" w:hAnsi="Arial" w:eastAsia="楷体_GB2312" w:cs="Arial"/>
                <w:b/>
                <w:bCs/>
                <w:sz w:val="24"/>
                <w:szCs w:val="24"/>
                <w:lang w:eastAsia="zh-CN"/>
              </w:rPr>
              <w:t>六</w:t>
            </w:r>
            <w:r>
              <w:rPr>
                <w:rFonts w:hint="eastAsia" w:ascii="楷体_GB2312" w:hAnsi="Arial" w:eastAsia="楷体_GB2312" w:cs="Arial"/>
                <w:b/>
                <w:bCs/>
                <w:sz w:val="24"/>
                <w:szCs w:val="24"/>
              </w:rPr>
              <w:t>、当地气象条件：</w:t>
            </w:r>
          </w:p>
          <w:p>
            <w:pPr>
              <w:keepNext w:val="0"/>
              <w:keepLines w:val="0"/>
              <w:pageBreakBefore w:val="0"/>
              <w:widowControl w:val="0"/>
              <w:kinsoku/>
              <w:wordWrap/>
              <w:overflowPunct/>
              <w:topLinePunct w:val="0"/>
              <w:autoSpaceDE/>
              <w:autoSpaceDN/>
              <w:bidi w:val="0"/>
              <w:adjustRightInd/>
              <w:snapToGrid/>
              <w:spacing w:line="380" w:lineRule="exact"/>
              <w:ind w:left="420" w:leftChars="200"/>
              <w:textAlignment w:val="auto"/>
              <w:rPr>
                <w:rFonts w:hint="eastAsia" w:ascii="楷体_GB2312" w:hAnsi="Arial" w:eastAsia="楷体_GB2312" w:cs="Arial"/>
                <w:sz w:val="24"/>
                <w:szCs w:val="24"/>
              </w:rPr>
            </w:pPr>
            <w:r>
              <w:rPr>
                <w:rFonts w:hint="eastAsia" w:ascii="楷体_GB2312" w:hAnsi="Arial" w:eastAsia="楷体_GB2312" w:cs="Arial"/>
                <w:sz w:val="24"/>
                <w:szCs w:val="24"/>
              </w:rPr>
              <w:t>大气压力：93.06kPa ;当地平均气温：12.9℃，最高气温：39.8℃，最低气温：</w:t>
            </w:r>
            <w:r>
              <w:rPr>
                <w:rFonts w:ascii="楷体_GB2312" w:hAnsi="Arial" w:eastAsia="楷体_GB2312" w:cs="Arial"/>
                <w:sz w:val="24"/>
                <w:szCs w:val="24"/>
              </w:rPr>
              <w:t>-</w:t>
            </w:r>
            <w:r>
              <w:rPr>
                <w:rFonts w:hint="eastAsia" w:ascii="楷体_GB2312" w:hAnsi="Arial" w:eastAsia="楷体_GB2312" w:cs="Arial"/>
                <w:sz w:val="24"/>
                <w:szCs w:val="24"/>
              </w:rPr>
              <w:t>14.8℃；平均相对湿度：66%；</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宋体" w:hAnsi="宋体" w:eastAsia="宋体" w:cs="宋体"/>
                <w:i w:val="0"/>
                <w:caps w:val="0"/>
                <w:color w:val="000000"/>
                <w:spacing w:val="0"/>
                <w:sz w:val="21"/>
                <w:szCs w:val="21"/>
                <w:vertAlign w:val="baseline"/>
                <w:lang w:val="en-US" w:eastAsia="zh-CN"/>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00" w:lineRule="exact"/>
        <w:ind w:left="0" w:firstLine="562" w:firstLineChars="200"/>
        <w:jc w:val="left"/>
        <w:textAlignment w:val="auto"/>
        <w:rPr>
          <w:rFonts w:hint="eastAsia" w:ascii="仿宋_GB2312" w:hAnsi="微软雅黑" w:eastAsia="仿宋_GB2312" w:cs="仿宋_GB2312"/>
          <w:i w:val="0"/>
          <w:caps w:val="0"/>
          <w:color w:val="000000"/>
          <w:spacing w:val="0"/>
          <w:sz w:val="28"/>
          <w:szCs w:val="28"/>
          <w:lang w:val="en-US" w:eastAsia="zh-CN"/>
        </w:rPr>
      </w:pPr>
      <w:r>
        <w:rPr>
          <w:rFonts w:hint="eastAsia" w:ascii="仿宋_GB2312" w:hAnsi="微软雅黑" w:eastAsia="仿宋_GB2312" w:cs="仿宋_GB2312"/>
          <w:b/>
          <w:bCs/>
          <w:i w:val="0"/>
          <w:caps w:val="0"/>
          <w:color w:val="000000"/>
          <w:spacing w:val="0"/>
          <w:sz w:val="28"/>
          <w:szCs w:val="28"/>
          <w:lang w:val="en-US" w:eastAsia="zh-CN"/>
        </w:rPr>
        <w:t xml:space="preserve">报价单填写说明：  </w:t>
      </w:r>
      <w:r>
        <w:rPr>
          <w:rFonts w:hint="eastAsia" w:ascii="仿宋_GB2312" w:hAnsi="微软雅黑" w:eastAsia="仿宋_GB2312" w:cs="仿宋_GB2312"/>
          <w:i w:val="0"/>
          <w:caps w:val="0"/>
          <w:color w:val="000000"/>
          <w:spacing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b/>
          <w:i w:val="0"/>
          <w:color w:val="000000"/>
          <w:kern w:val="0"/>
          <w:sz w:val="28"/>
          <w:szCs w:val="28"/>
          <w:highlight w:val="none"/>
          <w:u w:val="none"/>
          <w:lang w:val="en-US" w:eastAsia="zh-CN" w:bidi="ar"/>
        </w:rPr>
      </w:pPr>
      <w:r>
        <w:rPr>
          <w:rFonts w:hint="eastAsia" w:ascii="仿宋_GB2312" w:hAnsi="仿宋_GB2312" w:eastAsia="仿宋_GB2312" w:cs="仿宋_GB2312"/>
          <w:i w:val="0"/>
          <w:color w:val="000000"/>
          <w:kern w:val="0"/>
          <w:sz w:val="28"/>
          <w:szCs w:val="28"/>
          <w:highlight w:val="none"/>
          <w:u w:val="none"/>
          <w:lang w:val="en-US" w:eastAsia="zh-CN" w:bidi="ar"/>
        </w:rPr>
        <w:t>1、填好的报价单由报价单位公司法定代表人或授权委托人签名并加盖公司公章，未加盖公章或没有签名的报价单为无效报价单。</w:t>
      </w:r>
      <w:r>
        <w:rPr>
          <w:rFonts w:hint="eastAsia" w:ascii="仿宋_GB2312" w:hAnsi="仿宋_GB2312" w:eastAsia="仿宋_GB2312" w:cs="仿宋_GB2312"/>
          <w:b/>
          <w:i w:val="0"/>
          <w:color w:val="000000"/>
          <w:kern w:val="0"/>
          <w:sz w:val="28"/>
          <w:szCs w:val="28"/>
          <w:highlight w:val="none"/>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b/>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highlight w:val="none"/>
          <w:u w:val="none"/>
          <w:lang w:val="en-US" w:eastAsia="zh-CN" w:bidi="ar"/>
        </w:rPr>
        <w:t>2、请报价单位认真阅读竞价书、报价单及报价单的备注及说明中的相关信息，凡因阅读不到位、理解有偏差造成的报价失误，由报价单位自行负责。</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i w:val="0"/>
          <w:color w:val="000000"/>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5060" w:firstLineChars="1800"/>
        <w:textAlignment w:val="auto"/>
        <w:rPr>
          <w:rFonts w:hint="eastAsia" w:ascii="仿宋_GB2312" w:hAnsi="仿宋_GB2312" w:eastAsia="仿宋_GB2312" w:cs="仿宋_GB2312"/>
          <w:b/>
          <w:i w:val="0"/>
          <w:color w:val="000000"/>
          <w:kern w:val="0"/>
          <w:sz w:val="28"/>
          <w:szCs w:val="28"/>
          <w:u w:val="none"/>
          <w:lang w:val="en-US" w:eastAsia="zh-CN" w:bidi="ar"/>
        </w:rPr>
      </w:pPr>
      <w:r>
        <w:rPr>
          <w:rFonts w:hint="eastAsia" w:ascii="仿宋_GB2312" w:hAnsi="仿宋_GB2312" w:eastAsia="仿宋_GB2312" w:cs="仿宋_GB2312"/>
          <w:b/>
          <w:i w:val="0"/>
          <w:color w:val="000000"/>
          <w:kern w:val="0"/>
          <w:sz w:val="28"/>
          <w:szCs w:val="28"/>
          <w:u w:val="none"/>
          <w:lang w:val="en-US" w:eastAsia="zh-CN" w:bidi="ar"/>
        </w:rPr>
        <w:t>法定代表人或委托代理人（签名）：</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5060" w:firstLineChars="1800"/>
        <w:textAlignment w:val="auto"/>
        <w:rPr>
          <w:rFonts w:hint="eastAsia" w:ascii="仿宋_GB2312" w:hAnsi="仿宋_GB2312" w:eastAsia="仿宋_GB2312" w:cs="仿宋_GB2312"/>
          <w:b/>
          <w:i w:val="0"/>
          <w:color w:val="000000"/>
          <w:kern w:val="0"/>
          <w:sz w:val="28"/>
          <w:szCs w:val="28"/>
          <w:u w:val="none"/>
          <w:lang w:val="en-US" w:eastAsia="zh-CN" w:bidi="ar"/>
        </w:rPr>
      </w:pPr>
      <w:r>
        <w:rPr>
          <w:rFonts w:hint="eastAsia" w:ascii="仿宋_GB2312" w:hAnsi="仿宋_GB2312" w:eastAsia="仿宋_GB2312" w:cs="仿宋_GB2312"/>
          <w:b/>
          <w:i w:val="0"/>
          <w:color w:val="000000"/>
          <w:kern w:val="0"/>
          <w:sz w:val="28"/>
          <w:szCs w:val="28"/>
          <w:u w:val="none"/>
          <w:lang w:val="en-US" w:eastAsia="zh-CN" w:bidi="ar"/>
        </w:rPr>
        <w:t>报价单位（章）：</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5060" w:firstLineChars="1800"/>
        <w:textAlignment w:val="auto"/>
        <w:rPr>
          <w:rFonts w:hint="eastAsia" w:ascii="仿宋_GB2312" w:hAnsi="仿宋_GB2312" w:eastAsia="仿宋_GB2312" w:cs="仿宋_GB2312"/>
          <w:b/>
          <w:i w:val="0"/>
          <w:color w:val="000000"/>
          <w:kern w:val="0"/>
          <w:sz w:val="28"/>
          <w:szCs w:val="28"/>
          <w:u w:val="none"/>
          <w:lang w:val="en-US" w:eastAsia="zh-CN" w:bidi="ar"/>
        </w:rPr>
        <w:sectPr>
          <w:pgSz w:w="16838" w:h="11906" w:orient="landscape"/>
          <w:pgMar w:top="1417" w:right="1134" w:bottom="1417" w:left="1134" w:header="851" w:footer="992" w:gutter="0"/>
          <w:pgNumType w:fmt="decimal"/>
          <w:cols w:space="720" w:num="1"/>
          <w:rtlGutter w:val="0"/>
          <w:docGrid w:type="lines" w:linePitch="312" w:charSpace="0"/>
        </w:sectPr>
      </w:pPr>
      <w:r>
        <w:rPr>
          <w:rFonts w:hint="eastAsia" w:ascii="仿宋_GB2312" w:hAnsi="仿宋_GB2312" w:eastAsia="仿宋_GB2312" w:cs="仿宋_GB2312"/>
          <w:b/>
          <w:i w:val="0"/>
          <w:color w:val="000000"/>
          <w:kern w:val="0"/>
          <w:sz w:val="28"/>
          <w:szCs w:val="28"/>
          <w:u w:val="none"/>
          <w:lang w:val="en-US" w:eastAsia="zh-CN" w:bidi="ar"/>
        </w:rPr>
        <w:t>报价日期：   年    月   日</w:t>
      </w:r>
    </w:p>
    <w:p>
      <w:pPr>
        <w:rPr>
          <w:rFonts w:hint="eastAsia" w:ascii="仿宋" w:hAnsi="仿宋" w:eastAsia="仿宋" w:cs="仿宋"/>
          <w:sz w:val="32"/>
          <w:szCs w:val="32"/>
        </w:rPr>
      </w:pPr>
      <w:bookmarkStart w:id="0" w:name="_GoBack"/>
      <w:bookmarkEnd w:id="0"/>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suff w:val="nothing"/>
      <w:lvlText w:val=""/>
      <w:lvlJc w:val="left"/>
    </w:lvl>
    <w:lvl w:ilvl="1" w:tentative="0">
      <w:start w:val="1"/>
      <w:numFmt w:val="none"/>
      <w:lvlText w:val=""/>
      <w:legacy w:legacy="1" w:legacySpace="0" w:legacyIndent="0"/>
      <w:lvlJc w:val="left"/>
    </w:lvl>
    <w:lvl w:ilvl="2" w:tentative="0">
      <w:start w:val="1"/>
      <w:numFmt w:val="none"/>
      <w:lvlText w:val=""/>
      <w:legacy w:legacy="1" w:legacySpace="0" w:legacyIndent="0"/>
      <w:lvlJc w:val="left"/>
    </w:lvl>
    <w:lvl w:ilvl="3" w:tentative="0">
      <w:start w:val="1"/>
      <w:numFmt w:val="none"/>
      <w:pStyle w:val="2"/>
      <w:lvlText w:val=""/>
      <w:legacy w:legacy="1" w:legacySpace="0" w:legacyIndent="0"/>
      <w:lvlJc w:val="left"/>
    </w:lvl>
    <w:lvl w:ilvl="4" w:tentative="0">
      <w:start w:val="1"/>
      <w:numFmt w:val="none"/>
      <w:lvlText w:val=""/>
      <w:legacy w:legacy="1" w:legacySpace="0" w:legacyIndent="0"/>
      <w:lvlJc w:val="left"/>
    </w:lvl>
    <w:lvl w:ilvl="5" w:tentative="0">
      <w:start w:val="1"/>
      <w:numFmt w:val="decimal"/>
      <w:lvlText w:val=".%6"/>
      <w:legacy w:legacy="1" w:legacySpace="144" w:legacyIndent="0"/>
      <w:lvlJc w:val="left"/>
    </w:lvl>
    <w:lvl w:ilvl="6" w:tentative="0">
      <w:start w:val="1"/>
      <w:numFmt w:val="decimal"/>
      <w:lvlText w:val=".%6.%7"/>
      <w:legacy w:legacy="1" w:legacySpace="144" w:legacyIndent="0"/>
      <w:lvlJc w:val="left"/>
    </w:lvl>
    <w:lvl w:ilvl="7" w:tentative="0">
      <w:start w:val="1"/>
      <w:numFmt w:val="decimal"/>
      <w:lvlText w:val=".%6.%7.%8"/>
      <w:legacy w:legacy="1" w:legacySpace="144" w:legacyIndent="0"/>
      <w:lvlJc w:val="left"/>
    </w:lvl>
    <w:lvl w:ilvl="8" w:tentative="0">
      <w:start w:val="1"/>
      <w:numFmt w:val="decimal"/>
      <w:lvlText w:val=".%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jI3ZWYwY2FkMmY4Mjc1MzFmZGViM2U0ZDQ4YmYifQ=="/>
  </w:docVars>
  <w:rsids>
    <w:rsidRoot w:val="1CC922B5"/>
    <w:rsid w:val="02722C66"/>
    <w:rsid w:val="06C81023"/>
    <w:rsid w:val="1CC922B5"/>
    <w:rsid w:val="2A217B53"/>
    <w:rsid w:val="76F00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adjustRightInd w:val="0"/>
      <w:spacing w:before="280" w:after="290" w:line="376" w:lineRule="atLeast"/>
      <w:textAlignment w:val="baseline"/>
      <w:outlineLvl w:val="3"/>
    </w:pPr>
    <w:rPr>
      <w:rFonts w:ascii="Arial" w:hAnsi="Arial"/>
      <w:b/>
      <w:spacing w:val="20"/>
      <w:kern w:val="0"/>
      <w:sz w:val="28"/>
      <w:szCs w:val="20"/>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20"/>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Char Char Char Char Char Char Char Char Char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模板.wpt</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2023-09-04T07:58:00Z</dcterms:created>
  <dc:creator>李晶</dc:creator>
  <cp:lastModifiedBy>李晶</cp:lastModifiedBy>
  <dcterms:modified xsi:type="dcterms:W3CDTF">2023-09-04T07:58:55Z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7A009C13AAFD467585141A6F9F06254F_11</vt:lpwstr>
  </property>
</Properties>
</file>