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渣处理</w:t>
      </w:r>
      <w:r>
        <w:rPr>
          <w:rStyle w:val="8"/>
          <w:rFonts w:hint="eastAsia" w:ascii="仿宋_GB2312" w:hAnsi="仿宋_GB2312" w:eastAsia="仿宋_GB2312" w:cs="仿宋_GB2312"/>
          <w:b/>
          <w:bCs/>
          <w:sz w:val="30"/>
          <w:szCs w:val="30"/>
        </w:rPr>
        <w:t>车间</w:t>
      </w:r>
      <w:r>
        <w:rPr>
          <w:rStyle w:val="8"/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二工区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变压器更换高压电气安装工程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eastAsia="zh-CN"/>
        </w:rPr>
        <w:t>报价单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eastAsia="zh-CN"/>
        </w:rPr>
        <w:t>一、报价单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942"/>
        <w:gridCol w:w="1015"/>
        <w:gridCol w:w="660"/>
        <w:gridCol w:w="1264"/>
        <w:gridCol w:w="1137"/>
        <w:gridCol w:w="1321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工程类别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项目总报价（元，含税）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税率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（%）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竞价人自报工期（日）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渣处理二工区变压器更换高压电气安装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电气安装工程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1套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二、预算书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报价单位根据《渣处理车间二工区变压器更换高压电气安装工程内容》，按照竞价书“八、竞价项目的承包方式和计算依据”的要求编制工程预算书，即执行定额为：《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vertAlign w:val="baseline"/>
          <w:lang w:val="en-US" w:eastAsia="zh-CN"/>
        </w:rPr>
        <w:t>陕西省安装工程消耗定额（2006）》（第二册：电气安装工程）、《陕西省安装工程价目表(2006)》等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工程预算书必须加盖报价单位公章（或预、结算章），否则无效。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预算书作为报价单的附件，其工程总造价与报价单上的项目总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vertAlign w:val="baseline"/>
          <w:lang w:val="en-US" w:eastAsia="zh-CN"/>
        </w:rPr>
        <w:t>报价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不一致时，以预算书的工程总造价为准。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报价单填写说明：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1、保价单位应首先编制工程预算书，再根据工程预算书填写报价单。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2、缺少预算书则报价无效；报价单中除备注栏外的其它3个栏目为必填栏目，有一栏未填写则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eastAsia="zh-CN"/>
        </w:rPr>
        <w:t>报价无效。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3、本报价单必须由报价单位公司法定代表人或授权委托人签名（或签章）并加盖公司公章。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28" w:firstLineChars="800"/>
        <w:jc w:val="left"/>
        <w:textAlignment w:val="auto"/>
        <w:rPr>
          <w:rFonts w:hint="eastAsia" w:ascii="仿宋" w:hAnsi="仿宋" w:eastAsia="仿宋" w:cs="仿宋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法定代表人或委托代理人（签名或签章）：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28" w:firstLineChars="800"/>
        <w:jc w:val="left"/>
        <w:textAlignment w:val="auto"/>
        <w:rPr>
          <w:rFonts w:hint="eastAsia" w:ascii="仿宋" w:hAnsi="仿宋" w:eastAsia="仿宋" w:cs="仿宋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报价单位（章）：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28" w:firstLineChars="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报价日期：   年    月   日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jI3ZWYwY2FkMmY4Mjc1MzFmZGViM2U0ZDQ4YmYifQ=="/>
  </w:docVars>
  <w:rsids>
    <w:rsidRoot w:val="042867E2"/>
    <w:rsid w:val="02722C66"/>
    <w:rsid w:val="042867E2"/>
    <w:rsid w:val="06C81023"/>
    <w:rsid w:val="2A217B53"/>
    <w:rsid w:val="73495B7D"/>
    <w:rsid w:val="76F00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2" w:lineRule="auto"/>
      <w:ind w:firstLine="49" w:firstLineChars="49"/>
      <w:outlineLvl w:val="2"/>
    </w:pPr>
    <w:rPr>
      <w:rFonts w:ascii="黑体" w:eastAsia="黑体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2024-02-21T06:38:00Z</dcterms:created>
  <dc:creator>李晶</dc:creator>
  <cp:lastModifiedBy>李晶</cp:lastModifiedBy>
  <dcterms:modified xsi:type="dcterms:W3CDTF">2024-02-21T06:38:31Z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DEAFCAE46392470389710974B6295656_11</vt:lpwstr>
  </property>
</Properties>
</file>