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outlineLvl w:val="0"/>
        <w:rPr>
          <w:rFonts w:ascii="宋体" w:hAnsi="宋体" w:eastAsia="宋体" w:cs="宋体"/>
          <w:spacing w:val="8"/>
          <w:sz w:val="31"/>
          <w:szCs w:val="31"/>
        </w:rPr>
      </w:pP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附件1：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</w:p>
    <w:p>
      <w:pPr>
        <w:spacing w:before="101" w:line="224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评审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办法</w:t>
      </w:r>
    </w:p>
    <w:p>
      <w:pPr>
        <w:spacing w:before="207" w:line="227" w:lineRule="auto"/>
        <w:ind w:left="4176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审办法前附表</w:t>
      </w:r>
    </w:p>
    <w:p>
      <w:pPr>
        <w:spacing w:line="71" w:lineRule="exact"/>
      </w:pPr>
    </w:p>
    <w:tbl>
      <w:tblPr>
        <w:tblStyle w:val="5"/>
        <w:tblW w:w="10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41"/>
        <w:gridCol w:w="1662"/>
        <w:gridCol w:w="6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8" w:type="dxa"/>
            <w:gridSpan w:val="2"/>
            <w:vAlign w:val="top"/>
          </w:tcPr>
          <w:p>
            <w:pPr>
              <w:spacing w:before="139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条款号</w:t>
            </w:r>
          </w:p>
        </w:tc>
        <w:tc>
          <w:tcPr>
            <w:tcW w:w="1662" w:type="dxa"/>
            <w:vAlign w:val="top"/>
          </w:tcPr>
          <w:p>
            <w:pPr>
              <w:spacing w:before="13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评审因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</w:t>
            </w:r>
          </w:p>
        </w:tc>
        <w:tc>
          <w:tcPr>
            <w:tcW w:w="6777" w:type="dxa"/>
            <w:vAlign w:val="top"/>
          </w:tcPr>
          <w:p>
            <w:pPr>
              <w:spacing w:before="140" w:line="228" w:lineRule="auto"/>
              <w:ind w:left="2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评审标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190" w:lineRule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position w:val="18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379" w:lineRule="auto"/>
              <w:ind w:left="167" w:right="15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审标准</w:t>
            </w:r>
          </w:p>
        </w:tc>
        <w:tc>
          <w:tcPr>
            <w:tcW w:w="166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业执照</w:t>
            </w:r>
          </w:p>
        </w:tc>
        <w:tc>
          <w:tcPr>
            <w:tcW w:w="6777" w:type="dxa"/>
            <w:vAlign w:val="top"/>
          </w:tcPr>
          <w:p>
            <w:pPr>
              <w:spacing w:before="140" w:line="401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0"/>
                <w:position w:val="14"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spacing w:val="-10"/>
                <w:position w:val="14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5"/>
                <w:position w:val="14"/>
                <w:sz w:val="20"/>
                <w:szCs w:val="20"/>
              </w:rPr>
              <w:t>具备独立法人资格，提供合法有效的营业执照；</w:t>
            </w:r>
          </w:p>
          <w:p>
            <w:pPr>
              <w:spacing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评审依据：以加盖公章的复印件为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要求</w:t>
            </w:r>
          </w:p>
        </w:tc>
        <w:tc>
          <w:tcPr>
            <w:tcW w:w="6777" w:type="dxa"/>
            <w:vAlign w:val="top"/>
          </w:tcPr>
          <w:p>
            <w:pPr>
              <w:spacing w:before="141" w:line="369" w:lineRule="auto"/>
              <w:ind w:left="116" w:righ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项目负责人应具备有效的注册一级造价工程师证书，须提供有效的造价相关证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书且在本单位注册；</w:t>
            </w:r>
          </w:p>
          <w:p>
            <w:pPr>
              <w:spacing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依据：以加盖公章的资料复印件为准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业信用</w:t>
            </w:r>
          </w:p>
        </w:tc>
        <w:tc>
          <w:tcPr>
            <w:tcW w:w="6777" w:type="dxa"/>
            <w:vAlign w:val="top"/>
          </w:tcPr>
          <w:p>
            <w:pPr>
              <w:spacing w:before="142" w:line="369" w:lineRule="auto"/>
              <w:ind w:left="119" w:right="90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在“信用中国”网站 (www.creditchina.gov.cn) 中未被列为重大税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收违法失信主体；也未被“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中国执行信息公开网”</w:t>
            </w:r>
          </w:p>
          <w:p>
            <w:pPr>
              <w:spacing w:before="2" w:line="369" w:lineRule="auto"/>
              <w:ind w:left="115" w:right="93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(</w:t>
            </w:r>
            <w:r>
              <w:fldChar w:fldCharType="begin"/>
            </w:r>
            <w:r>
              <w:instrText xml:space="preserve"> HYPERLINK "http://zxgk.court.gov.cn/shixin/"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http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://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zxgk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court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gov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cn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shixin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 列为失信被执行人；(被执行人包括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竞价单位、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法定代表人)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；</w:t>
            </w:r>
          </w:p>
          <w:p>
            <w:pPr>
              <w:spacing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审依据：以加盖公章的截图为准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业绩</w:t>
            </w:r>
          </w:p>
        </w:tc>
        <w:tc>
          <w:tcPr>
            <w:tcW w:w="6777" w:type="dxa"/>
            <w:vAlign w:val="top"/>
          </w:tcPr>
          <w:p>
            <w:pPr>
              <w:spacing w:before="142" w:line="370" w:lineRule="auto"/>
              <w:ind w:left="122" w:right="107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近五年(2019 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1 月 1 日至今) 承担过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有色冶炼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工程相关造价咨询业绩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至少一份)</w:t>
            </w:r>
          </w:p>
          <w:p>
            <w:pPr>
              <w:spacing w:line="226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评审依据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  <w:bookmarkStart w:id="0" w:name="_GoBack"/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以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万元以上的造价结算定案表或最高限价审核报告或预算审核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告等相关文件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及其对应的合同</w:t>
            </w:r>
            <w:bookmarkEnd w:id="0"/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(均为加盖公章复印件)为准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股、管理关系</w:t>
            </w:r>
          </w:p>
        </w:tc>
        <w:tc>
          <w:tcPr>
            <w:tcW w:w="6777" w:type="dxa"/>
            <w:vAlign w:val="top"/>
          </w:tcPr>
          <w:p>
            <w:pPr>
              <w:spacing w:before="144" w:line="369" w:lineRule="auto"/>
              <w:ind w:left="113" w:right="158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位负责人为同一人或者存在控股、管理关系的不同单位，不得参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加同一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竞价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项目投标。</w:t>
            </w:r>
          </w:p>
          <w:p>
            <w:pPr>
              <w:spacing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依据：以加盖公章的书面承诺为准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189" w:lineRule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position w:val="18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375" w:lineRule="auto"/>
              <w:ind w:left="113" w:righ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符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  <w:tc>
          <w:tcPr>
            <w:tcW w:w="1662" w:type="dxa"/>
            <w:vAlign w:val="top"/>
          </w:tcPr>
          <w:p>
            <w:pPr>
              <w:spacing w:before="146" w:line="228" w:lineRule="auto"/>
              <w:ind w:firstLine="220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6777" w:type="dxa"/>
            <w:vAlign w:val="top"/>
          </w:tcPr>
          <w:p>
            <w:pPr>
              <w:spacing w:before="14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与营业执照一致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before="65" w:line="378" w:lineRule="auto"/>
              <w:ind w:right="20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函签字盖章</w:t>
            </w:r>
          </w:p>
        </w:tc>
        <w:tc>
          <w:tcPr>
            <w:tcW w:w="6777" w:type="dxa"/>
            <w:vAlign w:val="top"/>
          </w:tcPr>
          <w:p>
            <w:pPr>
              <w:spacing w:before="145" w:line="369" w:lineRule="auto"/>
              <w:ind w:left="113" w:right="55"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由法定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表人或其委托代理人签字并加盖单位章。由法定代表人签字的，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法定代表人身份证明，由代理人签字的，应附授权委托书，身份证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授权委托书应符合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附件2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“投标文件格式”的要求。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230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报价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文件格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式</w:t>
            </w:r>
          </w:p>
        </w:tc>
        <w:tc>
          <w:tcPr>
            <w:tcW w:w="6777" w:type="dxa"/>
            <w:vAlign w:val="top"/>
          </w:tcPr>
          <w:p>
            <w:pPr>
              <w:spacing w:before="230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合“投标文件格式”的要求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170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报价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文件内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容</w:t>
            </w:r>
          </w:p>
        </w:tc>
        <w:tc>
          <w:tcPr>
            <w:tcW w:w="6777" w:type="dxa"/>
            <w:vAlign w:val="top"/>
          </w:tcPr>
          <w:p>
            <w:pPr>
              <w:spacing w:before="17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合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文件中的实质性要求和条件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229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保证金</w:t>
            </w:r>
          </w:p>
        </w:tc>
        <w:tc>
          <w:tcPr>
            <w:tcW w:w="6777" w:type="dxa"/>
            <w:vAlign w:val="top"/>
          </w:tcPr>
          <w:p>
            <w:pPr>
              <w:spacing w:before="18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竞价文件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230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效期</w:t>
            </w:r>
          </w:p>
        </w:tc>
        <w:tc>
          <w:tcPr>
            <w:tcW w:w="6777" w:type="dxa"/>
            <w:vAlign w:val="top"/>
          </w:tcPr>
          <w:p>
            <w:pPr>
              <w:spacing w:before="22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满足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文件中的规定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146" w:line="400" w:lineRule="exact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8"/>
                <w:position w:val="14"/>
                <w:sz w:val="20"/>
                <w:szCs w:val="20"/>
                <w:lang w:eastAsia="zh-CN"/>
              </w:rPr>
              <w:t>竞价</w:t>
            </w:r>
            <w:r>
              <w:rPr>
                <w:rFonts w:ascii="宋体" w:hAnsi="宋体" w:eastAsia="宋体" w:cs="宋体"/>
                <w:spacing w:val="8"/>
                <w:position w:val="14"/>
                <w:sz w:val="20"/>
                <w:szCs w:val="20"/>
              </w:rPr>
              <w:t>文件响</w:t>
            </w:r>
          </w:p>
          <w:p>
            <w:pPr>
              <w:spacing w:line="228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677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全面响应，不能有任何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竞价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人不能接受的附加条件</w:t>
            </w:r>
          </w:p>
        </w:tc>
      </w:tr>
    </w:tbl>
    <w:p>
      <w:pPr>
        <w:sectPr>
          <w:headerReference r:id="rId5" w:type="default"/>
          <w:footerReference r:id="rId6" w:type="default"/>
          <w:pgSz w:w="11906" w:h="16839"/>
          <w:pgMar w:top="1463" w:right="942" w:bottom="1463" w:left="941" w:header="0" w:footer="1166" w:gutter="0"/>
          <w:pgNumType w:fmt="decimal"/>
          <w:cols w:space="720" w:num="1"/>
        </w:sectPr>
      </w:pPr>
    </w:p>
    <w:p/>
    <w:p/>
    <w:tbl>
      <w:tblPr>
        <w:tblStyle w:val="5"/>
        <w:tblW w:w="10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41"/>
        <w:gridCol w:w="1662"/>
        <w:gridCol w:w="6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78" w:type="dxa"/>
            <w:gridSpan w:val="2"/>
            <w:vAlign w:val="top"/>
          </w:tcPr>
          <w:p>
            <w:pPr>
              <w:spacing w:before="165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条款号</w:t>
            </w:r>
          </w:p>
        </w:tc>
        <w:tc>
          <w:tcPr>
            <w:tcW w:w="1662" w:type="dxa"/>
            <w:vAlign w:val="top"/>
          </w:tcPr>
          <w:p>
            <w:pPr>
              <w:spacing w:before="165" w:line="228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条款内容</w:t>
            </w:r>
          </w:p>
        </w:tc>
        <w:tc>
          <w:tcPr>
            <w:tcW w:w="6777" w:type="dxa"/>
            <w:vAlign w:val="top"/>
          </w:tcPr>
          <w:p>
            <w:pPr>
              <w:spacing w:before="1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编列内容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78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53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62" w:type="dxa"/>
            <w:vAlign w:val="top"/>
          </w:tcPr>
          <w:p>
            <w:pPr>
              <w:spacing w:before="142" w:line="398" w:lineRule="exact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6"/>
                <w:position w:val="14"/>
                <w:sz w:val="20"/>
                <w:szCs w:val="20"/>
              </w:rPr>
              <w:t>值构成</w:t>
            </w:r>
          </w:p>
          <w:p>
            <w:pPr>
              <w:spacing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总分 100 分)</w:t>
            </w:r>
          </w:p>
        </w:tc>
        <w:tc>
          <w:tcPr>
            <w:tcW w:w="6777" w:type="dxa"/>
            <w:vAlign w:val="top"/>
          </w:tcPr>
          <w:p>
            <w:pPr>
              <w:spacing w:before="14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术部分：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0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</w:t>
            </w:r>
          </w:p>
          <w:p>
            <w:pPr>
              <w:spacing w:before="15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部分：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70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78" w:type="dxa"/>
            <w:gridSpan w:val="2"/>
            <w:vAlign w:val="top"/>
          </w:tcPr>
          <w:p>
            <w:pPr>
              <w:spacing w:before="198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条款号</w:t>
            </w:r>
          </w:p>
        </w:tc>
        <w:tc>
          <w:tcPr>
            <w:tcW w:w="1662" w:type="dxa"/>
            <w:vAlign w:val="top"/>
          </w:tcPr>
          <w:p>
            <w:pPr>
              <w:spacing w:before="198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</w:t>
            </w:r>
          </w:p>
        </w:tc>
        <w:tc>
          <w:tcPr>
            <w:tcW w:w="6777" w:type="dxa"/>
            <w:vAlign w:val="top"/>
          </w:tcPr>
          <w:p>
            <w:pPr>
              <w:spacing w:before="19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务部</w:t>
            </w:r>
          </w:p>
          <w:p>
            <w:pPr>
              <w:spacing w:before="154" w:line="379" w:lineRule="auto"/>
              <w:ind w:left="265" w:right="156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 (</w:t>
            </w:r>
            <w:r>
              <w:rPr>
                <w:rFonts w:hint="eastAsia" w:ascii="Times New Roman" w:hAnsi="Times New Roman" w:eastAsia="宋体" w:cs="Times New Roman"/>
                <w:spacing w:val="4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分)</w:t>
            </w:r>
          </w:p>
        </w:tc>
        <w:tc>
          <w:tcPr>
            <w:tcW w:w="166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价咨询</w:t>
            </w:r>
          </w:p>
          <w:p>
            <w:pPr>
              <w:spacing w:before="189" w:line="227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基本费费率</w:t>
            </w:r>
          </w:p>
          <w:p>
            <w:pPr>
              <w:spacing w:before="191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19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)</w:t>
            </w:r>
          </w:p>
        </w:tc>
        <w:tc>
          <w:tcPr>
            <w:tcW w:w="6777" w:type="dxa"/>
            <w:vAlign w:val="top"/>
          </w:tcPr>
          <w:p>
            <w:pPr>
              <w:spacing w:before="52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价咨询基本费费率报价 (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分) ：</w:t>
            </w:r>
          </w:p>
          <w:p>
            <w:pPr>
              <w:spacing w:before="66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费率限定：</w:t>
            </w:r>
            <w:r>
              <w:rPr>
                <w:rFonts w:hint="eastAsia" w:ascii="Times New Roman" w:hAnsi="Times New Roman" w:eastAsia="宋体" w:cs="Times New Roman"/>
                <w:spacing w:val="4"/>
                <w:sz w:val="20"/>
                <w:szCs w:val="20"/>
                <w:lang w:val="en-US" w:eastAsia="zh-CN"/>
              </w:rPr>
              <w:t>1.5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‰ ，超过此报价为无效报价，视为废标；</w:t>
            </w:r>
          </w:p>
          <w:p>
            <w:pPr>
              <w:spacing w:before="65" w:line="288" w:lineRule="auto"/>
              <w:ind w:left="111" w:right="107"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的最低报价为基准费率，投标报价等于基准价得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报价费率高于评标基准费率，每高 1%扣 0.5 分，扣完为止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  <w:u w:val="single" w:color="auto"/>
              </w:rPr>
              <w:t>报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:u w:val="single" w:color="auto"/>
              </w:rPr>
              <w:t>价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u w:val="single" w:color="auto"/>
              </w:rPr>
              <w:t>费率得分=3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u w:val="single" w:color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u w:val="single" w:color="auto"/>
              </w:rPr>
              <w:t>- (参与单位的报价基本费率-基准费率) /基准费率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u w:val="single" w:color="auto"/>
              </w:rPr>
              <w:t>*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>100*0.5</w:t>
            </w:r>
          </w:p>
          <w:p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报价得分计算结果保留两位小数，不足1%的按实际比例进行加减。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价咨询</w:t>
            </w:r>
          </w:p>
          <w:p>
            <w:pPr>
              <w:spacing w:before="188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成果费费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率</w:t>
            </w:r>
          </w:p>
          <w:p>
            <w:pPr>
              <w:spacing w:before="190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19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)</w:t>
            </w:r>
          </w:p>
        </w:tc>
        <w:tc>
          <w:tcPr>
            <w:tcW w:w="6777" w:type="dxa"/>
            <w:vAlign w:val="top"/>
          </w:tcPr>
          <w:p>
            <w:pPr>
              <w:spacing w:before="53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价咨询成果费费率报价 (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分) ：</w:t>
            </w:r>
          </w:p>
          <w:p>
            <w:pPr>
              <w:spacing w:before="29" w:line="281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 最高费率限定：</w:t>
            </w:r>
            <w:r>
              <w:rPr>
                <w:rFonts w:hint="eastAsia" w:ascii="Times New Roman" w:hAnsi="Times New Roman" w:eastAsia="宋体" w:cs="Times New Roman"/>
                <w:spacing w:val="6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 xml:space="preserve">%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，超过此报价为无效报价，视为废标；</w:t>
            </w:r>
          </w:p>
          <w:p>
            <w:pPr>
              <w:spacing w:before="68" w:line="288" w:lineRule="auto"/>
              <w:ind w:left="111" w:right="107"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的最低报价为基准费率，投标报价等于基准价得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报价费率高于评标基准费率，每高 1%扣 0.5 分，扣完为止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  <w:u w:val="single" w:color="auto"/>
              </w:rPr>
              <w:t>报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:u w:val="single" w:color="auto"/>
              </w:rPr>
              <w:t>价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u w:val="single" w:color="auto"/>
              </w:rPr>
              <w:t>费率得分=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  <w:u w:val="single" w:color="auto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15"/>
                <w:sz w:val="20"/>
                <w:szCs w:val="20"/>
                <w:u w:val="single" w:color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u w:val="single" w:color="auto"/>
              </w:rPr>
              <w:t>- (参与单位的报价基本费率-基准费率) /基准费率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u w:val="single" w:color="auto"/>
              </w:rPr>
              <w:t>*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>100*0.5</w:t>
            </w:r>
          </w:p>
          <w:p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报价得分计算结果保留两位小数，不足1%的按实际比例进行加减。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</w:trPr>
        <w:tc>
          <w:tcPr>
            <w:tcW w:w="63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401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65" w:line="401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65" w:line="401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65" w:line="401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65" w:line="401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2.2</w:t>
            </w:r>
          </w:p>
        </w:tc>
        <w:tc>
          <w:tcPr>
            <w:tcW w:w="94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369" w:lineRule="auto"/>
              <w:ind w:left="159" w:right="15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术评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分标准</w:t>
            </w:r>
          </w:p>
          <w:p>
            <w:pPr>
              <w:spacing w:line="400" w:lineRule="exact"/>
              <w:ind w:left="273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34"/>
                <w:position w:val="14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pacing w:val="33"/>
                <w:position w:val="14"/>
                <w:sz w:val="20"/>
                <w:szCs w:val="20"/>
                <w:lang w:val="en-US" w:eastAsia="zh-CN"/>
              </w:rPr>
              <w:t>30</w:t>
            </w:r>
          </w:p>
          <w:p>
            <w:pPr>
              <w:spacing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分)</w:t>
            </w:r>
          </w:p>
        </w:tc>
        <w:tc>
          <w:tcPr>
            <w:tcW w:w="16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411" w:lineRule="auto"/>
              <w:ind w:left="113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要 负 责 人 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格 及 人 员配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备 (0-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分</w:t>
            </w:r>
            <w:r>
              <w:rPr>
                <w:rFonts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6777" w:type="dxa"/>
            <w:vAlign w:val="top"/>
          </w:tcPr>
          <w:p>
            <w:pPr>
              <w:spacing w:before="175" w:line="406" w:lineRule="auto"/>
              <w:ind w:left="112" w:right="55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员要求：所有配备人员均需提供有效的社保证明并加盖公司公章，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如未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供的不计算得分；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配备的专职从事工程造价专业工作人员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须提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相关证件原件备查。合同周期内配备人员不得随意变更，项目负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责人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需调整，必须征求建设单位业务负责部门同意后方可变更，否则视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为放弃被委托项目。</w:t>
            </w:r>
          </w:p>
          <w:p>
            <w:pPr>
              <w:spacing w:before="1" w:line="406" w:lineRule="auto"/>
              <w:ind w:left="113" w:right="107" w:firstLine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项目负责人：①具有工程或工程经济类高级专业技术职称，不满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得分，满足得 </w:t>
            </w:r>
            <w:r>
              <w:rPr>
                <w:rFonts w:hint="eastAsia" w:ascii="Times New Roman" w:hAnsi="Times New Roman" w:eastAsia="宋体" w:cs="Times New Roman"/>
                <w:spacing w:val="4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分；②从事工程造价专业工作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10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年及以上，不满足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不得分，满足得 </w:t>
            </w:r>
            <w:r>
              <w:rPr>
                <w:rFonts w:hint="eastAsia" w:ascii="Times New Roman" w:hAnsi="Times New Roman" w:eastAsia="宋体" w:cs="Times New Roman"/>
                <w:spacing w:val="8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分；③项目负责人为国家注册一级造价工程师资格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持证执业年限高于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年(含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年)得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分；持证执业年限为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3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年~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分，低于三年不得分。</w:t>
            </w:r>
          </w:p>
          <w:p>
            <w:pPr>
              <w:spacing w:line="406" w:lineRule="auto"/>
              <w:ind w:left="113" w:right="107" w:firstLine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专职从事工程造价专业工作的人员。其中：①持有一级或二级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价师证的人员：配备人员为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人得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分；每少一人扣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0.4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分。②工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或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工程经济系列中级 (含) 以上专业技术职称且取得造价工程师注册证</w:t>
            </w:r>
          </w:p>
          <w:p>
            <w:pPr>
              <w:spacing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人员：若为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人得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分，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人以下不得分。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63" w:right="942" w:bottom="1463" w:left="941" w:header="0" w:footer="1166" w:gutter="0"/>
          <w:pgNumType w:fmt="decimal"/>
          <w:cols w:space="720" w:num="1"/>
        </w:sectPr>
      </w:pPr>
    </w:p>
    <w:p>
      <w:pPr>
        <w:spacing w:line="74" w:lineRule="exact"/>
      </w:pPr>
    </w:p>
    <w:tbl>
      <w:tblPr>
        <w:tblStyle w:val="5"/>
        <w:tblW w:w="10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41"/>
        <w:gridCol w:w="1662"/>
        <w:gridCol w:w="6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tabs>
                <w:tab w:val="left" w:pos="222"/>
              </w:tabs>
              <w:spacing w:before="76" w:line="276" w:lineRule="auto"/>
              <w:ind w:left="112" w:right="19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造价咨询服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质量 、 时限 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果文件规范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等保证措施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分)</w:t>
            </w:r>
          </w:p>
        </w:tc>
        <w:tc>
          <w:tcPr>
            <w:tcW w:w="6777" w:type="dxa"/>
            <w:vAlign w:val="top"/>
          </w:tcPr>
          <w:p>
            <w:pPr>
              <w:spacing w:before="175" w:line="415" w:lineRule="auto"/>
              <w:ind w:left="123" w:right="158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由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评审小组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编制内容的完整性、合理性、可行性进行量化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0-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99" w:line="312" w:lineRule="auto"/>
              <w:ind w:left="112" w:right="21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造价咨询服务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作重点难点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析、解决办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及合理化建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议 (0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分)</w:t>
            </w:r>
          </w:p>
        </w:tc>
        <w:tc>
          <w:tcPr>
            <w:tcW w:w="6777" w:type="dxa"/>
            <w:vAlign w:val="top"/>
          </w:tcPr>
          <w:p>
            <w:pPr>
              <w:spacing w:before="172" w:line="413" w:lineRule="auto"/>
              <w:ind w:left="123" w:right="158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由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评审小组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编制内容的完整性、合理性、可行性进行量化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0-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34" w:line="226" w:lineRule="auto"/>
              <w:ind w:left="111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造 价 咨 询 工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作</w:t>
            </w:r>
          </w:p>
          <w:p>
            <w:pPr>
              <w:spacing w:before="162" w:line="408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5"/>
                <w:sz w:val="20"/>
                <w:szCs w:val="20"/>
              </w:rPr>
              <w:t>制度、工作流程</w:t>
            </w:r>
          </w:p>
          <w:p>
            <w:pPr>
              <w:spacing w:line="23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0-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分)</w:t>
            </w:r>
          </w:p>
        </w:tc>
        <w:tc>
          <w:tcPr>
            <w:tcW w:w="6777" w:type="dxa"/>
            <w:vAlign w:val="top"/>
          </w:tcPr>
          <w:p>
            <w:pPr>
              <w:spacing w:before="173" w:line="415" w:lineRule="auto"/>
              <w:ind w:left="123" w:right="158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由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评审小组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编制内容的完整性、合理性、可行性进行量化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审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0-</w:t>
            </w:r>
            <w:r>
              <w:rPr>
                <w:rFonts w:hint="eastAsia" w:ascii="Times New Roman" w:hAnsi="Times New Roman" w:eastAsia="宋体" w:cs="Times New Roman"/>
                <w:spacing w:val="-6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。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before="174" w:line="439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7"/>
                <w:sz w:val="20"/>
                <w:szCs w:val="20"/>
              </w:rPr>
              <w:t>保密措施 (</w:t>
            </w:r>
            <w:r>
              <w:rPr>
                <w:rFonts w:ascii="Times New Roman" w:hAnsi="Times New Roman" w:eastAsia="Times New Roman" w:cs="Times New Roman"/>
                <w:spacing w:val="6"/>
                <w:position w:val="17"/>
                <w:sz w:val="20"/>
                <w:szCs w:val="20"/>
              </w:rPr>
              <w:t>0-</w:t>
            </w:r>
            <w:r>
              <w:rPr>
                <w:rFonts w:ascii="Times New Roman" w:hAnsi="Times New Roman" w:eastAsia="Times New Roman" w:cs="Times New Roman"/>
                <w:spacing w:val="4"/>
                <w:position w:val="17"/>
                <w:sz w:val="20"/>
                <w:szCs w:val="20"/>
              </w:rPr>
              <w:t>2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分)</w:t>
            </w:r>
          </w:p>
        </w:tc>
        <w:tc>
          <w:tcPr>
            <w:tcW w:w="6777" w:type="dxa"/>
            <w:vAlign w:val="top"/>
          </w:tcPr>
          <w:p>
            <w:pPr>
              <w:spacing w:before="174" w:line="439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8"/>
                <w:sz w:val="20"/>
                <w:szCs w:val="20"/>
              </w:rPr>
              <w:t>由</w:t>
            </w:r>
            <w:r>
              <w:rPr>
                <w:rFonts w:hint="eastAsia" w:ascii="宋体" w:hAnsi="宋体" w:eastAsia="宋体" w:cs="宋体"/>
                <w:spacing w:val="14"/>
                <w:position w:val="18"/>
                <w:sz w:val="20"/>
                <w:szCs w:val="20"/>
                <w:lang w:eastAsia="zh-CN"/>
              </w:rPr>
              <w:t>评审小组</w:t>
            </w:r>
            <w:r>
              <w:rPr>
                <w:rFonts w:ascii="宋体" w:hAnsi="宋体" w:eastAsia="宋体" w:cs="宋体"/>
                <w:spacing w:val="7"/>
                <w:position w:val="18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7"/>
                <w:position w:val="18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7"/>
                <w:position w:val="18"/>
                <w:sz w:val="20"/>
                <w:szCs w:val="20"/>
              </w:rPr>
              <w:t>编制的对于项目保密措施进行综合对比赋分 (</w:t>
            </w:r>
            <w:r>
              <w:rPr>
                <w:rFonts w:ascii="Times New Roman" w:hAnsi="Times New Roman" w:eastAsia="Times New Roman" w:cs="Times New Roman"/>
                <w:spacing w:val="7"/>
                <w:position w:val="18"/>
                <w:sz w:val="20"/>
                <w:szCs w:val="20"/>
              </w:rPr>
              <w:t>0-2</w:t>
            </w:r>
          </w:p>
          <w:p>
            <w:pPr>
              <w:spacing w:line="228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分)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411" w:lineRule="auto"/>
              <w:ind w:left="311" w:right="316"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价咨询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>项目业绩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(0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- 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6777" w:type="dxa"/>
            <w:vAlign w:val="top"/>
          </w:tcPr>
          <w:p>
            <w:pPr>
              <w:spacing w:before="176" w:line="405" w:lineRule="auto"/>
              <w:ind w:left="112" w:righ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近五年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9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年 1 月至今)类似业绩，有 1 项得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每增加一项类似业绩得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 xml:space="preserve"> 1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分，最高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分。</w:t>
            </w:r>
          </w:p>
          <w:p>
            <w:pPr>
              <w:spacing w:before="1" w:line="406" w:lineRule="auto"/>
              <w:ind w:left="111" w:right="148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万元以上的造价结算定案表或最高限价审核报告或预算审核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告等相关文件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及其对应的合同(均为加盖公章复印件)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类似业绩指：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有色冶炼工程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相关造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咨询业绩，其它项目类型业绩不得分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017" w:type="dxa"/>
            <w:gridSpan w:val="4"/>
            <w:vAlign w:val="top"/>
          </w:tcPr>
          <w:p>
            <w:pPr>
              <w:spacing w:before="143" w:line="401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20"/>
                <w:szCs w:val="20"/>
              </w:rPr>
              <w:t>备注：计算小数</w:t>
            </w:r>
            <w:r>
              <w:rPr>
                <w:rFonts w:ascii="宋体" w:hAnsi="宋体" w:eastAsia="宋体" w:cs="宋体"/>
                <w:spacing w:val="8"/>
                <w:position w:val="14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5"/>
                <w:position w:val="14"/>
                <w:sz w:val="20"/>
                <w:szCs w:val="20"/>
              </w:rPr>
              <w:t>保留两位小数，第三位“四舍五入”；评审针对</w:t>
            </w:r>
            <w:r>
              <w:rPr>
                <w:rFonts w:hint="eastAsia" w:ascii="宋体" w:hAnsi="宋体" w:eastAsia="宋体" w:cs="宋体"/>
                <w:spacing w:val="5"/>
                <w:position w:val="14"/>
                <w:sz w:val="20"/>
                <w:szCs w:val="20"/>
                <w:lang w:eastAsia="zh-CN"/>
              </w:rPr>
              <w:t>竞价单位</w:t>
            </w:r>
            <w:r>
              <w:rPr>
                <w:rFonts w:ascii="宋体" w:hAnsi="宋体" w:eastAsia="宋体" w:cs="宋体"/>
                <w:spacing w:val="5"/>
                <w:position w:val="14"/>
                <w:sz w:val="20"/>
                <w:szCs w:val="20"/>
              </w:rPr>
              <w:t>描述的关键点、关键内容是否齐、</w:t>
            </w:r>
          </w:p>
          <w:p>
            <w:pPr>
              <w:spacing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科学合理可行进行评分；上述各评审项中缺项或主要内容缺失或描述错误者不得分。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0"/>
          <w:sz w:val="32"/>
          <w:szCs w:val="32"/>
          <w:lang w:val="en-US" w:eastAsia="zh-CN"/>
        </w:rPr>
        <w:t>一、评审方法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本次评标采用有限数量制。评审小组对满足竞价文件实质性要求的报价文件，按照上述办法进行评审。资格、符合性合格的竞价单位数量大于等于3时，选定打分排名前3的竞价单位为入围候选单位；小于3时，重新组织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0"/>
          <w:sz w:val="32"/>
          <w:szCs w:val="32"/>
          <w:lang w:val="en-US" w:eastAsia="zh-CN"/>
        </w:rPr>
        <w:t>二、详细评审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1.评审小组按上述办法进行打分，并计算出综合评审得分。评分分值计算保留小数点后两位，小数点后第三位“四舍五入”。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2.竞价单位得分=技术分+商务分，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竞价单位得分最高的排第一名，为本次竞价的首位入围单位。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3.评审小组发现竞价单位未对投标函做出响应的，否决其投标。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 xml:space="preserve">                               陕西锌业有限公司</w:t>
      </w:r>
    </w:p>
    <w:p>
      <w:pPr>
        <w:spacing w:before="75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 xml:space="preserve">                                    2024年10月21日</w:t>
      </w:r>
    </w:p>
    <w:sectPr>
      <w:headerReference r:id="rId8" w:type="default"/>
      <w:footerReference r:id="rId9" w:type="default"/>
      <w:pgSz w:w="11906" w:h="16839"/>
      <w:pgMar w:top="1091" w:right="1417" w:bottom="1229" w:left="1418" w:header="1076" w:footer="96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92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101"/>
      </w:tabs>
      <w:spacing w:after="24" w:line="241" w:lineRule="exact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6" w:line="3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spacing w:line="193" w:lineRule="auto"/>
      <w:ind w:left="4453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0OWNjOGYyOTYwZDA0MmRkYzBmODAzMWRmNWU2NjgifQ=="/>
  </w:docVars>
  <w:rsids>
    <w:rsidRoot w:val="00000000"/>
    <w:rsid w:val="09DB700E"/>
    <w:rsid w:val="1EA34EC9"/>
    <w:rsid w:val="29F975DB"/>
    <w:rsid w:val="3FF61D0D"/>
    <w:rsid w:val="46F8479A"/>
    <w:rsid w:val="5B5E03C8"/>
    <w:rsid w:val="5E23034B"/>
    <w:rsid w:val="66E11037"/>
    <w:rsid w:val="700F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2046</Words>
  <Characters>2208</Characters>
  <TotalTime>7</TotalTime>
  <ScaleCrop>false</ScaleCrop>
  <LinksUpToDate>false</LinksUpToDate>
  <CharactersWithSpaces>2448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2024-05-07T10:22:00Z</dcterms:created>
  <dc:creator>ROCKY</dc:creator>
  <cp:lastModifiedBy>丁波</cp:lastModifiedBy>
  <cp:lastPrinted>2024-10-22T06:43:48Z</cp:lastPrinted>
  <dcterms:modified xsi:type="dcterms:W3CDTF">2024-10-22T06:44:59Z</dcterms:modified>
  <dc:title>(招标项目名称)   标段施工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2024-07-03T14:57:39Z</vt:filetime>
  </property>
  <property fmtid="{D5CDD505-2E9C-101B-9397-08002B2CF9AE}" pid="4" name="KSOProductBuildVer">
    <vt:lpwstr>2052-12.1.0.15712</vt:lpwstr>
  </property>
  <property fmtid="{D5CDD505-2E9C-101B-9397-08002B2CF9AE}" pid="5" name="ICV">
    <vt:lpwstr>F5C1CF5CBCB44521853A21006908279C_12</vt:lpwstr>
  </property>
</Properties>
</file>