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4BE28">
      <w:pPr>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XB20250312-06</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9"/>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bookmarkStart w:id="35" w:name="_GoBack"/>
      <w:r>
        <w:rPr>
          <w:rStyle w:val="12"/>
          <w:rFonts w:hint="eastAsia" w:ascii="方正粗黑宋简体" w:hAnsi="方正粗黑宋简体" w:eastAsia="方正粗黑宋简体" w:cs="方正粗黑宋简体"/>
          <w:i w:val="0"/>
          <w:iCs w:val="0"/>
          <w:caps w:val="0"/>
          <w:color w:val="000000"/>
          <w:spacing w:val="0"/>
          <w:sz w:val="36"/>
          <w:szCs w:val="36"/>
          <w:lang w:val="en-US" w:eastAsia="zh-CN"/>
        </w:rPr>
        <w:t>二氧化锰、硫酸锰、碳酸锰</w:t>
      </w:r>
      <w:r>
        <w:rPr>
          <w:rStyle w:val="12"/>
          <w:rFonts w:hint="eastAsia" w:ascii="方正粗黑宋简体" w:hAnsi="方正粗黑宋简体" w:eastAsia="方正粗黑宋简体" w:cs="方正粗黑宋简体"/>
          <w:i w:val="0"/>
          <w:iCs w:val="0"/>
          <w:caps w:val="0"/>
          <w:color w:val="000000"/>
          <w:spacing w:val="0"/>
          <w:sz w:val="36"/>
          <w:szCs w:val="36"/>
        </w:rPr>
        <w:t>询比</w:t>
      </w:r>
      <w:r>
        <w:rPr>
          <w:rStyle w:val="12"/>
          <w:rFonts w:hint="eastAsia" w:ascii="方正粗黑宋简体" w:hAnsi="方正粗黑宋简体" w:eastAsia="方正粗黑宋简体" w:cs="方正粗黑宋简体"/>
          <w:i w:val="0"/>
          <w:iCs w:val="0"/>
          <w:caps w:val="0"/>
          <w:color w:val="000000"/>
          <w:spacing w:val="0"/>
          <w:sz w:val="36"/>
          <w:szCs w:val="36"/>
          <w:lang w:val="en-US" w:eastAsia="zh-CN"/>
        </w:rPr>
        <w:t>采购项目</w:t>
      </w:r>
      <w:bookmarkEnd w:id="35"/>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3"/>
        <w:jc w:val="center"/>
        <w:rPr>
          <w:rFonts w:hint="eastAsia" w:ascii="黑体" w:hAnsi="黑体" w:eastAsia="黑体" w:cs="黑体"/>
          <w:b/>
          <w:bCs w:val="0"/>
          <w:color w:val="auto"/>
          <w:sz w:val="36"/>
          <w:szCs w:val="36"/>
        </w:rPr>
      </w:pPr>
      <w:bookmarkStart w:id="0" w:name="_Toc504488767"/>
      <w:bookmarkStart w:id="1"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0"/>
      <w:bookmarkEnd w:id="1"/>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3"/>
        <w:jc w:val="center"/>
        <w:rPr>
          <w:rFonts w:hint="eastAsia" w:ascii="黑体" w:hAnsi="黑体" w:eastAsia="黑体" w:cs="黑体"/>
          <w:b w:val="0"/>
          <w:bCs/>
          <w:color w:val="auto"/>
          <w:sz w:val="36"/>
          <w:szCs w:val="36"/>
        </w:rPr>
      </w:pPr>
      <w:bookmarkStart w:id="2" w:name="_Toc16531"/>
      <w:bookmarkStart w:id="3" w:name="_Toc504488768"/>
      <w:r>
        <w:rPr>
          <w:rFonts w:hint="eastAsia" w:ascii="黑体" w:hAnsi="黑体" w:eastAsia="黑体" w:cs="黑体"/>
          <w:b w:val="0"/>
          <w:bCs/>
          <w:color w:val="auto"/>
          <w:sz w:val="36"/>
          <w:szCs w:val="36"/>
        </w:rPr>
        <w:t>一、</w:t>
      </w:r>
      <w:bookmarkEnd w:id="2"/>
      <w:bookmarkEnd w:id="3"/>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4" w:name="_Toc504488769"/>
      <w:bookmarkStart w:id="5" w:name="_Toc28734"/>
    </w:p>
    <w:p w14:paraId="51AE4CE2">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4"/>
      <w:bookmarkEnd w:id="5"/>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6" w:name="_Toc352691662"/>
      <w:bookmarkStart w:id="7" w:name="_Toc27897"/>
      <w:bookmarkStart w:id="8"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6"/>
      <w:bookmarkEnd w:id="7"/>
      <w:bookmarkEnd w:id="8"/>
      <w:r>
        <w:rPr>
          <w:rFonts w:hint="eastAsia" w:ascii="仿宋" w:hAnsi="仿宋" w:eastAsia="仿宋" w:cs="仿宋"/>
          <w:color w:val="auto"/>
          <w:sz w:val="32"/>
          <w:szCs w:val="32"/>
        </w:rPr>
        <w:t>龄</w:t>
      </w:r>
      <w:bookmarkStart w:id="9" w:name="_Toc384308377"/>
      <w:bookmarkStart w:id="10" w:name="_Toc352691663"/>
      <w:bookmarkStart w:id="11" w:name="_Toc369531699"/>
      <w:bookmarkStart w:id="12" w:name="_Toc300835211"/>
      <w:bookmarkStart w:id="13" w:name="_Toc361508754"/>
      <w:bookmarkStart w:id="14" w:name="_Toc15573"/>
      <w:bookmarkStart w:id="15" w:name="_Toc247527829"/>
      <w:bookmarkStart w:id="16" w:name="_Toc152042578"/>
      <w:bookmarkStart w:id="17" w:name="_Toc144974858"/>
      <w:bookmarkStart w:id="18" w:name="_Toc247514248"/>
      <w:bookmarkStart w:id="19" w:name="_Toc152045789"/>
      <w:r>
        <w:rPr>
          <w:rFonts w:hint="eastAsia" w:ascii="仿宋" w:hAnsi="仿宋" w:eastAsia="仿宋" w:cs="仿宋"/>
          <w:color w:val="auto"/>
          <w:sz w:val="32"/>
          <w:szCs w:val="32"/>
        </w:rPr>
        <w:t>：</w:t>
      </w:r>
      <w:bookmarkEnd w:id="9"/>
      <w:bookmarkEnd w:id="10"/>
      <w:bookmarkEnd w:id="11"/>
      <w:bookmarkEnd w:id="12"/>
      <w:bookmarkEnd w:id="13"/>
      <w:bookmarkEnd w:id="14"/>
      <w:bookmarkEnd w:id="15"/>
      <w:bookmarkEnd w:id="16"/>
      <w:bookmarkEnd w:id="17"/>
      <w:bookmarkEnd w:id="18"/>
      <w:bookmarkEnd w:id="19"/>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3"/>
        <w:jc w:val="center"/>
        <w:rPr>
          <w:rFonts w:hint="eastAsia" w:ascii="黑体" w:hAnsi="黑体" w:eastAsia="黑体" w:cs="黑体"/>
          <w:color w:val="auto"/>
          <w:sz w:val="36"/>
          <w:szCs w:val="36"/>
        </w:rPr>
      </w:pPr>
      <w:bookmarkStart w:id="20" w:name="_Toc2777"/>
      <w:bookmarkStart w:id="21" w:name="_Toc504488770"/>
      <w:r>
        <w:rPr>
          <w:rFonts w:hint="eastAsia" w:ascii="黑体" w:hAnsi="黑体" w:eastAsia="黑体" w:cs="黑体"/>
          <w:color w:val="auto"/>
          <w:sz w:val="36"/>
          <w:szCs w:val="36"/>
        </w:rPr>
        <w:t>二、授权委托书</w:t>
      </w:r>
      <w:bookmarkEnd w:id="20"/>
      <w:bookmarkEnd w:id="21"/>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3"/>
        <w:spacing w:after="0" w:line="413" w:lineRule="auto"/>
        <w:jc w:val="center"/>
        <w:rPr>
          <w:rFonts w:hint="eastAsia" w:ascii="黑体" w:hAnsi="黑体" w:eastAsia="黑体" w:cs="黑体"/>
          <w:color w:val="auto"/>
          <w:sz w:val="36"/>
          <w:szCs w:val="36"/>
          <w:u w:val="single"/>
          <w:lang w:eastAsia="zh-CN"/>
        </w:rPr>
      </w:pPr>
      <w:bookmarkStart w:id="22" w:name="_Toc7842"/>
      <w:bookmarkStart w:id="23"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22"/>
      <w:bookmarkEnd w:id="23"/>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3"/>
        <w:pageBreakBefore/>
        <w:snapToGrid w:val="0"/>
        <w:spacing w:before="0" w:after="0" w:line="288" w:lineRule="auto"/>
        <w:rPr>
          <w:rFonts w:hint="eastAsia" w:ascii="仿宋" w:hAnsi="仿宋" w:eastAsia="仿宋" w:cs="仿宋"/>
          <w:color w:val="auto"/>
          <w:sz w:val="32"/>
          <w:szCs w:val="32"/>
        </w:rPr>
      </w:pPr>
      <w:bookmarkStart w:id="24"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4"/>
    </w:p>
    <w:p w14:paraId="2076046E">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9"/>
        <w:snapToGrid w:val="0"/>
        <w:spacing w:after="120"/>
        <w:ind w:firstLine="0" w:firstLineChars="0"/>
        <w:jc w:val="both"/>
        <w:rPr>
          <w:rFonts w:hint="eastAsia" w:ascii="仿宋" w:hAnsi="仿宋" w:eastAsia="仿宋" w:cs="仿宋"/>
          <w:color w:val="auto"/>
          <w:sz w:val="32"/>
          <w:szCs w:val="32"/>
        </w:rPr>
      </w:pPr>
    </w:p>
    <w:p w14:paraId="47F7429D">
      <w:pPr>
        <w:pStyle w:val="9"/>
        <w:snapToGrid w:val="0"/>
        <w:spacing w:after="120"/>
        <w:ind w:firstLine="0" w:firstLineChars="0"/>
        <w:jc w:val="both"/>
        <w:rPr>
          <w:rFonts w:hint="eastAsia" w:ascii="仿宋" w:hAnsi="仿宋" w:eastAsia="仿宋" w:cs="仿宋"/>
          <w:color w:val="auto"/>
          <w:sz w:val="32"/>
          <w:szCs w:val="32"/>
        </w:rPr>
      </w:pPr>
    </w:p>
    <w:p w14:paraId="1ACC8AFD">
      <w:pPr>
        <w:pStyle w:val="9"/>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3"/>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5" w:name="_Toc504488775"/>
      <w:bookmarkStart w:id="26" w:name="_Toc1755"/>
    </w:p>
    <w:p w14:paraId="0BFC4821">
      <w:pPr>
        <w:rPr>
          <w:rFonts w:hint="eastAsia"/>
          <w:lang w:val="en-US" w:eastAsia="zh-CN"/>
        </w:rPr>
      </w:pPr>
    </w:p>
    <w:p w14:paraId="3B4012CF">
      <w:pPr>
        <w:pStyle w:val="3"/>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p w14:paraId="4F5CB21B">
      <w:pPr>
        <w:keepNext w:val="0"/>
        <w:keepLines w:val="0"/>
        <w:pageBreakBefore w:val="0"/>
        <w:kinsoku/>
        <w:wordWrap/>
        <w:overflowPunct/>
        <w:topLinePunct w:val="0"/>
        <w:autoSpaceDE/>
        <w:autoSpaceDN/>
        <w:bidi w:val="0"/>
        <w:adjustRightInd/>
        <w:snapToGrid/>
        <w:spacing w:line="400" w:lineRule="exact"/>
        <w:ind w:firstLine="3012" w:firstLineChars="1000"/>
        <w:rPr>
          <w:rFonts w:hint="default" w:ascii="仿宋" w:hAnsi="仿宋" w:eastAsia="仿宋" w:cs="仿宋"/>
          <w:b/>
          <w:bCs w:val="0"/>
          <w:color w:val="auto"/>
          <w:sz w:val="30"/>
          <w:szCs w:val="30"/>
          <w:lang w:val="en-US" w:eastAsia="zh-CN"/>
        </w:rPr>
      </w:pPr>
      <w:r>
        <w:rPr>
          <w:rFonts w:hint="eastAsia" w:ascii="仿宋" w:hAnsi="仿宋" w:eastAsia="仿宋" w:cs="仿宋"/>
          <w:b/>
          <w:bCs w:val="0"/>
          <w:color w:val="auto"/>
          <w:sz w:val="30"/>
          <w:szCs w:val="30"/>
          <w:lang w:val="en-US" w:eastAsia="zh-CN"/>
        </w:rPr>
        <w:t xml:space="preserve">  </w:t>
      </w:r>
    </w:p>
    <w:p w14:paraId="63687C7D">
      <w:pPr>
        <w:keepNext w:val="0"/>
        <w:keepLines w:val="0"/>
        <w:pageBreakBefore w:val="0"/>
        <w:kinsoku/>
        <w:wordWrap/>
        <w:overflowPunct/>
        <w:topLinePunct w:val="0"/>
        <w:autoSpaceDE/>
        <w:autoSpaceDN/>
        <w:bidi w:val="0"/>
        <w:adjustRightInd/>
        <w:snapToGrid/>
        <w:spacing w:line="400" w:lineRule="exact"/>
        <w:ind w:firstLine="1807" w:firstLineChars="600"/>
        <w:rPr>
          <w:rFonts w:hint="default" w:ascii="仿宋" w:hAnsi="仿宋" w:eastAsia="仿宋" w:cs="仿宋"/>
          <w:b w:val="0"/>
          <w:bCs/>
          <w:color w:val="auto"/>
          <w:sz w:val="28"/>
          <w:szCs w:val="28"/>
          <w:lang w:val="en-US" w:eastAsia="zh-CN"/>
        </w:rPr>
      </w:pPr>
      <w:r>
        <w:rPr>
          <w:rFonts w:hint="eastAsia" w:ascii="仿宋" w:hAnsi="仿宋" w:eastAsia="仿宋" w:cs="仿宋"/>
          <w:b/>
          <w:bCs w:val="0"/>
          <w:color w:val="auto"/>
          <w:sz w:val="30"/>
          <w:szCs w:val="30"/>
          <w:lang w:val="en-US" w:eastAsia="zh-CN"/>
        </w:rPr>
        <w:t xml:space="preserve">                             </w:t>
      </w:r>
      <w:r>
        <w:rPr>
          <w:rFonts w:hint="eastAsia" w:ascii="仿宋" w:hAnsi="仿宋" w:eastAsia="仿宋" w:cs="仿宋"/>
          <w:b w:val="0"/>
          <w:bCs/>
          <w:color w:val="auto"/>
          <w:sz w:val="28"/>
          <w:szCs w:val="28"/>
          <w:lang w:val="en-US" w:eastAsia="zh-CN"/>
        </w:rPr>
        <w:t>计量单位：元/吨</w:t>
      </w:r>
    </w:p>
    <w:tbl>
      <w:tblPr>
        <w:tblStyle w:val="10"/>
        <w:tblpPr w:leftFromText="180" w:rightFromText="180" w:vertAnchor="text" w:horzAnchor="page" w:tblpX="1511" w:tblpY="300"/>
        <w:tblOverlap w:val="never"/>
        <w:tblW w:w="9151" w:type="dxa"/>
        <w:tblInd w:w="0" w:type="dxa"/>
        <w:tblLayout w:type="fixed"/>
        <w:tblCellMar>
          <w:top w:w="0" w:type="dxa"/>
          <w:left w:w="0" w:type="dxa"/>
          <w:bottom w:w="0" w:type="dxa"/>
          <w:right w:w="0" w:type="dxa"/>
        </w:tblCellMar>
      </w:tblPr>
      <w:tblGrid>
        <w:gridCol w:w="575"/>
        <w:gridCol w:w="1152"/>
        <w:gridCol w:w="3524"/>
        <w:gridCol w:w="1020"/>
        <w:gridCol w:w="1296"/>
        <w:gridCol w:w="1584"/>
      </w:tblGrid>
      <w:tr w14:paraId="2355CB2B">
        <w:tblPrEx>
          <w:tblCellMar>
            <w:top w:w="0" w:type="dxa"/>
            <w:left w:w="0" w:type="dxa"/>
            <w:bottom w:w="0" w:type="dxa"/>
            <w:right w:w="0" w:type="dxa"/>
          </w:tblCellMar>
        </w:tblPrEx>
        <w:trPr>
          <w:trHeight w:val="753" w:hRule="atLeast"/>
        </w:trPr>
        <w:tc>
          <w:tcPr>
            <w:tcW w:w="5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DE8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序号</w:t>
            </w:r>
          </w:p>
        </w:tc>
        <w:tc>
          <w:tcPr>
            <w:tcW w:w="1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352B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物品名称</w:t>
            </w:r>
          </w:p>
        </w:tc>
        <w:tc>
          <w:tcPr>
            <w:tcW w:w="35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FE9A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规格型号</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6077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数量</w:t>
            </w:r>
          </w:p>
        </w:tc>
        <w:tc>
          <w:tcPr>
            <w:tcW w:w="12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E323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 xml:space="preserve">报价   </w:t>
            </w:r>
          </w:p>
        </w:tc>
        <w:tc>
          <w:tcPr>
            <w:tcW w:w="158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001F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金额</w:t>
            </w:r>
          </w:p>
        </w:tc>
      </w:tr>
      <w:tr w14:paraId="08466D4D">
        <w:tblPrEx>
          <w:tblCellMar>
            <w:top w:w="0" w:type="dxa"/>
            <w:left w:w="0" w:type="dxa"/>
            <w:bottom w:w="0" w:type="dxa"/>
            <w:right w:w="0" w:type="dxa"/>
          </w:tblCellMar>
        </w:tblPrEx>
        <w:trPr>
          <w:trHeight w:val="1613" w:hRule="atLeast"/>
        </w:trPr>
        <w:tc>
          <w:tcPr>
            <w:tcW w:w="57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432278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1</w:t>
            </w:r>
          </w:p>
        </w:tc>
        <w:tc>
          <w:tcPr>
            <w:tcW w:w="115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642E40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二氧化锰</w:t>
            </w:r>
          </w:p>
        </w:tc>
        <w:tc>
          <w:tcPr>
            <w:tcW w:w="352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4D2BDB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sz w:val="24"/>
                <w:szCs w:val="24"/>
              </w:rPr>
              <w:t>符合YB/T5084-2015标准,通过率100目筛下占95%以上</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MnO2≥4</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%度±0.5度</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氟＜0.02%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氯＜0.03%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铁＜6.0</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水分≤8%</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4F517E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130</w:t>
            </w:r>
          </w:p>
        </w:tc>
        <w:tc>
          <w:tcPr>
            <w:tcW w:w="129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AF25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c>
          <w:tcPr>
            <w:tcW w:w="158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ED93C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r>
      <w:tr w14:paraId="72D3AE7B">
        <w:tblPrEx>
          <w:tblCellMar>
            <w:top w:w="0" w:type="dxa"/>
            <w:left w:w="0" w:type="dxa"/>
            <w:bottom w:w="0" w:type="dxa"/>
            <w:right w:w="0" w:type="dxa"/>
          </w:tblCellMar>
        </w:tblPrEx>
        <w:trPr>
          <w:trHeight w:val="1304" w:hRule="atLeast"/>
        </w:trPr>
        <w:tc>
          <w:tcPr>
            <w:tcW w:w="57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2E640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2</w:t>
            </w:r>
          </w:p>
        </w:tc>
        <w:tc>
          <w:tcPr>
            <w:tcW w:w="115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16CBD5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硫酸锰</w:t>
            </w:r>
          </w:p>
        </w:tc>
        <w:tc>
          <w:tcPr>
            <w:tcW w:w="352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22F8EE6">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sz w:val="24"/>
                <w:szCs w:val="24"/>
                <w:lang w:val="en-US" w:eastAsia="zh-CN"/>
              </w:rPr>
              <w:t>HG/T2962-2010执行，</w:t>
            </w:r>
            <w:r>
              <w:rPr>
                <w:rFonts w:hint="eastAsia" w:ascii="宋体" w:hAnsi="宋体" w:eastAsia="宋体" w:cs="宋体"/>
                <w:b w:val="0"/>
                <w:bCs/>
                <w:sz w:val="24"/>
                <w:szCs w:val="24"/>
              </w:rPr>
              <w:t>硫酸锰≥98%</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Mn≥31.8%±0.5%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Cl≤0.03%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F≤0.02%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水不容物≤0.04%</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2EE93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120</w:t>
            </w:r>
          </w:p>
        </w:tc>
        <w:tc>
          <w:tcPr>
            <w:tcW w:w="129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EFFBD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c>
          <w:tcPr>
            <w:tcW w:w="158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16B571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r>
      <w:tr w14:paraId="106CD5FF">
        <w:tblPrEx>
          <w:tblCellMar>
            <w:top w:w="0" w:type="dxa"/>
            <w:left w:w="0" w:type="dxa"/>
            <w:bottom w:w="0" w:type="dxa"/>
            <w:right w:w="0" w:type="dxa"/>
          </w:tblCellMar>
        </w:tblPrEx>
        <w:trPr>
          <w:trHeight w:val="1769" w:hRule="atLeast"/>
        </w:trPr>
        <w:tc>
          <w:tcPr>
            <w:tcW w:w="57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0E4279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3</w:t>
            </w:r>
          </w:p>
        </w:tc>
        <w:tc>
          <w:tcPr>
            <w:tcW w:w="115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597C39A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碳酸锰</w:t>
            </w:r>
          </w:p>
        </w:tc>
        <w:tc>
          <w:tcPr>
            <w:tcW w:w="352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3A3150A">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sz w:val="24"/>
                <w:szCs w:val="24"/>
                <w:u w:val="none"/>
              </w:rPr>
              <w:t>按</w:t>
            </w:r>
            <w:r>
              <w:rPr>
                <w:rFonts w:hint="eastAsia" w:ascii="宋体" w:hAnsi="宋体" w:eastAsia="宋体" w:cs="宋体"/>
                <w:sz w:val="24"/>
                <w:szCs w:val="24"/>
              </w:rPr>
              <w:t>HG/T4203-2011</w:t>
            </w:r>
            <w:r>
              <w:rPr>
                <w:rFonts w:hint="eastAsia" w:ascii="宋体" w:hAnsi="宋体" w:eastAsia="宋体" w:cs="宋体"/>
                <w:sz w:val="24"/>
                <w:szCs w:val="24"/>
                <w:lang w:eastAsia="zh-CN"/>
              </w:rPr>
              <w:t>执行</w:t>
            </w:r>
            <w:r>
              <w:rPr>
                <w:rFonts w:hint="eastAsia" w:ascii="宋体" w:hAnsi="宋体" w:eastAsia="宋体" w:cs="宋体"/>
                <w:sz w:val="24"/>
                <w:szCs w:val="24"/>
                <w:u w:val="none"/>
              </w:rPr>
              <w:t>，MnCO3≥90%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Mn</w:t>
            </w:r>
            <w:r>
              <w:rPr>
                <w:rFonts w:hint="eastAsia" w:ascii="宋体" w:hAnsi="宋体" w:eastAsia="宋体" w:cs="宋体"/>
                <w:sz w:val="24"/>
                <w:szCs w:val="24"/>
                <w:u w:val="none"/>
                <w:vertAlign w:val="superscript"/>
              </w:rPr>
              <w:t>2+</w:t>
            </w:r>
            <w:r>
              <w:rPr>
                <w:rFonts w:hint="eastAsia" w:ascii="宋体" w:hAnsi="宋体" w:eastAsia="宋体" w:cs="宋体"/>
                <w:sz w:val="24"/>
                <w:szCs w:val="24"/>
                <w:u w:val="none"/>
              </w:rPr>
              <w:t>4</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.5%±0.5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硫酸盐≤0.6%、氯化物≤0.03%、粒度（45um试验筛筛余）≤1%</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24C27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120</w:t>
            </w:r>
          </w:p>
        </w:tc>
        <w:tc>
          <w:tcPr>
            <w:tcW w:w="129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5EB0F8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c>
          <w:tcPr>
            <w:tcW w:w="158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1804C0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r>
      <w:tr w14:paraId="3EAB8F55">
        <w:tblPrEx>
          <w:tblCellMar>
            <w:top w:w="0" w:type="dxa"/>
            <w:left w:w="0" w:type="dxa"/>
            <w:bottom w:w="0" w:type="dxa"/>
            <w:right w:w="0" w:type="dxa"/>
          </w:tblCellMar>
        </w:tblPrEx>
        <w:trPr>
          <w:trHeight w:val="692" w:hRule="atLeast"/>
        </w:trPr>
        <w:tc>
          <w:tcPr>
            <w:tcW w:w="57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69DAA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c>
          <w:tcPr>
            <w:tcW w:w="115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0016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合计</w:t>
            </w:r>
          </w:p>
        </w:tc>
        <w:tc>
          <w:tcPr>
            <w:tcW w:w="352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9D01A6D">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p>
        </w:tc>
        <w:tc>
          <w:tcPr>
            <w:tcW w:w="10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1138E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c>
          <w:tcPr>
            <w:tcW w:w="129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21272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c>
          <w:tcPr>
            <w:tcW w:w="158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D7645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r>
    </w:tbl>
    <w:p w14:paraId="0C4F7D97">
      <w:pPr>
        <w:pStyle w:val="3"/>
        <w:pageBreakBefore w:val="0"/>
        <w:kinsoku/>
        <w:wordWrap/>
        <w:overflowPunct/>
        <w:topLinePunct w:val="0"/>
        <w:autoSpaceDE/>
        <w:autoSpaceDN/>
        <w:bidi w:val="0"/>
        <w:adjustRightInd/>
        <w:snapToGrid/>
        <w:spacing w:after="0" w:line="320" w:lineRule="exact"/>
        <w:jc w:val="both"/>
        <w:rPr>
          <w:rFonts w:ascii="Times New Roman" w:hAnsi="Times New Roman"/>
          <w:color w:val="auto"/>
        </w:rPr>
      </w:pP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5"/>
      <w:bookmarkEnd w:id="26"/>
    </w:p>
    <w:p w14:paraId="097D03FF">
      <w:pPr>
        <w:pStyle w:val="4"/>
        <w:spacing w:before="20" w:after="0"/>
        <w:ind w:firstLine="103"/>
        <w:rPr>
          <w:rFonts w:ascii="Times New Roman"/>
          <w:color w:val="auto"/>
          <w:sz w:val="32"/>
          <w:szCs w:val="32"/>
        </w:rPr>
      </w:pPr>
      <w:bookmarkStart w:id="27" w:name="_Toc13906"/>
      <w:bookmarkStart w:id="28" w:name="_Toc504488776"/>
      <w:r>
        <w:rPr>
          <w:rFonts w:hint="eastAsia" w:ascii="Times New Roman"/>
          <w:color w:val="auto"/>
          <w:sz w:val="32"/>
          <w:szCs w:val="32"/>
        </w:rPr>
        <w:t>（一）基本情况表</w:t>
      </w:r>
      <w:bookmarkEnd w:id="27"/>
      <w:bookmarkEnd w:id="28"/>
    </w:p>
    <w:tbl>
      <w:tblPr>
        <w:tblStyle w:val="1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38"/>
        <w:gridCol w:w="986"/>
        <w:gridCol w:w="2130"/>
        <w:gridCol w:w="1290"/>
        <w:gridCol w:w="1984"/>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4"/>
        <w:ind w:firstLine="103"/>
        <w:rPr>
          <w:rFonts w:ascii="Times New Roman"/>
          <w:color w:val="auto"/>
          <w:sz w:val="32"/>
          <w:szCs w:val="32"/>
        </w:rPr>
      </w:pPr>
      <w:bookmarkStart w:id="29" w:name="_Toc504488778"/>
      <w:bookmarkStart w:id="30"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9"/>
      <w:bookmarkEnd w:id="30"/>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31" w:name="_Toc504488780"/>
      <w:bookmarkStart w:id="32"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31"/>
      <w:bookmarkEnd w:id="32"/>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3"/>
        <w:spacing w:line="400" w:lineRule="exact"/>
        <w:jc w:val="both"/>
        <w:rPr>
          <w:rFonts w:hint="eastAsia" w:ascii="仿宋" w:hAnsi="仿宋" w:eastAsia="仿宋" w:cs="仿宋"/>
          <w:color w:val="auto"/>
          <w:sz w:val="32"/>
          <w:szCs w:val="32"/>
          <w:lang w:val="en-US" w:eastAsia="zh-CN"/>
        </w:rPr>
      </w:pPr>
      <w:bookmarkStart w:id="33" w:name="_Toc22199"/>
      <w:bookmarkStart w:id="34" w:name="_Toc504488783"/>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33"/>
    <w:bookmarkEnd w:id="34"/>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9"/>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9"/>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sectPr>
      <w:headerReference r:id="rId3" w:type="default"/>
      <w:footerReference r:id="rId4" w:type="default"/>
      <w:pgSz w:w="11906" w:h="16838"/>
      <w:pgMar w:top="1440" w:right="1689"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65F2D5-F140-4CA9-ACB2-AB66F1C578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方正粗黑宋简体">
    <w:panose1 w:val="02000000000000000000"/>
    <w:charset w:val="86"/>
    <w:family w:val="auto"/>
    <w:pitch w:val="default"/>
    <w:sig w:usb0="A00002BF" w:usb1="184F6CFA" w:usb2="00000012" w:usb3="00000000" w:csb0="00040001" w:csb1="00000000"/>
    <w:embedRegular r:id="rId2" w:fontKey="{FCEC2933-D1F4-4690-B3C8-A09068F57D85}"/>
  </w:font>
  <w:font w:name="仿宋">
    <w:panose1 w:val="02010609060101010101"/>
    <w:charset w:val="86"/>
    <w:family w:val="auto"/>
    <w:pitch w:val="default"/>
    <w:sig w:usb0="800002BF" w:usb1="38CF7CFA" w:usb2="00000016" w:usb3="00000000" w:csb0="00040001" w:csb1="00000000"/>
    <w:embedRegular r:id="rId3" w:fontKey="{32059063-93E0-4CE5-84C1-4DD58E10293E}"/>
  </w:font>
  <w:font w:name="微软雅黑">
    <w:panose1 w:val="020B0503020204020204"/>
    <w:charset w:val="86"/>
    <w:family w:val="auto"/>
    <w:pitch w:val="default"/>
    <w:sig w:usb0="80000287" w:usb1="2ACF3C50" w:usb2="00000016" w:usb3="00000000" w:csb0="0004001F" w:csb1="00000000"/>
    <w:embedRegular r:id="rId4" w:fontKey="{FB4CCAA2-E088-411E-915E-99D7CDE423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7C08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84A4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E84A4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7FB3">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23E2922"/>
    <w:rsid w:val="034E20A4"/>
    <w:rsid w:val="05BE40FB"/>
    <w:rsid w:val="102F1EF5"/>
    <w:rsid w:val="1092092A"/>
    <w:rsid w:val="15350822"/>
    <w:rsid w:val="15A717F8"/>
    <w:rsid w:val="194F0FE3"/>
    <w:rsid w:val="19BF0744"/>
    <w:rsid w:val="19BF485E"/>
    <w:rsid w:val="1BB64B8D"/>
    <w:rsid w:val="1C25356A"/>
    <w:rsid w:val="1DB27CC5"/>
    <w:rsid w:val="1E34479D"/>
    <w:rsid w:val="21834158"/>
    <w:rsid w:val="241430A6"/>
    <w:rsid w:val="297D7484"/>
    <w:rsid w:val="31832E12"/>
    <w:rsid w:val="333C7F24"/>
    <w:rsid w:val="333D3C9C"/>
    <w:rsid w:val="339B5162"/>
    <w:rsid w:val="3A561988"/>
    <w:rsid w:val="3CB63F34"/>
    <w:rsid w:val="429A61B5"/>
    <w:rsid w:val="433C5D1E"/>
    <w:rsid w:val="460F14C8"/>
    <w:rsid w:val="4B896DF6"/>
    <w:rsid w:val="4C73247D"/>
    <w:rsid w:val="4CB27A82"/>
    <w:rsid w:val="4D66647C"/>
    <w:rsid w:val="509B2FD7"/>
    <w:rsid w:val="524F1A19"/>
    <w:rsid w:val="56F815DC"/>
    <w:rsid w:val="57711FE2"/>
    <w:rsid w:val="587078F1"/>
    <w:rsid w:val="5B97061C"/>
    <w:rsid w:val="5C2B04AE"/>
    <w:rsid w:val="5C3932F2"/>
    <w:rsid w:val="5F8C5DB5"/>
    <w:rsid w:val="61137C66"/>
    <w:rsid w:val="63BD4A30"/>
    <w:rsid w:val="66452F0C"/>
    <w:rsid w:val="68325BE8"/>
    <w:rsid w:val="69E314DA"/>
    <w:rsid w:val="69F446AA"/>
    <w:rsid w:val="6AA75C78"/>
    <w:rsid w:val="6DB30807"/>
    <w:rsid w:val="709D3D08"/>
    <w:rsid w:val="73194962"/>
    <w:rsid w:val="76987E92"/>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paragraph" w:customStyle="1" w:styleId="15">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1"/>
    <w:qFormat/>
    <w:uiPriority w:val="0"/>
    <w:rPr>
      <w:rFonts w:hint="eastAsia" w:ascii="宋体" w:hAnsi="宋体" w:eastAsia="宋体" w:cs="宋体"/>
      <w:b/>
      <w:bCs/>
      <w:color w:val="000000"/>
      <w:sz w:val="24"/>
      <w:szCs w:val="24"/>
      <w:u w:val="none"/>
    </w:rPr>
  </w:style>
  <w:style w:type="character" w:customStyle="1" w:styleId="18">
    <w:name w:val="font81"/>
    <w:basedOn w:val="11"/>
    <w:qFormat/>
    <w:uiPriority w:val="0"/>
    <w:rPr>
      <w:rFonts w:hint="eastAsia" w:ascii="宋体" w:hAnsi="宋体" w:eastAsia="宋体" w:cs="宋体"/>
      <w:color w:val="000000"/>
      <w:sz w:val="24"/>
      <w:szCs w:val="24"/>
      <w:u w:val="none"/>
    </w:rPr>
  </w:style>
  <w:style w:type="character" w:customStyle="1" w:styleId="19">
    <w:name w:val="font9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7817</Words>
  <Characters>8279</Characters>
  <Lines>0</Lines>
  <Paragraphs>0</Paragraphs>
  <TotalTime>0</TotalTime>
  <ScaleCrop>false</ScaleCrop>
  <LinksUpToDate>false</LinksUpToDate>
  <CharactersWithSpaces>8751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管勇</cp:lastModifiedBy>
  <cp:lastPrinted>2025-03-12T08:42:00Z</cp:lastPrinted>
  <dcterms:modified xsi:type="dcterms:W3CDTF">2025-03-13T09:33:22Z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5AF80B15F543476598D78A8B2A6F1FF0_13</vt:lpwstr>
  </property>
  <property fmtid="{D5CDD505-2E9C-101B-9397-08002B2CF9AE}" pid="4" name="KSOTemplateDocerSaveRecord">
    <vt:lpwstr>eyJoZGlkIjoiYjBkNGExNDk1MDZlMTc4MTE0NzY4Mzk5YmYxNzVjY2UiLCJ1c2VySWQiOiI0Nzg2MzQwNjYifQ==</vt:lpwstr>
  </property>
</Properties>
</file>