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XB20250416-03</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2025年4月机动车间10KV电网消缺高压电缆、电气采购项目</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750A83A7">
      <w:pPr>
        <w:pStyle w:val="5"/>
        <w:spacing w:before="24" w:after="24"/>
        <w:ind w:firstLine="480"/>
        <w:rPr>
          <w:color w:val="auto"/>
        </w:rPr>
      </w:pPr>
    </w:p>
    <w:p w14:paraId="4825B23F">
      <w:pPr>
        <w:pStyle w:val="5"/>
        <w:spacing w:before="24" w:after="24"/>
        <w:ind w:firstLine="480"/>
        <w:rPr>
          <w:color w:val="auto"/>
        </w:rPr>
      </w:pPr>
    </w:p>
    <w:p w14:paraId="143E35A5">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法定代表人：崔旭东</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四月十六日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3716104A">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 xml:space="preserve">2025年4月份 </w:t>
      </w:r>
      <w:r>
        <w:rPr>
          <w:rFonts w:hint="eastAsia" w:ascii="黑体" w:hAnsi="黑体" w:eastAsia="黑体" w:cs="黑体"/>
          <w:b/>
          <w:bCs/>
          <w:sz w:val="36"/>
          <w:szCs w:val="36"/>
          <w:lang w:val="en-US" w:eastAsia="zh-CN"/>
        </w:rPr>
        <w:t>机动车间10KV电网消缺高压电缆、电气</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高压电缆、电气一批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33795775"/>
      <w:bookmarkStart w:id="1" w:name="_Toc20230"/>
      <w:bookmarkStart w:id="2" w:name="_Toc14440"/>
      <w:bookmarkStart w:id="3" w:name="_Toc4593"/>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7037"/>
      <w:bookmarkStart w:id="5" w:name="_Toc33795776"/>
      <w:bookmarkStart w:id="6" w:name="_Toc14565"/>
      <w:bookmarkStart w:id="7" w:name="_Toc11471"/>
      <w:r>
        <w:rPr>
          <w:rFonts w:hint="eastAsia" w:ascii="仿宋" w:hAnsi="仿宋" w:eastAsia="仿宋" w:cs="仿宋"/>
          <w:color w:val="auto"/>
          <w:sz w:val="32"/>
          <w:szCs w:val="32"/>
          <w:lang w:eastAsia="zh-CN"/>
        </w:rPr>
        <w:t>陕西锌业有限公司</w:t>
      </w:r>
      <w:r>
        <w:rPr>
          <w:rFonts w:hint="eastAsia" w:ascii="仿宋" w:hAnsi="仿宋" w:eastAsia="仿宋" w:cs="仿宋"/>
          <w:color w:val="auto"/>
          <w:sz w:val="32"/>
          <w:szCs w:val="32"/>
          <w:lang w:val="en-US" w:eastAsia="zh-CN"/>
        </w:rPr>
        <w:t>4月份</w:t>
      </w:r>
      <w:r>
        <w:rPr>
          <w:rFonts w:hint="eastAsia" w:ascii="仿宋" w:hAnsi="仿宋" w:eastAsia="仿宋" w:cs="仿宋"/>
          <w:b/>
          <w:bCs/>
          <w:sz w:val="30"/>
          <w:szCs w:val="30"/>
          <w:lang w:val="en-US" w:eastAsia="zh-CN"/>
        </w:rPr>
        <w:t>机动车间10KV电网消缺高压电缆、电气</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720AA228">
      <w:pPr>
        <w:spacing w:line="44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5月 10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（四）交货地点：采购方指定库房。</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291"/>
        <w:gridCol w:w="2790"/>
        <w:gridCol w:w="720"/>
        <w:gridCol w:w="825"/>
        <w:gridCol w:w="986"/>
        <w:gridCol w:w="1215"/>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291"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790"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720"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825"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86"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215"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r>
      <w:tr w14:paraId="24C0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vAlign w:val="center"/>
          </w:tcPr>
          <w:p w14:paraId="15779113">
            <w:pPr>
              <w:keepNext w:val="0"/>
              <w:keepLines w:val="0"/>
              <w:widowControl/>
              <w:suppressLineNumbers w:val="0"/>
              <w:jc w:val="center"/>
              <w:textAlignment w:val="center"/>
              <w:rPr>
                <w:rFonts w:hint="default" w:ascii="宋体" w:hAnsi="宋体" w:eastAsia="宋体" w:cs="宋体"/>
                <w:b/>
                <w:bCs/>
                <w:color w:val="auto"/>
                <w:sz w:val="30"/>
                <w:szCs w:val="30"/>
                <w:vertAlign w:val="baseline"/>
                <w:lang w:val="en-US" w:eastAsia="zh-CN"/>
              </w:rPr>
            </w:pPr>
            <w:r>
              <w:rPr>
                <w:rFonts w:hint="eastAsia" w:ascii="宋体" w:hAnsi="宋体" w:eastAsia="宋体" w:cs="宋体"/>
                <w:b/>
                <w:bCs/>
                <w:color w:val="auto"/>
                <w:sz w:val="30"/>
                <w:szCs w:val="30"/>
                <w:vertAlign w:val="baseline"/>
                <w:lang w:val="en-US" w:eastAsia="zh-CN"/>
              </w:rPr>
              <w:t>1</w:t>
            </w:r>
          </w:p>
        </w:tc>
        <w:tc>
          <w:tcPr>
            <w:tcW w:w="1291" w:type="dxa"/>
            <w:vAlign w:val="center"/>
          </w:tcPr>
          <w:p w14:paraId="23A8CA8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阻燃型铠装高压电力电缆</w:t>
            </w:r>
          </w:p>
        </w:tc>
        <w:tc>
          <w:tcPr>
            <w:tcW w:w="2790" w:type="dxa"/>
            <w:vAlign w:val="center"/>
          </w:tcPr>
          <w:p w14:paraId="61908D69">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ZC-YJV22-8.7/10KV 3x70</w:t>
            </w:r>
          </w:p>
        </w:tc>
        <w:tc>
          <w:tcPr>
            <w:tcW w:w="720" w:type="dxa"/>
            <w:vAlign w:val="center"/>
          </w:tcPr>
          <w:p w14:paraId="789714AE">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760</w:t>
            </w:r>
          </w:p>
        </w:tc>
        <w:tc>
          <w:tcPr>
            <w:tcW w:w="825" w:type="dxa"/>
            <w:vAlign w:val="center"/>
          </w:tcPr>
          <w:p w14:paraId="3A3D0EDB">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米</w:t>
            </w:r>
          </w:p>
        </w:tc>
        <w:tc>
          <w:tcPr>
            <w:tcW w:w="986" w:type="dxa"/>
            <w:vAlign w:val="center"/>
          </w:tcPr>
          <w:p w14:paraId="0B7B2E7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5" w:type="dxa"/>
            <w:vAlign w:val="center"/>
          </w:tcPr>
          <w:p w14:paraId="1E4A77B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CB2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90" w:type="dxa"/>
            <w:vAlign w:val="center"/>
          </w:tcPr>
          <w:p w14:paraId="7BE9E944">
            <w:pPr>
              <w:keepNext w:val="0"/>
              <w:keepLines w:val="0"/>
              <w:widowControl/>
              <w:suppressLineNumbers w:val="0"/>
              <w:jc w:val="center"/>
              <w:textAlignment w:val="center"/>
              <w:rPr>
                <w:rFonts w:hint="default" w:ascii="宋体" w:hAnsi="宋体" w:eastAsia="宋体" w:cs="宋体"/>
                <w:b/>
                <w:bCs/>
                <w:i w:val="0"/>
                <w:iCs w:val="0"/>
                <w:color w:val="000000"/>
                <w:kern w:val="0"/>
                <w:sz w:val="30"/>
                <w:szCs w:val="30"/>
                <w:u w:val="none"/>
                <w:lang w:val="en-US" w:eastAsia="zh-CN" w:bidi="ar"/>
              </w:rPr>
            </w:pPr>
            <w:r>
              <w:rPr>
                <w:rFonts w:hint="eastAsia" w:ascii="宋体" w:hAnsi="宋体" w:eastAsia="宋体" w:cs="宋体"/>
                <w:b/>
                <w:bCs/>
                <w:i w:val="0"/>
                <w:iCs w:val="0"/>
                <w:color w:val="000000"/>
                <w:kern w:val="0"/>
                <w:sz w:val="30"/>
                <w:szCs w:val="30"/>
                <w:u w:val="none"/>
                <w:lang w:val="en-US" w:eastAsia="zh-CN" w:bidi="ar"/>
              </w:rPr>
              <w:t>2</w:t>
            </w:r>
          </w:p>
        </w:tc>
        <w:tc>
          <w:tcPr>
            <w:tcW w:w="1291" w:type="dxa"/>
            <w:vAlign w:val="center"/>
          </w:tcPr>
          <w:p w14:paraId="1F67637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10kV户内热缩型电缆终端头（3芯）</w:t>
            </w:r>
          </w:p>
        </w:tc>
        <w:tc>
          <w:tcPr>
            <w:tcW w:w="2790" w:type="dxa"/>
            <w:vAlign w:val="center"/>
          </w:tcPr>
          <w:p w14:paraId="0EC8D90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70-120mm</w:t>
            </w:r>
            <w:r>
              <w:rPr>
                <w:rFonts w:hint="eastAsia" w:ascii="宋体" w:hAnsi="宋体" w:eastAsia="宋体" w:cs="宋体"/>
                <w:i w:val="0"/>
                <w:iCs w:val="0"/>
                <w:color w:val="000000"/>
                <w:kern w:val="0"/>
                <w:sz w:val="24"/>
                <w:szCs w:val="24"/>
                <w:u w:val="none"/>
                <w:vertAlign w:val="superscript"/>
                <w:lang w:val="en-US" w:eastAsia="zh-CN" w:bidi="ar"/>
              </w:rPr>
              <w:t>2</w:t>
            </w:r>
            <w:r>
              <w:rPr>
                <w:rFonts w:hint="eastAsia" w:ascii="宋体" w:hAnsi="宋体" w:eastAsia="宋体" w:cs="宋体"/>
                <w:i w:val="0"/>
                <w:iCs w:val="0"/>
                <w:color w:val="000000"/>
                <w:kern w:val="0"/>
                <w:sz w:val="24"/>
                <w:szCs w:val="24"/>
                <w:u w:val="none"/>
                <w:lang w:val="en-US" w:eastAsia="zh-CN" w:bidi="ar"/>
              </w:rPr>
              <w:t>三芯交联电缆热缩型终端头</w:t>
            </w:r>
          </w:p>
        </w:tc>
        <w:tc>
          <w:tcPr>
            <w:tcW w:w="720" w:type="dxa"/>
            <w:vAlign w:val="center"/>
          </w:tcPr>
          <w:p w14:paraId="53D47FB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15</w:t>
            </w:r>
          </w:p>
        </w:tc>
        <w:tc>
          <w:tcPr>
            <w:tcW w:w="825" w:type="dxa"/>
            <w:vAlign w:val="center"/>
          </w:tcPr>
          <w:p w14:paraId="555B437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套</w:t>
            </w:r>
          </w:p>
        </w:tc>
        <w:tc>
          <w:tcPr>
            <w:tcW w:w="986" w:type="dxa"/>
            <w:vAlign w:val="center"/>
          </w:tcPr>
          <w:p w14:paraId="01035B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5" w:type="dxa"/>
            <w:vAlign w:val="center"/>
          </w:tcPr>
          <w:p w14:paraId="31BCE3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FE5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90" w:type="dxa"/>
            <w:vAlign w:val="center"/>
          </w:tcPr>
          <w:p w14:paraId="1D06ECA2">
            <w:pPr>
              <w:keepNext w:val="0"/>
              <w:keepLines w:val="0"/>
              <w:widowControl/>
              <w:suppressLineNumbers w:val="0"/>
              <w:jc w:val="center"/>
              <w:textAlignment w:val="center"/>
              <w:rPr>
                <w:rFonts w:hint="default" w:ascii="宋体" w:hAnsi="宋体" w:eastAsia="宋体" w:cs="宋体"/>
                <w:b/>
                <w:bCs/>
                <w:i w:val="0"/>
                <w:iCs w:val="0"/>
                <w:color w:val="000000"/>
                <w:kern w:val="0"/>
                <w:sz w:val="30"/>
                <w:szCs w:val="30"/>
                <w:u w:val="none"/>
                <w:lang w:val="en-US" w:eastAsia="zh-CN" w:bidi="ar"/>
              </w:rPr>
            </w:pPr>
            <w:r>
              <w:rPr>
                <w:rFonts w:hint="eastAsia" w:ascii="宋体" w:hAnsi="宋体" w:eastAsia="宋体" w:cs="宋体"/>
                <w:b/>
                <w:bCs/>
                <w:i w:val="0"/>
                <w:iCs w:val="0"/>
                <w:color w:val="000000"/>
                <w:kern w:val="0"/>
                <w:sz w:val="30"/>
                <w:szCs w:val="30"/>
                <w:u w:val="none"/>
                <w:lang w:val="en-US" w:eastAsia="zh-CN" w:bidi="ar"/>
              </w:rPr>
              <w:t>3</w:t>
            </w:r>
          </w:p>
        </w:tc>
        <w:tc>
          <w:tcPr>
            <w:tcW w:w="1291" w:type="dxa"/>
            <w:vAlign w:val="center"/>
          </w:tcPr>
          <w:p w14:paraId="7D41FA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电流互感器</w:t>
            </w:r>
          </w:p>
        </w:tc>
        <w:tc>
          <w:tcPr>
            <w:tcW w:w="2790" w:type="dxa"/>
            <w:vAlign w:val="center"/>
          </w:tcPr>
          <w:p w14:paraId="1BBFC9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ZZBJ9-10Q,150/5  0.5/10P10</w:t>
            </w:r>
          </w:p>
        </w:tc>
        <w:tc>
          <w:tcPr>
            <w:tcW w:w="720" w:type="dxa"/>
            <w:vAlign w:val="center"/>
          </w:tcPr>
          <w:p w14:paraId="26AC8B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825" w:type="dxa"/>
            <w:vAlign w:val="center"/>
          </w:tcPr>
          <w:p w14:paraId="432B75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86" w:type="dxa"/>
            <w:vAlign w:val="center"/>
          </w:tcPr>
          <w:p w14:paraId="2EA3BB9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5" w:type="dxa"/>
            <w:vAlign w:val="center"/>
          </w:tcPr>
          <w:p w14:paraId="088955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5C5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90" w:type="dxa"/>
            <w:vAlign w:val="center"/>
          </w:tcPr>
          <w:p w14:paraId="230D79BB">
            <w:pPr>
              <w:keepNext w:val="0"/>
              <w:keepLines w:val="0"/>
              <w:widowControl/>
              <w:suppressLineNumbers w:val="0"/>
              <w:jc w:val="center"/>
              <w:textAlignment w:val="center"/>
              <w:rPr>
                <w:rFonts w:hint="default" w:ascii="宋体" w:hAnsi="宋体" w:eastAsia="宋体" w:cs="宋体"/>
                <w:b/>
                <w:bCs/>
                <w:i w:val="0"/>
                <w:iCs w:val="0"/>
                <w:color w:val="000000"/>
                <w:kern w:val="0"/>
                <w:sz w:val="30"/>
                <w:szCs w:val="30"/>
                <w:u w:val="none"/>
                <w:lang w:val="en-US" w:eastAsia="zh-CN" w:bidi="ar"/>
              </w:rPr>
            </w:pPr>
            <w:r>
              <w:rPr>
                <w:rFonts w:hint="eastAsia" w:ascii="宋体" w:hAnsi="宋体" w:eastAsia="宋体" w:cs="宋体"/>
                <w:b/>
                <w:bCs/>
                <w:i w:val="0"/>
                <w:iCs w:val="0"/>
                <w:color w:val="000000"/>
                <w:kern w:val="0"/>
                <w:sz w:val="30"/>
                <w:szCs w:val="30"/>
                <w:u w:val="none"/>
                <w:lang w:val="en-US" w:eastAsia="zh-CN" w:bidi="ar"/>
              </w:rPr>
              <w:t>4</w:t>
            </w:r>
          </w:p>
        </w:tc>
        <w:tc>
          <w:tcPr>
            <w:tcW w:w="1291" w:type="dxa"/>
            <w:vAlign w:val="center"/>
          </w:tcPr>
          <w:p w14:paraId="73B081A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保护测控装置等</w:t>
            </w:r>
          </w:p>
        </w:tc>
        <w:tc>
          <w:tcPr>
            <w:tcW w:w="2790" w:type="dxa"/>
            <w:vAlign w:val="center"/>
          </w:tcPr>
          <w:p w14:paraId="1C7D66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国电南自,保护测控装置需其制造单位提供现场技术服务（包括现场软件组态、调试等技术服务）；</w:t>
            </w:r>
          </w:p>
        </w:tc>
        <w:tc>
          <w:tcPr>
            <w:tcW w:w="720" w:type="dxa"/>
            <w:vAlign w:val="center"/>
          </w:tcPr>
          <w:p w14:paraId="19DD78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25" w:type="dxa"/>
            <w:vAlign w:val="center"/>
          </w:tcPr>
          <w:p w14:paraId="0338C0E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86" w:type="dxa"/>
            <w:vAlign w:val="center"/>
          </w:tcPr>
          <w:p w14:paraId="69A8F43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5" w:type="dxa"/>
            <w:vAlign w:val="center"/>
          </w:tcPr>
          <w:p w14:paraId="716B3B9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612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Align w:val="center"/>
          </w:tcPr>
          <w:p w14:paraId="6461C65A">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①</w:t>
            </w:r>
          </w:p>
        </w:tc>
        <w:tc>
          <w:tcPr>
            <w:tcW w:w="1291" w:type="dxa"/>
            <w:vAlign w:val="center"/>
          </w:tcPr>
          <w:p w14:paraId="29C4B2A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保护测控装置</w:t>
            </w:r>
          </w:p>
        </w:tc>
        <w:tc>
          <w:tcPr>
            <w:tcW w:w="2790" w:type="dxa"/>
            <w:vAlign w:val="center"/>
          </w:tcPr>
          <w:p w14:paraId="12DB577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PST645UX变压器保护测控装置，1A</w:t>
            </w:r>
          </w:p>
        </w:tc>
        <w:tc>
          <w:tcPr>
            <w:tcW w:w="720" w:type="dxa"/>
            <w:vAlign w:val="center"/>
          </w:tcPr>
          <w:p w14:paraId="191C0DBB">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18</w:t>
            </w:r>
          </w:p>
        </w:tc>
        <w:tc>
          <w:tcPr>
            <w:tcW w:w="825" w:type="dxa"/>
            <w:vAlign w:val="center"/>
          </w:tcPr>
          <w:p w14:paraId="26CBC6A8">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台</w:t>
            </w:r>
          </w:p>
        </w:tc>
        <w:tc>
          <w:tcPr>
            <w:tcW w:w="986" w:type="dxa"/>
            <w:vAlign w:val="center"/>
          </w:tcPr>
          <w:p w14:paraId="5417A85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5" w:type="dxa"/>
            <w:vAlign w:val="center"/>
          </w:tcPr>
          <w:p w14:paraId="3C63B20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36B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Align w:val="center"/>
          </w:tcPr>
          <w:p w14:paraId="5FE36ADF">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②</w:t>
            </w:r>
          </w:p>
        </w:tc>
        <w:tc>
          <w:tcPr>
            <w:tcW w:w="1291" w:type="dxa"/>
            <w:vAlign w:val="center"/>
          </w:tcPr>
          <w:p w14:paraId="7D2C9F3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保护测控装置</w:t>
            </w:r>
          </w:p>
        </w:tc>
        <w:tc>
          <w:tcPr>
            <w:tcW w:w="2790" w:type="dxa"/>
            <w:vAlign w:val="center"/>
          </w:tcPr>
          <w:p w14:paraId="641CF07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PSL641UX线路保护测控装置，1A</w:t>
            </w:r>
          </w:p>
        </w:tc>
        <w:tc>
          <w:tcPr>
            <w:tcW w:w="720" w:type="dxa"/>
            <w:vAlign w:val="center"/>
          </w:tcPr>
          <w:p w14:paraId="0D256840">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9</w:t>
            </w:r>
          </w:p>
        </w:tc>
        <w:tc>
          <w:tcPr>
            <w:tcW w:w="825" w:type="dxa"/>
            <w:vAlign w:val="center"/>
          </w:tcPr>
          <w:p w14:paraId="5544136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台</w:t>
            </w:r>
          </w:p>
        </w:tc>
        <w:tc>
          <w:tcPr>
            <w:tcW w:w="986" w:type="dxa"/>
            <w:vAlign w:val="center"/>
          </w:tcPr>
          <w:p w14:paraId="50C5BD7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5" w:type="dxa"/>
            <w:vAlign w:val="center"/>
          </w:tcPr>
          <w:p w14:paraId="028395E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AB4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Align w:val="center"/>
          </w:tcPr>
          <w:p w14:paraId="58963DD0">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③</w:t>
            </w:r>
          </w:p>
        </w:tc>
        <w:tc>
          <w:tcPr>
            <w:tcW w:w="1291" w:type="dxa"/>
            <w:vAlign w:val="center"/>
          </w:tcPr>
          <w:p w14:paraId="442E3C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保护测控装置</w:t>
            </w:r>
          </w:p>
        </w:tc>
        <w:tc>
          <w:tcPr>
            <w:tcW w:w="2790" w:type="dxa"/>
            <w:vAlign w:val="center"/>
          </w:tcPr>
          <w:p w14:paraId="5473FB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PSM642UX电动机保护测控装置，1A</w:t>
            </w:r>
          </w:p>
        </w:tc>
        <w:tc>
          <w:tcPr>
            <w:tcW w:w="720" w:type="dxa"/>
            <w:vAlign w:val="center"/>
          </w:tcPr>
          <w:p w14:paraId="09C951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825" w:type="dxa"/>
            <w:vAlign w:val="center"/>
          </w:tcPr>
          <w:p w14:paraId="535526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986" w:type="dxa"/>
            <w:vAlign w:val="center"/>
          </w:tcPr>
          <w:p w14:paraId="710474C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5" w:type="dxa"/>
            <w:vAlign w:val="center"/>
          </w:tcPr>
          <w:p w14:paraId="6B77BF5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1A70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Align w:val="center"/>
          </w:tcPr>
          <w:p w14:paraId="6B99890D">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④</w:t>
            </w:r>
          </w:p>
        </w:tc>
        <w:tc>
          <w:tcPr>
            <w:tcW w:w="1291" w:type="dxa"/>
            <w:vAlign w:val="center"/>
          </w:tcPr>
          <w:p w14:paraId="5C9A4B4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保护测控装置</w:t>
            </w:r>
          </w:p>
        </w:tc>
        <w:tc>
          <w:tcPr>
            <w:tcW w:w="2790" w:type="dxa"/>
            <w:vAlign w:val="center"/>
          </w:tcPr>
          <w:p w14:paraId="1C4EC29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PSC641UX电容器保护测控装置，1A</w:t>
            </w:r>
          </w:p>
        </w:tc>
        <w:tc>
          <w:tcPr>
            <w:tcW w:w="720" w:type="dxa"/>
            <w:vAlign w:val="center"/>
          </w:tcPr>
          <w:p w14:paraId="140657A7">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825" w:type="dxa"/>
            <w:vAlign w:val="center"/>
          </w:tcPr>
          <w:p w14:paraId="1FD2EDF0">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台</w:t>
            </w:r>
          </w:p>
        </w:tc>
        <w:tc>
          <w:tcPr>
            <w:tcW w:w="986" w:type="dxa"/>
            <w:vAlign w:val="center"/>
          </w:tcPr>
          <w:p w14:paraId="6ED844C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5" w:type="dxa"/>
            <w:vAlign w:val="center"/>
          </w:tcPr>
          <w:p w14:paraId="37A75EB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CCE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Align w:val="center"/>
          </w:tcPr>
          <w:p w14:paraId="5E4EE676">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⑤</w:t>
            </w:r>
          </w:p>
        </w:tc>
        <w:tc>
          <w:tcPr>
            <w:tcW w:w="1291" w:type="dxa"/>
            <w:vAlign w:val="center"/>
          </w:tcPr>
          <w:p w14:paraId="23BF7DC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保护测控装置</w:t>
            </w:r>
          </w:p>
        </w:tc>
        <w:tc>
          <w:tcPr>
            <w:tcW w:w="2790" w:type="dxa"/>
            <w:vAlign w:val="center"/>
          </w:tcPr>
          <w:p w14:paraId="0DC88BD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PSV641UX PT并列装置</w:t>
            </w:r>
          </w:p>
        </w:tc>
        <w:tc>
          <w:tcPr>
            <w:tcW w:w="720" w:type="dxa"/>
            <w:vAlign w:val="center"/>
          </w:tcPr>
          <w:p w14:paraId="4A33AA02">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825" w:type="dxa"/>
            <w:vAlign w:val="center"/>
          </w:tcPr>
          <w:p w14:paraId="415D3BCE">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台</w:t>
            </w:r>
          </w:p>
        </w:tc>
        <w:tc>
          <w:tcPr>
            <w:tcW w:w="986" w:type="dxa"/>
            <w:vAlign w:val="center"/>
          </w:tcPr>
          <w:p w14:paraId="1966EEE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5" w:type="dxa"/>
            <w:vAlign w:val="center"/>
          </w:tcPr>
          <w:p w14:paraId="684B01E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698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Align w:val="center"/>
          </w:tcPr>
          <w:p w14:paraId="3674DD3D">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⑥</w:t>
            </w:r>
          </w:p>
        </w:tc>
        <w:tc>
          <w:tcPr>
            <w:tcW w:w="1291" w:type="dxa"/>
            <w:vAlign w:val="center"/>
          </w:tcPr>
          <w:p w14:paraId="52BCEBA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保护测控装置</w:t>
            </w:r>
          </w:p>
        </w:tc>
        <w:tc>
          <w:tcPr>
            <w:tcW w:w="2790" w:type="dxa"/>
            <w:vAlign w:val="center"/>
          </w:tcPr>
          <w:p w14:paraId="2B0DAAC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PSL641UX线路保护测控装置，5A</w:t>
            </w:r>
          </w:p>
        </w:tc>
        <w:tc>
          <w:tcPr>
            <w:tcW w:w="720" w:type="dxa"/>
            <w:vAlign w:val="center"/>
          </w:tcPr>
          <w:p w14:paraId="78945D5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825" w:type="dxa"/>
            <w:vAlign w:val="center"/>
          </w:tcPr>
          <w:p w14:paraId="04C96721">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台</w:t>
            </w:r>
          </w:p>
        </w:tc>
        <w:tc>
          <w:tcPr>
            <w:tcW w:w="986" w:type="dxa"/>
            <w:vAlign w:val="center"/>
          </w:tcPr>
          <w:p w14:paraId="5910ABA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5" w:type="dxa"/>
            <w:vAlign w:val="center"/>
          </w:tcPr>
          <w:p w14:paraId="6E7ACAF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5F49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Align w:val="center"/>
          </w:tcPr>
          <w:p w14:paraId="5CFFFBCF">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⑦</w:t>
            </w:r>
          </w:p>
        </w:tc>
        <w:tc>
          <w:tcPr>
            <w:tcW w:w="1291" w:type="dxa"/>
            <w:vAlign w:val="center"/>
          </w:tcPr>
          <w:p w14:paraId="187A69C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保护测控装置</w:t>
            </w:r>
          </w:p>
        </w:tc>
        <w:tc>
          <w:tcPr>
            <w:tcW w:w="2790" w:type="dxa"/>
            <w:vAlign w:val="center"/>
          </w:tcPr>
          <w:p w14:paraId="25AC02D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PST645UX变压器保护测控装置，5A</w:t>
            </w:r>
          </w:p>
        </w:tc>
        <w:tc>
          <w:tcPr>
            <w:tcW w:w="720" w:type="dxa"/>
            <w:vAlign w:val="center"/>
          </w:tcPr>
          <w:p w14:paraId="7BA3730F">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13</w:t>
            </w:r>
          </w:p>
        </w:tc>
        <w:tc>
          <w:tcPr>
            <w:tcW w:w="825" w:type="dxa"/>
            <w:vAlign w:val="center"/>
          </w:tcPr>
          <w:p w14:paraId="79BCABCA">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台</w:t>
            </w:r>
          </w:p>
        </w:tc>
        <w:tc>
          <w:tcPr>
            <w:tcW w:w="986" w:type="dxa"/>
            <w:vAlign w:val="center"/>
          </w:tcPr>
          <w:p w14:paraId="77C9ED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5" w:type="dxa"/>
            <w:vAlign w:val="center"/>
          </w:tcPr>
          <w:p w14:paraId="1741A41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B86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Align w:val="center"/>
          </w:tcPr>
          <w:p w14:paraId="2655C9DC">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⑧</w:t>
            </w:r>
          </w:p>
        </w:tc>
        <w:tc>
          <w:tcPr>
            <w:tcW w:w="1291" w:type="dxa"/>
            <w:vAlign w:val="center"/>
          </w:tcPr>
          <w:p w14:paraId="0E33085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保护测控装置</w:t>
            </w:r>
          </w:p>
        </w:tc>
        <w:tc>
          <w:tcPr>
            <w:tcW w:w="2790" w:type="dxa"/>
            <w:vAlign w:val="center"/>
          </w:tcPr>
          <w:p w14:paraId="3A2F817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PSM642UX电动机保护测控装置，5A</w:t>
            </w:r>
          </w:p>
        </w:tc>
        <w:tc>
          <w:tcPr>
            <w:tcW w:w="720" w:type="dxa"/>
            <w:vAlign w:val="center"/>
          </w:tcPr>
          <w:p w14:paraId="50B372F8">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825" w:type="dxa"/>
            <w:vAlign w:val="center"/>
          </w:tcPr>
          <w:p w14:paraId="49573203">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台</w:t>
            </w:r>
          </w:p>
        </w:tc>
        <w:tc>
          <w:tcPr>
            <w:tcW w:w="986" w:type="dxa"/>
            <w:vAlign w:val="center"/>
          </w:tcPr>
          <w:p w14:paraId="24B8909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5" w:type="dxa"/>
            <w:vAlign w:val="center"/>
          </w:tcPr>
          <w:p w14:paraId="3AE2A0E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5D460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Align w:val="center"/>
          </w:tcPr>
          <w:p w14:paraId="5B115F2F">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⑨</w:t>
            </w:r>
          </w:p>
        </w:tc>
        <w:tc>
          <w:tcPr>
            <w:tcW w:w="1291" w:type="dxa"/>
            <w:vAlign w:val="center"/>
          </w:tcPr>
          <w:p w14:paraId="63CE767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原监控系统SAC1升级</w:t>
            </w:r>
          </w:p>
        </w:tc>
        <w:tc>
          <w:tcPr>
            <w:tcW w:w="2790" w:type="dxa"/>
            <w:vAlign w:val="center"/>
          </w:tcPr>
          <w:p w14:paraId="6B15DF1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原SAC1的PS6000+V1.0系统升级为PS6000+V2.0，原配电室数据无缝接入</w:t>
            </w:r>
          </w:p>
        </w:tc>
        <w:tc>
          <w:tcPr>
            <w:tcW w:w="720" w:type="dxa"/>
            <w:vAlign w:val="center"/>
          </w:tcPr>
          <w:p w14:paraId="4F8D1A3A">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825" w:type="dxa"/>
            <w:vAlign w:val="center"/>
          </w:tcPr>
          <w:p w14:paraId="087D10EE">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套</w:t>
            </w:r>
          </w:p>
        </w:tc>
        <w:tc>
          <w:tcPr>
            <w:tcW w:w="986" w:type="dxa"/>
            <w:vAlign w:val="center"/>
          </w:tcPr>
          <w:p w14:paraId="2D40EE9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5" w:type="dxa"/>
            <w:vAlign w:val="center"/>
          </w:tcPr>
          <w:p w14:paraId="0DF4AF7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64B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Align w:val="center"/>
          </w:tcPr>
          <w:p w14:paraId="2B5EAE79">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⑩</w:t>
            </w:r>
          </w:p>
        </w:tc>
        <w:tc>
          <w:tcPr>
            <w:tcW w:w="1291" w:type="dxa"/>
            <w:vAlign w:val="center"/>
          </w:tcPr>
          <w:p w14:paraId="1E1984C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原监控系统SAC2升级</w:t>
            </w:r>
          </w:p>
        </w:tc>
        <w:tc>
          <w:tcPr>
            <w:tcW w:w="2790" w:type="dxa"/>
            <w:vAlign w:val="center"/>
          </w:tcPr>
          <w:p w14:paraId="36115A6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原SAC2的PS6000+V1.0系统升级为PS6000+V2.0，原配电室数据无缝接入</w:t>
            </w:r>
          </w:p>
        </w:tc>
        <w:tc>
          <w:tcPr>
            <w:tcW w:w="720" w:type="dxa"/>
            <w:vAlign w:val="center"/>
          </w:tcPr>
          <w:p w14:paraId="2E0B18C2">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825" w:type="dxa"/>
            <w:vAlign w:val="center"/>
          </w:tcPr>
          <w:p w14:paraId="5B23A98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套</w:t>
            </w:r>
          </w:p>
        </w:tc>
        <w:tc>
          <w:tcPr>
            <w:tcW w:w="986" w:type="dxa"/>
            <w:vAlign w:val="center"/>
          </w:tcPr>
          <w:p w14:paraId="35ACB9B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5" w:type="dxa"/>
            <w:vAlign w:val="center"/>
          </w:tcPr>
          <w:p w14:paraId="1200525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559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Align w:val="center"/>
          </w:tcPr>
          <w:p w14:paraId="1F796CFA">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⑪</w:t>
            </w:r>
          </w:p>
        </w:tc>
        <w:tc>
          <w:tcPr>
            <w:tcW w:w="1291" w:type="dxa"/>
            <w:vAlign w:val="center"/>
          </w:tcPr>
          <w:p w14:paraId="676EA5D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新增监控系统</w:t>
            </w:r>
          </w:p>
        </w:tc>
        <w:tc>
          <w:tcPr>
            <w:tcW w:w="2790" w:type="dxa"/>
            <w:vAlign w:val="center"/>
          </w:tcPr>
          <w:p w14:paraId="14D4D10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10KV七配新增一套PS6000+V2.0系统</w:t>
            </w:r>
          </w:p>
        </w:tc>
        <w:tc>
          <w:tcPr>
            <w:tcW w:w="720" w:type="dxa"/>
            <w:vAlign w:val="center"/>
          </w:tcPr>
          <w:p w14:paraId="3EB88E72">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825" w:type="dxa"/>
            <w:vAlign w:val="center"/>
          </w:tcPr>
          <w:p w14:paraId="066E463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套</w:t>
            </w:r>
          </w:p>
        </w:tc>
        <w:tc>
          <w:tcPr>
            <w:tcW w:w="986" w:type="dxa"/>
            <w:vAlign w:val="center"/>
          </w:tcPr>
          <w:p w14:paraId="0A2A401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5" w:type="dxa"/>
            <w:vAlign w:val="center"/>
          </w:tcPr>
          <w:p w14:paraId="59465B8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5424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Align w:val="center"/>
          </w:tcPr>
          <w:p w14:paraId="3CD2E1E9">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⑫</w:t>
            </w:r>
          </w:p>
        </w:tc>
        <w:tc>
          <w:tcPr>
            <w:tcW w:w="1291" w:type="dxa"/>
            <w:vAlign w:val="center"/>
          </w:tcPr>
          <w:p w14:paraId="7523E51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电脑主机、显示器</w:t>
            </w:r>
          </w:p>
        </w:tc>
        <w:tc>
          <w:tcPr>
            <w:tcW w:w="2790" w:type="dxa"/>
            <w:vAlign w:val="center"/>
          </w:tcPr>
          <w:p w14:paraId="4EF21DA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与三套南自后台配套</w:t>
            </w:r>
          </w:p>
        </w:tc>
        <w:tc>
          <w:tcPr>
            <w:tcW w:w="720" w:type="dxa"/>
            <w:vAlign w:val="center"/>
          </w:tcPr>
          <w:p w14:paraId="63A2EE9C">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825" w:type="dxa"/>
            <w:vAlign w:val="center"/>
          </w:tcPr>
          <w:p w14:paraId="15AD6882">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套</w:t>
            </w:r>
          </w:p>
        </w:tc>
        <w:tc>
          <w:tcPr>
            <w:tcW w:w="986" w:type="dxa"/>
            <w:vAlign w:val="center"/>
          </w:tcPr>
          <w:p w14:paraId="160F18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5" w:type="dxa"/>
            <w:vAlign w:val="center"/>
          </w:tcPr>
          <w:p w14:paraId="2BDF9A7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768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Align w:val="center"/>
          </w:tcPr>
          <w:p w14:paraId="393A55E9">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⑬</w:t>
            </w:r>
          </w:p>
        </w:tc>
        <w:tc>
          <w:tcPr>
            <w:tcW w:w="1291" w:type="dxa"/>
            <w:vAlign w:val="center"/>
          </w:tcPr>
          <w:p w14:paraId="18D1134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光纤收发器</w:t>
            </w:r>
          </w:p>
        </w:tc>
        <w:tc>
          <w:tcPr>
            <w:tcW w:w="2790" w:type="dxa"/>
            <w:vAlign w:val="center"/>
          </w:tcPr>
          <w:p w14:paraId="4EF242D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单模，LC口，与交换机配套</w:t>
            </w:r>
          </w:p>
        </w:tc>
        <w:tc>
          <w:tcPr>
            <w:tcW w:w="720" w:type="dxa"/>
            <w:vAlign w:val="center"/>
          </w:tcPr>
          <w:p w14:paraId="4056BB82">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825" w:type="dxa"/>
            <w:vAlign w:val="center"/>
          </w:tcPr>
          <w:p w14:paraId="080F576B">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对</w:t>
            </w:r>
          </w:p>
        </w:tc>
        <w:tc>
          <w:tcPr>
            <w:tcW w:w="986" w:type="dxa"/>
            <w:vAlign w:val="center"/>
          </w:tcPr>
          <w:p w14:paraId="3B01B70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5" w:type="dxa"/>
            <w:vAlign w:val="center"/>
          </w:tcPr>
          <w:p w14:paraId="12BA88B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57D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Align w:val="center"/>
          </w:tcPr>
          <w:p w14:paraId="50F89A02">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⑭</w:t>
            </w:r>
          </w:p>
        </w:tc>
        <w:tc>
          <w:tcPr>
            <w:tcW w:w="1291" w:type="dxa"/>
            <w:vAlign w:val="center"/>
          </w:tcPr>
          <w:p w14:paraId="335F359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工业级交换机</w:t>
            </w:r>
          </w:p>
        </w:tc>
        <w:tc>
          <w:tcPr>
            <w:tcW w:w="2790" w:type="dxa"/>
            <w:vAlign w:val="center"/>
          </w:tcPr>
          <w:p w14:paraId="0F96EF8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4个万兆光口，32个千兆电口</w:t>
            </w:r>
          </w:p>
        </w:tc>
        <w:tc>
          <w:tcPr>
            <w:tcW w:w="720" w:type="dxa"/>
            <w:vAlign w:val="center"/>
          </w:tcPr>
          <w:p w14:paraId="2A80AA72">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825" w:type="dxa"/>
            <w:vAlign w:val="center"/>
          </w:tcPr>
          <w:p w14:paraId="24E2146F">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台</w:t>
            </w:r>
          </w:p>
        </w:tc>
        <w:tc>
          <w:tcPr>
            <w:tcW w:w="986" w:type="dxa"/>
            <w:vAlign w:val="center"/>
          </w:tcPr>
          <w:p w14:paraId="21AE1E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5" w:type="dxa"/>
            <w:vAlign w:val="center"/>
          </w:tcPr>
          <w:p w14:paraId="3CC64D3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1DBE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Align w:val="center"/>
          </w:tcPr>
          <w:p w14:paraId="779CC406">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5</w:t>
            </w:r>
          </w:p>
        </w:tc>
        <w:tc>
          <w:tcPr>
            <w:tcW w:w="1291" w:type="dxa"/>
            <w:vAlign w:val="center"/>
          </w:tcPr>
          <w:p w14:paraId="6D09AD9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高压开关柜</w:t>
            </w:r>
          </w:p>
        </w:tc>
        <w:tc>
          <w:tcPr>
            <w:tcW w:w="2790" w:type="dxa"/>
            <w:vAlign w:val="center"/>
          </w:tcPr>
          <w:p w14:paraId="69ACE8A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开关柜需其制造商提供指导安装调试等现场技术服务，出线柜品牌：上海宝临</w:t>
            </w:r>
          </w:p>
        </w:tc>
        <w:tc>
          <w:tcPr>
            <w:tcW w:w="720" w:type="dxa"/>
            <w:vAlign w:val="center"/>
          </w:tcPr>
          <w:p w14:paraId="75736D5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25" w:type="dxa"/>
            <w:vAlign w:val="center"/>
          </w:tcPr>
          <w:p w14:paraId="279908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86" w:type="dxa"/>
            <w:vAlign w:val="center"/>
          </w:tcPr>
          <w:p w14:paraId="43716D0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5" w:type="dxa"/>
            <w:vAlign w:val="center"/>
          </w:tcPr>
          <w:p w14:paraId="326D441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AB43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Align w:val="center"/>
          </w:tcPr>
          <w:p w14:paraId="5BEAD42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①</w:t>
            </w:r>
          </w:p>
        </w:tc>
        <w:tc>
          <w:tcPr>
            <w:tcW w:w="1291" w:type="dxa"/>
            <w:vAlign w:val="center"/>
          </w:tcPr>
          <w:p w14:paraId="330F657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10kV开关柜（变压器出线柜）</w:t>
            </w:r>
          </w:p>
        </w:tc>
        <w:tc>
          <w:tcPr>
            <w:tcW w:w="2790" w:type="dxa"/>
            <w:vAlign w:val="center"/>
          </w:tcPr>
          <w:p w14:paraId="3A5F86C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型号：KYN28-12;外形尺寸：宽*深*高=800*1560*2300；手车式真空断路器：VS1-12E/630-31.5kA 1台：额定电压：12.6kV，最高工作电压：12.6kV；Ie=630A，Id=80kA，Ir=31.5kA，4s;电流互感器:LZZBJ9-10，150/5A,0.5/10P;         3只过电压保护器 ：TBP</w:t>
            </w:r>
            <w:r>
              <w:rPr>
                <w:rFonts w:hint="eastAsia" w:ascii="宋体" w:hAnsi="宋体" w:eastAsia="宋体" w:cs="宋体"/>
                <w:i w:val="0"/>
                <w:iCs w:val="0"/>
                <w:color w:val="auto"/>
                <w:kern w:val="0"/>
                <w:sz w:val="21"/>
                <w:szCs w:val="21"/>
                <w:u w:val="none"/>
                <w:lang w:val="en-US" w:eastAsia="zh-CN" w:bidi="ar"/>
              </w:rPr>
              <w:softHyphen/>
            </w:r>
            <w:r>
              <w:rPr>
                <w:rFonts w:hint="eastAsia" w:ascii="宋体" w:hAnsi="宋体" w:eastAsia="宋体" w:cs="宋体"/>
                <w:i w:val="0"/>
                <w:iCs w:val="0"/>
                <w:color w:val="auto"/>
                <w:kern w:val="0"/>
                <w:sz w:val="21"/>
                <w:szCs w:val="21"/>
                <w:u w:val="none"/>
                <w:lang w:val="en-US" w:eastAsia="zh-CN" w:bidi="ar"/>
              </w:rPr>
              <w:t>-B-12.7/131;        接地开关：JN15-12/31.5KA，配10kV传感器；          配带电显示器；零序电流互感器：LXK-Φ120,60/1A;  电度表：DSSD331-MC0.5级 100V 1.5(6)A，三相数字电流表；智能保护测控装置：PST645UX，国电南自产品；主母线：3*（TMY-100*10）；</w:t>
            </w:r>
            <w:r>
              <w:rPr>
                <w:rFonts w:hint="eastAsia" w:ascii="宋体" w:hAnsi="宋体" w:eastAsia="宋体" w:cs="宋体"/>
                <w:b/>
                <w:bCs/>
                <w:i w:val="0"/>
                <w:iCs w:val="0"/>
                <w:color w:val="auto"/>
                <w:kern w:val="0"/>
                <w:sz w:val="21"/>
                <w:szCs w:val="21"/>
                <w:u w:val="none"/>
                <w:lang w:val="en-US" w:eastAsia="zh-CN" w:bidi="ar"/>
              </w:rPr>
              <w:t>接地铜排:TMY-40*5</w:t>
            </w:r>
          </w:p>
        </w:tc>
        <w:tc>
          <w:tcPr>
            <w:tcW w:w="720" w:type="dxa"/>
            <w:vAlign w:val="center"/>
          </w:tcPr>
          <w:p w14:paraId="2235CA6E">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825" w:type="dxa"/>
            <w:vAlign w:val="center"/>
          </w:tcPr>
          <w:p w14:paraId="72D011FF">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台</w:t>
            </w:r>
          </w:p>
        </w:tc>
        <w:tc>
          <w:tcPr>
            <w:tcW w:w="986" w:type="dxa"/>
            <w:vAlign w:val="center"/>
          </w:tcPr>
          <w:p w14:paraId="42EA35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5" w:type="dxa"/>
            <w:vAlign w:val="center"/>
          </w:tcPr>
          <w:p w14:paraId="5DAF1D5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E52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Align w:val="center"/>
          </w:tcPr>
          <w:p w14:paraId="3ADBCB5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②</w:t>
            </w:r>
          </w:p>
        </w:tc>
        <w:tc>
          <w:tcPr>
            <w:tcW w:w="1291" w:type="dxa"/>
            <w:vAlign w:val="center"/>
          </w:tcPr>
          <w:p w14:paraId="304A8DC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10kV电机出线柜</w:t>
            </w:r>
          </w:p>
        </w:tc>
        <w:tc>
          <w:tcPr>
            <w:tcW w:w="2790" w:type="dxa"/>
            <w:vAlign w:val="center"/>
          </w:tcPr>
          <w:p w14:paraId="6D31C8D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型号：KYN28-12:外形尺寸：宽*深*高=800*1560*2300；真空断路器：VS1-12E/630-31.5kA 1台；额定电压：12.6kV，最高工作电压：12.6kV，   Ie=1250A，Id=80kA，Ir=31.5kA，4s;          电流互感器:50/5 0.5/10P10;             过电压保护器：TBP</w:t>
            </w:r>
            <w:r>
              <w:rPr>
                <w:rFonts w:hint="eastAsia" w:ascii="宋体" w:hAnsi="宋体" w:eastAsia="宋体" w:cs="宋体"/>
                <w:i w:val="0"/>
                <w:iCs w:val="0"/>
                <w:color w:val="auto"/>
                <w:kern w:val="0"/>
                <w:sz w:val="21"/>
                <w:szCs w:val="21"/>
                <w:u w:val="none"/>
                <w:lang w:val="en-US" w:eastAsia="zh-CN" w:bidi="ar"/>
              </w:rPr>
              <w:softHyphen/>
            </w:r>
            <w:r>
              <w:rPr>
                <w:rFonts w:hint="eastAsia" w:ascii="宋体" w:hAnsi="宋体" w:eastAsia="宋体" w:cs="宋体"/>
                <w:i w:val="0"/>
                <w:iCs w:val="0"/>
                <w:color w:val="auto"/>
                <w:kern w:val="0"/>
                <w:sz w:val="21"/>
                <w:szCs w:val="21"/>
                <w:u w:val="none"/>
                <w:lang w:val="en-US" w:eastAsia="zh-CN" w:bidi="ar"/>
              </w:rPr>
              <w:t>-A-12.7/131;        接地开关：JN15-12/31.5KA，配10kV传感器；          配带电显示器；          零序电流互感器：LXK-Φ120,60/1A;             电度表：DSSD331-MC0.5级        100V 1.5(6)A，三相数字电流表；                   智能保护装置：PSM642UX，国电南自产品；          主母线：3*（TMY-100*10）；</w:t>
            </w:r>
            <w:r>
              <w:rPr>
                <w:rFonts w:hint="eastAsia" w:ascii="宋体" w:hAnsi="宋体" w:eastAsia="宋体" w:cs="宋体"/>
                <w:b/>
                <w:bCs/>
                <w:i w:val="0"/>
                <w:iCs w:val="0"/>
                <w:color w:val="auto"/>
                <w:kern w:val="0"/>
                <w:sz w:val="21"/>
                <w:szCs w:val="21"/>
                <w:u w:val="none"/>
                <w:lang w:val="en-US" w:eastAsia="zh-CN" w:bidi="ar"/>
              </w:rPr>
              <w:t>接地铜排:TMY-40*5</w:t>
            </w:r>
            <w:r>
              <w:rPr>
                <w:rFonts w:hint="eastAsia" w:ascii="宋体" w:hAnsi="宋体" w:eastAsia="宋体" w:cs="宋体"/>
                <w:i w:val="0"/>
                <w:iCs w:val="0"/>
                <w:color w:val="auto"/>
                <w:kern w:val="0"/>
                <w:sz w:val="21"/>
                <w:szCs w:val="21"/>
                <w:u w:val="none"/>
                <w:lang w:val="en-US" w:eastAsia="zh-CN" w:bidi="ar"/>
              </w:rPr>
              <w:t>；</w:t>
            </w:r>
          </w:p>
        </w:tc>
        <w:tc>
          <w:tcPr>
            <w:tcW w:w="720" w:type="dxa"/>
            <w:vAlign w:val="center"/>
          </w:tcPr>
          <w:p w14:paraId="5865409E">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825" w:type="dxa"/>
            <w:vAlign w:val="center"/>
          </w:tcPr>
          <w:p w14:paraId="4642900E">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台</w:t>
            </w:r>
          </w:p>
        </w:tc>
        <w:tc>
          <w:tcPr>
            <w:tcW w:w="986" w:type="dxa"/>
            <w:vAlign w:val="center"/>
          </w:tcPr>
          <w:p w14:paraId="7D05D0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5" w:type="dxa"/>
            <w:vAlign w:val="center"/>
          </w:tcPr>
          <w:p w14:paraId="767E7C2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497F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Align w:val="center"/>
          </w:tcPr>
          <w:p w14:paraId="62EFC7F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30"/>
                <w:szCs w:val="30"/>
                <w:u w:val="none"/>
                <w:lang w:val="en-US" w:eastAsia="zh-CN" w:bidi="ar"/>
              </w:rPr>
              <w:t>6</w:t>
            </w:r>
          </w:p>
        </w:tc>
        <w:tc>
          <w:tcPr>
            <w:tcW w:w="1291" w:type="dxa"/>
            <w:vAlign w:val="center"/>
          </w:tcPr>
          <w:p w14:paraId="397994D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网络机柜</w:t>
            </w:r>
          </w:p>
        </w:tc>
        <w:tc>
          <w:tcPr>
            <w:tcW w:w="2790" w:type="dxa"/>
            <w:vAlign w:val="center"/>
          </w:tcPr>
          <w:p w14:paraId="088077A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600宽，600深，1200高，3层隔板并且上下可调，玻璃前门</w:t>
            </w:r>
          </w:p>
        </w:tc>
        <w:tc>
          <w:tcPr>
            <w:tcW w:w="720" w:type="dxa"/>
            <w:vAlign w:val="center"/>
          </w:tcPr>
          <w:p w14:paraId="48A62BDB">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825" w:type="dxa"/>
            <w:vAlign w:val="center"/>
          </w:tcPr>
          <w:p w14:paraId="5B31A96C">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个</w:t>
            </w:r>
          </w:p>
        </w:tc>
        <w:tc>
          <w:tcPr>
            <w:tcW w:w="986" w:type="dxa"/>
            <w:vAlign w:val="center"/>
          </w:tcPr>
          <w:p w14:paraId="7EBF0BF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5" w:type="dxa"/>
            <w:vAlign w:val="center"/>
          </w:tcPr>
          <w:p w14:paraId="2E133CF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17" w:type="dxa"/>
            <w:gridSpan w:val="7"/>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w:t>
            </w:r>
            <w:r>
              <w:rPr>
                <w:rFonts w:hint="eastAsia"/>
                <w:lang w:val="en-US" w:eastAsia="zh-CN"/>
              </w:rPr>
              <w:t>必须按规格型号参数及品牌要求报价；无品牌要求的必须注明生产厂家及品牌名称，生产厂家必须具有投报产品的生产许可证；每个大项内的各小项必须报全，否则报价无效</w:t>
            </w:r>
            <w:r>
              <w:rPr>
                <w:rFonts w:hint="eastAsia"/>
              </w:rPr>
              <w:t>。</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w:t>
      </w:r>
      <w:r>
        <w:rPr>
          <w:rFonts w:hint="eastAsia" w:ascii="仿宋" w:hAnsi="仿宋" w:eastAsia="仿宋" w:cs="仿宋"/>
          <w:b w:val="0"/>
          <w:bCs/>
          <w:i w:val="0"/>
          <w:caps w:val="0"/>
          <w:color w:val="000000"/>
          <w:spacing w:val="0"/>
          <w:sz w:val="32"/>
          <w:szCs w:val="32"/>
        </w:rPr>
        <w:t>铭牌标识完整清楚</w:t>
      </w:r>
      <w:r>
        <w:rPr>
          <w:rFonts w:hint="eastAsia" w:ascii="仿宋" w:hAnsi="仿宋" w:eastAsia="仿宋" w:cs="仿宋"/>
          <w:b w:val="0"/>
          <w:bCs/>
          <w:i w:val="0"/>
          <w:caps w:val="0"/>
          <w:color w:val="000000"/>
          <w:spacing w:val="0"/>
          <w:sz w:val="32"/>
          <w:szCs w:val="32"/>
          <w:lang w:eastAsia="zh-CN"/>
        </w:rPr>
        <w:t>、</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0208C0E0">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sz w:val="32"/>
          <w:szCs w:val="32"/>
          <w:lang w:val="en-US" w:eastAsia="zh-CN"/>
        </w:rPr>
        <w:t>4、</w:t>
      </w:r>
      <w:r>
        <w:rPr>
          <w:rFonts w:hint="eastAsia" w:ascii="仿宋" w:hAnsi="仿宋" w:eastAsia="仿宋" w:cs="仿宋"/>
          <w:b w:val="0"/>
          <w:bCs/>
          <w:i w:val="0"/>
          <w:caps w:val="0"/>
          <w:color w:val="000000"/>
          <w:spacing w:val="0"/>
          <w:kern w:val="0"/>
          <w:sz w:val="32"/>
          <w:szCs w:val="32"/>
          <w:lang w:val="en-US" w:eastAsia="zh-CN" w:bidi="ar"/>
        </w:rPr>
        <w:t>售后服务要求：货物到需方公司后，需方发现质量问题，电话或书</w:t>
      </w:r>
      <w:r>
        <w:rPr>
          <w:rFonts w:hint="eastAsia" w:ascii="仿宋" w:hAnsi="仿宋" w:eastAsia="仿宋" w:cs="仿宋"/>
          <w:i w:val="0"/>
          <w:caps w:val="0"/>
          <w:color w:val="000000"/>
          <w:spacing w:val="0"/>
          <w:kern w:val="0"/>
          <w:sz w:val="32"/>
          <w:szCs w:val="32"/>
          <w:lang w:val="en-US" w:eastAsia="zh-CN" w:bidi="ar"/>
        </w:rPr>
        <w:t>面通知供方，供方必须在2小时之内予以答复并在48小时内到达需方现场解决。具体要求如下：</w:t>
      </w:r>
    </w:p>
    <w:p w14:paraId="0A9A612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1）</w:t>
      </w:r>
      <w:r>
        <w:rPr>
          <w:rFonts w:hint="eastAsia" w:ascii="仿宋" w:hAnsi="仿宋" w:eastAsia="仿宋" w:cs="仿宋"/>
          <w:i w:val="0"/>
          <w:caps w:val="0"/>
          <w:color w:val="000000"/>
          <w:spacing w:val="0"/>
          <w:sz w:val="32"/>
          <w:szCs w:val="32"/>
        </w:rPr>
        <w:t>供方必须及时提供与</w:t>
      </w:r>
      <w:r>
        <w:rPr>
          <w:rFonts w:hint="eastAsia" w:ascii="仿宋" w:hAnsi="仿宋" w:eastAsia="仿宋" w:cs="仿宋"/>
          <w:i w:val="0"/>
          <w:caps w:val="0"/>
          <w:color w:val="000000"/>
          <w:spacing w:val="0"/>
          <w:sz w:val="32"/>
          <w:szCs w:val="32"/>
          <w:lang w:val="en-US" w:eastAsia="zh-CN"/>
        </w:rPr>
        <w:t>询比</w:t>
      </w:r>
      <w:r>
        <w:rPr>
          <w:rFonts w:hint="eastAsia" w:ascii="仿宋" w:hAnsi="仿宋" w:eastAsia="仿宋" w:cs="仿宋"/>
          <w:i w:val="0"/>
          <w:caps w:val="0"/>
          <w:color w:val="000000"/>
          <w:spacing w:val="0"/>
          <w:sz w:val="32"/>
          <w:szCs w:val="32"/>
        </w:rPr>
        <w:t>设备有关的工作（如检验、土建、安装、调试、验收、性能验收试验、运行、检修等）的技术指导、技术配合、技术培训等全过程的服务。</w:t>
      </w:r>
    </w:p>
    <w:p w14:paraId="763F070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2）</w:t>
      </w:r>
      <w:r>
        <w:rPr>
          <w:rFonts w:hint="eastAsia" w:ascii="仿宋" w:hAnsi="仿宋" w:eastAsia="仿宋" w:cs="仿宋"/>
          <w:i w:val="0"/>
          <w:caps w:val="0"/>
          <w:color w:val="000000"/>
          <w:spacing w:val="0"/>
          <w:sz w:val="32"/>
          <w:szCs w:val="32"/>
        </w:rPr>
        <w:t>如需方认为有必要，则供方需到现场进行指导安装、调试。</w:t>
      </w:r>
    </w:p>
    <w:p w14:paraId="3559CAC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3）</w:t>
      </w:r>
      <w:r>
        <w:rPr>
          <w:rFonts w:hint="eastAsia" w:ascii="仿宋" w:hAnsi="仿宋" w:eastAsia="仿宋" w:cs="仿宋"/>
          <w:i w:val="0"/>
          <w:caps w:val="0"/>
          <w:color w:val="000000"/>
          <w:spacing w:val="0"/>
          <w:sz w:val="32"/>
          <w:szCs w:val="32"/>
        </w:rPr>
        <w:t>供方负责解决</w:t>
      </w:r>
      <w:r>
        <w:rPr>
          <w:rFonts w:hint="eastAsia" w:ascii="仿宋" w:hAnsi="仿宋" w:eastAsia="仿宋" w:cs="仿宋"/>
          <w:i w:val="0"/>
          <w:caps w:val="0"/>
          <w:color w:val="000000"/>
          <w:spacing w:val="0"/>
          <w:sz w:val="32"/>
          <w:szCs w:val="32"/>
          <w:lang w:val="en-US" w:eastAsia="zh-CN"/>
        </w:rPr>
        <w:t>询比</w:t>
      </w:r>
      <w:r>
        <w:rPr>
          <w:rFonts w:hint="eastAsia" w:ascii="仿宋" w:hAnsi="仿宋" w:eastAsia="仿宋" w:cs="仿宋"/>
          <w:i w:val="0"/>
          <w:caps w:val="0"/>
          <w:color w:val="000000"/>
          <w:spacing w:val="0"/>
          <w:sz w:val="32"/>
          <w:szCs w:val="32"/>
        </w:rPr>
        <w:t>设备在安装调试及运行中发生的制造质量及性能等有关问题。</w:t>
      </w:r>
    </w:p>
    <w:p w14:paraId="269D8BA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4）</w:t>
      </w:r>
      <w:r>
        <w:rPr>
          <w:rFonts w:hint="eastAsia" w:ascii="仿宋" w:hAnsi="仿宋" w:eastAsia="仿宋" w:cs="仿宋"/>
          <w:i w:val="0"/>
          <w:caps w:val="0"/>
          <w:color w:val="000000"/>
          <w:spacing w:val="0"/>
          <w:sz w:val="32"/>
          <w:szCs w:val="32"/>
        </w:rPr>
        <w:t>供方有义务在必要时邀请需方参与供方的技术设计，并向需方解释技术设计。</w:t>
      </w:r>
    </w:p>
    <w:p w14:paraId="6A7C087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5）</w:t>
      </w:r>
      <w:r>
        <w:rPr>
          <w:rFonts w:hint="eastAsia" w:ascii="仿宋" w:hAnsi="仿宋" w:eastAsia="仿宋" w:cs="仿宋"/>
          <w:i w:val="0"/>
          <w:caps w:val="0"/>
          <w:color w:val="000000"/>
          <w:spacing w:val="0"/>
          <w:sz w:val="32"/>
          <w:szCs w:val="32"/>
        </w:rPr>
        <w:t>质保期内，及时就设备的质量及技术问题提供现场或远程服务。</w:t>
      </w:r>
    </w:p>
    <w:p w14:paraId="0D8BAAA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6）</w:t>
      </w:r>
      <w:r>
        <w:rPr>
          <w:rFonts w:hint="eastAsia" w:ascii="仿宋" w:hAnsi="仿宋" w:eastAsia="仿宋" w:cs="仿宋"/>
          <w:i w:val="0"/>
          <w:caps w:val="0"/>
          <w:color w:val="000000"/>
          <w:spacing w:val="0"/>
          <w:sz w:val="32"/>
          <w:szCs w:val="32"/>
        </w:rPr>
        <w:t>质保期外，如需方向供方购买相关备品备件，供方收费应合理。</w:t>
      </w:r>
    </w:p>
    <w:p w14:paraId="2A86EDE0">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i w:val="0"/>
          <w:caps w:val="0"/>
          <w:color w:val="000000"/>
          <w:spacing w:val="0"/>
          <w:sz w:val="32"/>
          <w:szCs w:val="32"/>
          <w:lang w:val="en-US" w:eastAsia="zh-CN"/>
        </w:rPr>
        <w:t>7）</w:t>
      </w:r>
      <w:r>
        <w:rPr>
          <w:rFonts w:hint="eastAsia" w:ascii="仿宋" w:hAnsi="仿宋" w:eastAsia="仿宋" w:cs="仿宋"/>
          <w:i w:val="0"/>
          <w:caps w:val="0"/>
          <w:color w:val="000000"/>
          <w:spacing w:val="0"/>
          <w:sz w:val="32"/>
          <w:szCs w:val="32"/>
        </w:rPr>
        <w:t>质保期外，需方要求提供的技术支持，供方不得以任何理由推诿。</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33795778"/>
      <w:bookmarkStart w:id="9" w:name="_Toc14688"/>
      <w:bookmarkStart w:id="10" w:name="_Toc29895"/>
      <w:bookmarkStart w:id="11" w:name="_Toc14196"/>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w:t>
      </w:r>
      <w:r>
        <w:rPr>
          <w:rFonts w:hint="eastAsia" w:ascii="仿宋" w:hAnsi="仿宋" w:eastAsia="仿宋" w:cs="仿宋"/>
          <w:b w:val="0"/>
          <w:bCs w:val="0"/>
          <w:i w:val="0"/>
          <w:caps w:val="0"/>
          <w:color w:val="000000"/>
          <w:spacing w:val="0"/>
          <w:sz w:val="32"/>
          <w:szCs w:val="32"/>
        </w:rPr>
        <w:t>标志、起吊、</w:t>
      </w:r>
      <w:r>
        <w:rPr>
          <w:rFonts w:hint="eastAsia" w:ascii="仿宋" w:hAnsi="仿宋" w:eastAsia="仿宋" w:cs="仿宋"/>
          <w:b w:val="0"/>
          <w:bCs w:val="0"/>
          <w:i w:val="0"/>
          <w:caps w:val="0"/>
          <w:color w:val="000000"/>
          <w:spacing w:val="0"/>
          <w:sz w:val="32"/>
          <w:szCs w:val="32"/>
          <w:lang w:val="en-US" w:eastAsia="zh-CN"/>
        </w:rPr>
        <w:t>安装、</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46AA947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b w:val="0"/>
          <w:bCs w:val="0"/>
          <w:i w:val="0"/>
          <w:caps w:val="0"/>
          <w:color w:val="000000"/>
          <w:spacing w:val="0"/>
          <w:sz w:val="32"/>
          <w:szCs w:val="32"/>
          <w:lang w:val="en-US" w:eastAsia="zh-CN"/>
        </w:rPr>
        <w:t>1）</w:t>
      </w:r>
      <w:r>
        <w:rPr>
          <w:rFonts w:hint="eastAsia" w:ascii="仿宋" w:hAnsi="仿宋" w:eastAsia="仿宋" w:cs="仿宋"/>
          <w:b w:val="0"/>
          <w:bCs w:val="0"/>
          <w:i w:val="0"/>
          <w:caps w:val="0"/>
          <w:color w:val="000000"/>
          <w:spacing w:val="0"/>
          <w:sz w:val="32"/>
          <w:szCs w:val="32"/>
        </w:rPr>
        <w:t>设备（材料）包装由厂家负责。产品标</w:t>
      </w:r>
      <w:r>
        <w:rPr>
          <w:rFonts w:hint="eastAsia" w:ascii="仿宋" w:hAnsi="仿宋" w:eastAsia="仿宋" w:cs="仿宋"/>
          <w:i w:val="0"/>
          <w:caps w:val="0"/>
          <w:color w:val="000000"/>
          <w:spacing w:val="0"/>
          <w:sz w:val="32"/>
          <w:szCs w:val="32"/>
        </w:rPr>
        <w:t>有明晰的制造厂家标识。其内容包含：型号、规格、制造厂名称、生产日期。产品外包装标志有：产品名称、制造厂名称、出厂日期、收货单位、起吊位置、总重和净重。包装箱内附带装箱清单、产品合格证书、出厂检验报告、技术说明书等。</w:t>
      </w:r>
    </w:p>
    <w:p w14:paraId="0E3978B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2）</w:t>
      </w:r>
      <w:r>
        <w:rPr>
          <w:rFonts w:hint="eastAsia" w:ascii="仿宋" w:hAnsi="仿宋" w:eastAsia="仿宋" w:cs="仿宋"/>
          <w:i w:val="0"/>
          <w:caps w:val="0"/>
          <w:color w:val="000000"/>
          <w:spacing w:val="0"/>
          <w:sz w:val="32"/>
          <w:szCs w:val="32"/>
        </w:rPr>
        <w:t>运输由供方负责，运输时需保护设备（材料）的所有组件、部件等不损坏和受潮。</w:t>
      </w:r>
    </w:p>
    <w:p w14:paraId="63977EF2">
      <w:pPr>
        <w:keepNext w:val="0"/>
        <w:keepLines w:val="0"/>
        <w:pageBreakBefore w:val="0"/>
        <w:widowControl w:val="0"/>
        <w:kinsoku/>
        <w:wordWrap/>
        <w:overflowPunct w:val="0"/>
        <w:topLinePunct w:val="0"/>
        <w:autoSpaceDE/>
        <w:autoSpaceDN/>
        <w:bidi w:val="0"/>
        <w:adjustRightInd w:val="0"/>
        <w:snapToGrid/>
        <w:spacing w:line="500" w:lineRule="exact"/>
        <w:ind w:firstLine="640" w:firstLineChars="200"/>
        <w:jc w:val="both"/>
        <w:textAlignment w:val="auto"/>
        <w:rPr>
          <w:rFonts w:hint="eastAsia" w:ascii="仿宋" w:hAnsi="仿宋" w:eastAsia="仿宋" w:cs="仿宋"/>
          <w:bCs/>
          <w:color w:val="auto"/>
          <w:sz w:val="32"/>
          <w:szCs w:val="32"/>
          <w:lang w:eastAsia="zh-CN"/>
        </w:rPr>
      </w:pPr>
      <w:r>
        <w:rPr>
          <w:rFonts w:hint="eastAsia" w:ascii="仿宋" w:hAnsi="仿宋" w:eastAsia="仿宋" w:cs="仿宋"/>
          <w:i w:val="0"/>
          <w:caps w:val="0"/>
          <w:color w:val="000000"/>
          <w:spacing w:val="0"/>
          <w:sz w:val="32"/>
          <w:szCs w:val="32"/>
          <w:lang w:val="en-US" w:eastAsia="zh-CN"/>
        </w:rPr>
        <w:t>3）</w:t>
      </w:r>
      <w:r>
        <w:rPr>
          <w:rFonts w:hint="eastAsia" w:ascii="仿宋" w:hAnsi="仿宋" w:eastAsia="仿宋" w:cs="仿宋"/>
          <w:i w:val="0"/>
          <w:caps w:val="0"/>
          <w:color w:val="000000"/>
          <w:spacing w:val="0"/>
          <w:sz w:val="32"/>
          <w:szCs w:val="32"/>
        </w:rPr>
        <w:t>成套拆卸的组件和零件的包装应保证经过运输、储存直至安装不损伤和受潮。</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caps w:val="0"/>
          <w:color w:val="000000"/>
          <w:spacing w:val="0"/>
          <w:sz w:val="32"/>
          <w:szCs w:val="32"/>
        </w:rPr>
        <w:t>设备制造企业</w:t>
      </w:r>
      <w:r>
        <w:rPr>
          <w:rFonts w:hint="eastAsia" w:ascii="仿宋" w:hAnsi="仿宋" w:eastAsia="仿宋" w:cs="仿宋"/>
          <w:i w:val="0"/>
          <w:caps w:val="0"/>
          <w:color w:val="000000"/>
          <w:spacing w:val="0"/>
          <w:sz w:val="32"/>
          <w:szCs w:val="32"/>
          <w:lang w:val="en-US" w:eastAsia="zh-CN"/>
        </w:rPr>
        <w:t>具有</w:t>
      </w:r>
      <w:r>
        <w:rPr>
          <w:rFonts w:hint="eastAsia" w:ascii="仿宋" w:hAnsi="仿宋" w:eastAsia="仿宋" w:cs="仿宋"/>
          <w:i w:val="0"/>
          <w:caps w:val="0"/>
          <w:color w:val="000000"/>
          <w:spacing w:val="0"/>
          <w:sz w:val="32"/>
          <w:szCs w:val="32"/>
        </w:rPr>
        <w:t>ISO9001质量管理体系认证证书</w:t>
      </w:r>
      <w:r>
        <w:rPr>
          <w:rFonts w:hint="eastAsia" w:ascii="仿宋" w:hAnsi="仿宋" w:eastAsia="仿宋" w:cs="仿宋"/>
          <w:i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144974510"/>
      <w:bookmarkStart w:id="13" w:name="_Toc361508598"/>
      <w:bookmarkStart w:id="14" w:name="_Toc152042318"/>
      <w:bookmarkStart w:id="15" w:name="_Toc247527567"/>
      <w:bookmarkStart w:id="16" w:name="_Toc384308223"/>
      <w:bookmarkStart w:id="17" w:name="_Toc247513966"/>
      <w:bookmarkStart w:id="18" w:name="_Toc300834963"/>
      <w:bookmarkStart w:id="19" w:name="_Toc25772"/>
      <w:bookmarkStart w:id="20" w:name="_Toc152045542"/>
      <w:bookmarkStart w:id="21" w:name="_Toc352691486"/>
      <w:bookmarkStart w:id="22" w:name="_Toc369531529"/>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247527568"/>
      <w:bookmarkStart w:id="24" w:name="_Toc300834964"/>
      <w:bookmarkStart w:id="25" w:name="_Toc369531530"/>
      <w:bookmarkStart w:id="26" w:name="_Toc152045543"/>
      <w:bookmarkStart w:id="27" w:name="_Toc352691487"/>
      <w:bookmarkStart w:id="28" w:name="_Toc152042319"/>
      <w:bookmarkStart w:id="29" w:name="_Toc144974511"/>
      <w:bookmarkStart w:id="30" w:name="_Toc247513967"/>
      <w:bookmarkStart w:id="31" w:name="_Toc15242"/>
      <w:bookmarkStart w:id="32" w:name="_Toc361508599"/>
      <w:bookmarkStart w:id="33" w:name="_Toc384308224"/>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29025"/>
      <w:bookmarkStart w:id="35" w:name="_Toc352691490"/>
      <w:bookmarkStart w:id="36" w:name="_Toc361508602"/>
      <w:bookmarkStart w:id="37" w:name="_Toc384308227"/>
      <w:bookmarkStart w:id="38" w:name="_Toc369531533"/>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52045546"/>
      <w:bookmarkStart w:id="40" w:name="_Toc144974514"/>
      <w:bookmarkStart w:id="41" w:name="_Toc247513970"/>
      <w:bookmarkStart w:id="42" w:name="_Toc369531534"/>
      <w:bookmarkStart w:id="43" w:name="_Toc152042322"/>
      <w:bookmarkStart w:id="44" w:name="_Toc384308228"/>
      <w:bookmarkStart w:id="45" w:name="_Toc300834967"/>
      <w:bookmarkStart w:id="46" w:name="_Toc14751"/>
      <w:bookmarkStart w:id="47" w:name="_Toc361508603"/>
      <w:bookmarkStart w:id="48" w:name="_Toc247527571"/>
      <w:bookmarkStart w:id="49" w:name="_Toc352691491"/>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247513971"/>
      <w:bookmarkStart w:id="51" w:name="_Toc152042323"/>
      <w:bookmarkStart w:id="52" w:name="_Toc384308229"/>
      <w:bookmarkStart w:id="53" w:name="_Toc369531535"/>
      <w:bookmarkStart w:id="54" w:name="_Toc144974515"/>
      <w:bookmarkStart w:id="55" w:name="_Toc300834968"/>
      <w:bookmarkStart w:id="56" w:name="_Toc152045547"/>
      <w:bookmarkStart w:id="57" w:name="_Toc247527572"/>
      <w:bookmarkStart w:id="58" w:name="_Toc352691492"/>
      <w:bookmarkStart w:id="59" w:name="_Toc361508604"/>
      <w:bookmarkStart w:id="60" w:name="_Toc17952"/>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8216"/>
      <w:bookmarkStart w:id="62" w:name="_Toc21871"/>
      <w:bookmarkStart w:id="63" w:name="_Toc24514"/>
      <w:bookmarkStart w:id="64" w:name="_Toc337957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4月 18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4 月  18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2907"/>
      <w:bookmarkStart w:id="66" w:name="_Toc369531582"/>
      <w:bookmarkStart w:id="67" w:name="_Toc361508651"/>
      <w:bookmarkStart w:id="68" w:name="_Toc300835013"/>
      <w:bookmarkStart w:id="69" w:name="_Toc247527628"/>
      <w:bookmarkStart w:id="70" w:name="_Toc352691538"/>
      <w:bookmarkStart w:id="71" w:name="_Toc152042380"/>
      <w:bookmarkStart w:id="72" w:name="_Toc144974570"/>
      <w:bookmarkStart w:id="73" w:name="_Toc247514027"/>
      <w:bookmarkStart w:id="74" w:name="_Toc384308277"/>
      <w:bookmarkStart w:id="75" w:name="_Toc152045603"/>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29291"/>
      <w:bookmarkStart w:id="77" w:name="_Toc13563"/>
      <w:bookmarkStart w:id="78" w:name="_Toc16955"/>
      <w:bookmarkStart w:id="79" w:name="_Toc33795835"/>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22DE88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3366"/>
      <w:bookmarkStart w:id="81" w:name="_Toc32669"/>
      <w:bookmarkStart w:id="82" w:name="_Toc33795836"/>
      <w:bookmarkStart w:id="83" w:name="_Toc1525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到高（或综合得分由高到低）</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8518"/>
      <w:bookmarkStart w:id="85" w:name="_Toc33795807"/>
      <w:bookmarkStart w:id="86" w:name="_Toc9481"/>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33795808"/>
      <w:bookmarkStart w:id="88" w:name="_Toc30852"/>
      <w:bookmarkStart w:id="89" w:name="_Toc16094"/>
      <w:bookmarkStart w:id="90" w:name="_Toc2109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0372"/>
      <w:bookmarkStart w:id="92" w:name="_Toc33795809"/>
      <w:bookmarkStart w:id="93" w:name="_Toc19079"/>
      <w:bookmarkStart w:id="94" w:name="_Toc701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144974529"/>
      <w:bookmarkStart w:id="96" w:name="_Toc300834982"/>
      <w:bookmarkStart w:id="97" w:name="_Toc384308243"/>
      <w:bookmarkStart w:id="98" w:name="_Toc369531549"/>
      <w:bookmarkStart w:id="99" w:name="_Toc361508618"/>
      <w:bookmarkStart w:id="100" w:name="_Toc352691505"/>
      <w:bookmarkStart w:id="101" w:name="_Toc247513985"/>
      <w:bookmarkStart w:id="102" w:name="_Toc30095"/>
      <w:bookmarkStart w:id="103" w:name="_Toc152045561"/>
      <w:bookmarkStart w:id="104" w:name="_Toc152042337"/>
      <w:bookmarkStart w:id="105" w:name="_Toc247527586"/>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5590"/>
      <w:bookmarkStart w:id="107" w:name="_Toc21648"/>
      <w:bookmarkStart w:id="108" w:name="_Toc33795810"/>
      <w:bookmarkStart w:id="109" w:name="_Toc2875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4665"/>
      <w:bookmarkStart w:id="111" w:name="_Toc33795811"/>
      <w:bookmarkStart w:id="112" w:name="_Toc19470"/>
      <w:bookmarkStart w:id="113" w:name="_Toc219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1681"/>
      <w:bookmarkStart w:id="115" w:name="_Toc6928"/>
      <w:bookmarkStart w:id="116" w:name="_Toc10813"/>
      <w:bookmarkStart w:id="117" w:name="_Toc3379581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5668"/>
      <w:bookmarkStart w:id="119" w:name="_Toc352691506"/>
      <w:bookmarkStart w:id="120" w:name="_Toc361508619"/>
      <w:bookmarkStart w:id="121" w:name="_Toc300834983"/>
      <w:bookmarkStart w:id="122" w:name="_Toc369531550"/>
      <w:bookmarkStart w:id="123" w:name="_Toc384308244"/>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3795813"/>
      <w:bookmarkStart w:id="125" w:name="_Toc4342"/>
      <w:bookmarkStart w:id="126" w:name="_Toc21613"/>
      <w:bookmarkStart w:id="127" w:name="_Toc3070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3671"/>
      <w:bookmarkStart w:id="129" w:name="_Toc14362"/>
      <w:bookmarkStart w:id="130" w:name="_Toc33795814"/>
      <w:bookmarkStart w:id="131" w:name="_Toc11183"/>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84308247"/>
      <w:bookmarkStart w:id="133" w:name="_Toc352691509"/>
      <w:bookmarkStart w:id="134" w:name="_Toc361508622"/>
      <w:bookmarkStart w:id="135" w:name="_Toc152045564"/>
      <w:bookmarkStart w:id="136" w:name="_Toc152042340"/>
      <w:bookmarkStart w:id="137" w:name="_Toc144974532"/>
      <w:bookmarkStart w:id="138" w:name="_Toc247513988"/>
      <w:bookmarkStart w:id="139" w:name="_Toc369531553"/>
      <w:bookmarkStart w:id="140" w:name="_Toc300834986"/>
      <w:bookmarkStart w:id="141" w:name="_Toc247527589"/>
      <w:bookmarkStart w:id="142" w:name="_Toc4656"/>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247513989"/>
      <w:bookmarkStart w:id="144" w:name="_Toc300834987"/>
      <w:bookmarkStart w:id="145" w:name="_Toc361508623"/>
      <w:bookmarkStart w:id="146" w:name="_Toc144974533"/>
      <w:bookmarkStart w:id="147" w:name="_Toc18247"/>
      <w:bookmarkStart w:id="148" w:name="_Toc152042341"/>
      <w:bookmarkStart w:id="149" w:name="_Toc152045565"/>
      <w:bookmarkStart w:id="150" w:name="_Toc369531554"/>
      <w:bookmarkStart w:id="151" w:name="_Toc247527590"/>
      <w:bookmarkStart w:id="152" w:name="_Toc352691510"/>
      <w:bookmarkStart w:id="153" w:name="_Toc384308248"/>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24067"/>
      <w:bookmarkStart w:id="155" w:name="_Toc384308252"/>
      <w:bookmarkStart w:id="156" w:name="_Toc361508627"/>
      <w:bookmarkStart w:id="157" w:name="_Toc247527593"/>
      <w:bookmarkStart w:id="158" w:name="_Toc144974536"/>
      <w:bookmarkStart w:id="159" w:name="_Toc152045568"/>
      <w:bookmarkStart w:id="160" w:name="_Toc300834991"/>
      <w:bookmarkStart w:id="161" w:name="_Toc247513992"/>
      <w:bookmarkStart w:id="162" w:name="_Toc152042344"/>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25347"/>
      <w:bookmarkStart w:id="164" w:name="_Toc33795815"/>
      <w:bookmarkStart w:id="165"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13644"/>
      <w:bookmarkStart w:id="167" w:name="_Toc369531559"/>
      <w:bookmarkStart w:id="168" w:name="_Toc384308253"/>
      <w:bookmarkStart w:id="169" w:name="_Toc361508628"/>
      <w:bookmarkStart w:id="170" w:name="_Toc352691515"/>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18070"/>
      <w:bookmarkStart w:id="172" w:name="_Toc24957"/>
      <w:bookmarkStart w:id="173" w:name="_Toc33795820"/>
      <w:bookmarkStart w:id="174" w:name="_Toc22294"/>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D00F75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3F57161">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21F77C3">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404928A1">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2025年04月16日</w:t>
      </w:r>
    </w:p>
    <w:p w14:paraId="6DDA92B8">
      <w:pPr>
        <w:pStyle w:val="2"/>
        <w:jc w:val="both"/>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14363837">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5D283E59">
      <w:pPr>
        <w:spacing w:line="400" w:lineRule="exact"/>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XB20250416-03</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2025年4月</w:t>
      </w:r>
      <w:r>
        <w:rPr>
          <w:rFonts w:hint="eastAsia" w:ascii="Times New Roman" w:hAnsi="Times New Roman" w:eastAsia="黑体"/>
          <w:color w:val="auto"/>
          <w:sz w:val="44"/>
          <w:szCs w:val="44"/>
          <w:highlight w:val="none"/>
          <w:lang w:val="en-US" w:eastAsia="zh-CN"/>
        </w:rPr>
        <w:t>机动车间10KV电网消缺高压电缆、电气</w:t>
      </w: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52691662"/>
      <w:bookmarkStart w:id="183" w:name="_Toc27897"/>
      <w:bookmarkStart w:id="184"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152045789"/>
      <w:bookmarkStart w:id="186" w:name="_Toc352691663"/>
      <w:bookmarkStart w:id="187" w:name="_Toc247527829"/>
      <w:bookmarkStart w:id="188" w:name="_Toc15573"/>
      <w:bookmarkStart w:id="189" w:name="_Toc300835211"/>
      <w:bookmarkStart w:id="190" w:name="_Toc369531699"/>
      <w:bookmarkStart w:id="191" w:name="_Toc247514248"/>
      <w:bookmarkStart w:id="192" w:name="_Toc152042578"/>
      <w:bookmarkStart w:id="193" w:name="_Toc361508754"/>
      <w:bookmarkStart w:id="194" w:name="_Toc384308377"/>
      <w:bookmarkStart w:id="195" w:name="_Toc144974858"/>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57ADCE4C">
      <w:pPr>
        <w:rPr>
          <w:rFonts w:hint="default"/>
          <w:lang w:val="en-US" w:eastAsia="zh-CN"/>
        </w:rPr>
      </w:pPr>
      <w:r>
        <w:rPr>
          <w:rFonts w:hint="eastAsia" w:ascii="黑体" w:hAnsi="黑体" w:cs="黑体"/>
          <w:b/>
          <w:bCs/>
          <w:color w:val="auto"/>
          <w:kern w:val="2"/>
          <w:sz w:val="36"/>
          <w:szCs w:val="36"/>
          <w:lang w:val="en-US" w:eastAsia="zh-CN" w:bidi="ar-SA"/>
        </w:rPr>
        <w:t>（一）报价表</w:t>
      </w:r>
    </w:p>
    <w:tbl>
      <w:tblPr>
        <w:tblStyle w:val="10"/>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684"/>
        <w:gridCol w:w="2276"/>
        <w:gridCol w:w="585"/>
        <w:gridCol w:w="660"/>
        <w:gridCol w:w="1035"/>
        <w:gridCol w:w="1065"/>
        <w:gridCol w:w="870"/>
      </w:tblGrid>
      <w:tr w14:paraId="18B2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7AC468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684" w:type="dxa"/>
            <w:vAlign w:val="center"/>
          </w:tcPr>
          <w:p w14:paraId="7B50C506">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276" w:type="dxa"/>
            <w:vAlign w:val="center"/>
          </w:tcPr>
          <w:p w14:paraId="6FC787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85" w:type="dxa"/>
            <w:vAlign w:val="center"/>
          </w:tcPr>
          <w:p w14:paraId="5C1DAB6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数量</w:t>
            </w:r>
          </w:p>
        </w:tc>
        <w:tc>
          <w:tcPr>
            <w:tcW w:w="660" w:type="dxa"/>
            <w:vAlign w:val="center"/>
          </w:tcPr>
          <w:p w14:paraId="7BE0CA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1035" w:type="dxa"/>
            <w:vAlign w:val="center"/>
          </w:tcPr>
          <w:p w14:paraId="178ECB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tc>
        <w:tc>
          <w:tcPr>
            <w:tcW w:w="1065" w:type="dxa"/>
            <w:vAlign w:val="center"/>
          </w:tcPr>
          <w:p w14:paraId="7BB7F11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c>
          <w:tcPr>
            <w:tcW w:w="870" w:type="dxa"/>
            <w:vAlign w:val="center"/>
          </w:tcPr>
          <w:p w14:paraId="71AEA79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交货期限</w:t>
            </w:r>
          </w:p>
        </w:tc>
      </w:tr>
      <w:tr w14:paraId="49C9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Align w:val="center"/>
          </w:tcPr>
          <w:p w14:paraId="7E453126">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color w:val="auto"/>
                <w:sz w:val="30"/>
                <w:szCs w:val="30"/>
                <w:vertAlign w:val="baseline"/>
                <w:lang w:val="en-US" w:eastAsia="zh-CN"/>
              </w:rPr>
              <w:t>1</w:t>
            </w:r>
          </w:p>
        </w:tc>
        <w:tc>
          <w:tcPr>
            <w:tcW w:w="1684" w:type="dxa"/>
            <w:vAlign w:val="center"/>
          </w:tcPr>
          <w:p w14:paraId="5ABE8044">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阻燃型铠装高压电力电缆</w:t>
            </w:r>
          </w:p>
        </w:tc>
        <w:tc>
          <w:tcPr>
            <w:tcW w:w="2276" w:type="dxa"/>
            <w:vAlign w:val="center"/>
          </w:tcPr>
          <w:p w14:paraId="2D7B0B86">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ZC-YJV22-8.7/10KV 3x70</w:t>
            </w:r>
          </w:p>
        </w:tc>
        <w:tc>
          <w:tcPr>
            <w:tcW w:w="585" w:type="dxa"/>
            <w:vAlign w:val="center"/>
          </w:tcPr>
          <w:p w14:paraId="0EE2B8D0">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760</w:t>
            </w:r>
          </w:p>
        </w:tc>
        <w:tc>
          <w:tcPr>
            <w:tcW w:w="660" w:type="dxa"/>
            <w:vAlign w:val="center"/>
          </w:tcPr>
          <w:p w14:paraId="2024B43E">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米</w:t>
            </w:r>
          </w:p>
        </w:tc>
        <w:tc>
          <w:tcPr>
            <w:tcW w:w="1035" w:type="dxa"/>
            <w:vAlign w:val="center"/>
          </w:tcPr>
          <w:p w14:paraId="7C8F310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65" w:type="dxa"/>
            <w:vAlign w:val="center"/>
          </w:tcPr>
          <w:p w14:paraId="39F3F11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4B3F98C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8ED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Align w:val="center"/>
          </w:tcPr>
          <w:p w14:paraId="66640E0E">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i w:val="0"/>
                <w:iCs w:val="0"/>
                <w:color w:val="000000"/>
                <w:kern w:val="0"/>
                <w:sz w:val="30"/>
                <w:szCs w:val="30"/>
                <w:u w:val="none"/>
                <w:lang w:val="en-US" w:eastAsia="zh-CN" w:bidi="ar"/>
              </w:rPr>
              <w:t>2</w:t>
            </w:r>
          </w:p>
        </w:tc>
        <w:tc>
          <w:tcPr>
            <w:tcW w:w="1684" w:type="dxa"/>
            <w:vAlign w:val="center"/>
          </w:tcPr>
          <w:p w14:paraId="2C6BA8D5">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10kV户内热缩型电缆终端头（3芯）</w:t>
            </w:r>
          </w:p>
        </w:tc>
        <w:tc>
          <w:tcPr>
            <w:tcW w:w="2276" w:type="dxa"/>
            <w:vAlign w:val="center"/>
          </w:tcPr>
          <w:p w14:paraId="01151A34">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70-120mm</w:t>
            </w:r>
            <w:r>
              <w:rPr>
                <w:rFonts w:hint="eastAsia" w:ascii="宋体" w:hAnsi="宋体" w:eastAsia="宋体" w:cs="宋体"/>
                <w:i w:val="0"/>
                <w:iCs w:val="0"/>
                <w:color w:val="000000"/>
                <w:kern w:val="0"/>
                <w:sz w:val="24"/>
                <w:szCs w:val="24"/>
                <w:u w:val="none"/>
                <w:vertAlign w:val="superscript"/>
                <w:lang w:val="en-US" w:eastAsia="zh-CN" w:bidi="ar"/>
              </w:rPr>
              <w:t>2</w:t>
            </w:r>
            <w:r>
              <w:rPr>
                <w:rFonts w:hint="eastAsia" w:ascii="宋体" w:hAnsi="宋体" w:eastAsia="宋体" w:cs="宋体"/>
                <w:i w:val="0"/>
                <w:iCs w:val="0"/>
                <w:color w:val="000000"/>
                <w:kern w:val="0"/>
                <w:sz w:val="24"/>
                <w:szCs w:val="24"/>
                <w:u w:val="none"/>
                <w:lang w:val="en-US" w:eastAsia="zh-CN" w:bidi="ar"/>
              </w:rPr>
              <w:t>三芯交联电缆热缩型终端头</w:t>
            </w:r>
          </w:p>
        </w:tc>
        <w:tc>
          <w:tcPr>
            <w:tcW w:w="585" w:type="dxa"/>
            <w:vAlign w:val="center"/>
          </w:tcPr>
          <w:p w14:paraId="64D2EFB4">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15</w:t>
            </w:r>
          </w:p>
        </w:tc>
        <w:tc>
          <w:tcPr>
            <w:tcW w:w="660" w:type="dxa"/>
            <w:vAlign w:val="center"/>
          </w:tcPr>
          <w:p w14:paraId="7A38252A">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套</w:t>
            </w:r>
          </w:p>
        </w:tc>
        <w:tc>
          <w:tcPr>
            <w:tcW w:w="1035" w:type="dxa"/>
            <w:vAlign w:val="center"/>
          </w:tcPr>
          <w:p w14:paraId="5E251C7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65" w:type="dxa"/>
            <w:vAlign w:val="center"/>
          </w:tcPr>
          <w:p w14:paraId="4732ACA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5F9F06F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6D0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Align w:val="center"/>
          </w:tcPr>
          <w:p w14:paraId="13B92B61">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i w:val="0"/>
                <w:iCs w:val="0"/>
                <w:color w:val="000000"/>
                <w:kern w:val="0"/>
                <w:sz w:val="30"/>
                <w:szCs w:val="30"/>
                <w:u w:val="none"/>
                <w:lang w:val="en-US" w:eastAsia="zh-CN" w:bidi="ar"/>
              </w:rPr>
              <w:t>3</w:t>
            </w:r>
          </w:p>
        </w:tc>
        <w:tc>
          <w:tcPr>
            <w:tcW w:w="1684" w:type="dxa"/>
            <w:vAlign w:val="center"/>
          </w:tcPr>
          <w:p w14:paraId="45569FBD">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电流互感器</w:t>
            </w:r>
          </w:p>
        </w:tc>
        <w:tc>
          <w:tcPr>
            <w:tcW w:w="2276" w:type="dxa"/>
            <w:vAlign w:val="center"/>
          </w:tcPr>
          <w:p w14:paraId="29874DC9">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ZZBJ9-10Q,150/5  0.5/10P10</w:t>
            </w:r>
          </w:p>
        </w:tc>
        <w:tc>
          <w:tcPr>
            <w:tcW w:w="585" w:type="dxa"/>
            <w:vAlign w:val="center"/>
          </w:tcPr>
          <w:p w14:paraId="497C10A4">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3</w:t>
            </w:r>
          </w:p>
        </w:tc>
        <w:tc>
          <w:tcPr>
            <w:tcW w:w="660" w:type="dxa"/>
            <w:vAlign w:val="center"/>
          </w:tcPr>
          <w:p w14:paraId="4322D0F5">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个</w:t>
            </w:r>
          </w:p>
        </w:tc>
        <w:tc>
          <w:tcPr>
            <w:tcW w:w="1035" w:type="dxa"/>
            <w:vAlign w:val="center"/>
          </w:tcPr>
          <w:p w14:paraId="59F2EB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65" w:type="dxa"/>
            <w:vAlign w:val="center"/>
          </w:tcPr>
          <w:p w14:paraId="01353C4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63023AD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7F2C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Align w:val="center"/>
          </w:tcPr>
          <w:p w14:paraId="3C4A4F44">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i w:val="0"/>
                <w:iCs w:val="0"/>
                <w:color w:val="000000"/>
                <w:kern w:val="0"/>
                <w:sz w:val="30"/>
                <w:szCs w:val="30"/>
                <w:u w:val="none"/>
                <w:lang w:val="en-US" w:eastAsia="zh-CN" w:bidi="ar"/>
              </w:rPr>
              <w:t>4</w:t>
            </w:r>
          </w:p>
        </w:tc>
        <w:tc>
          <w:tcPr>
            <w:tcW w:w="1684" w:type="dxa"/>
            <w:vAlign w:val="center"/>
          </w:tcPr>
          <w:p w14:paraId="5D67DA44">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保护测控装置等</w:t>
            </w:r>
          </w:p>
        </w:tc>
        <w:tc>
          <w:tcPr>
            <w:tcW w:w="2276" w:type="dxa"/>
            <w:vAlign w:val="center"/>
          </w:tcPr>
          <w:p w14:paraId="7F301032">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国电南自,保护测控装置需其制造单位提供现场技术服务（包括现场软件组态、调试等技术服务）；</w:t>
            </w:r>
          </w:p>
        </w:tc>
        <w:tc>
          <w:tcPr>
            <w:tcW w:w="585" w:type="dxa"/>
            <w:vAlign w:val="center"/>
          </w:tcPr>
          <w:p w14:paraId="4A37BBE4">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p>
        </w:tc>
        <w:tc>
          <w:tcPr>
            <w:tcW w:w="660" w:type="dxa"/>
            <w:vAlign w:val="center"/>
          </w:tcPr>
          <w:p w14:paraId="3B25C89E">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p>
        </w:tc>
        <w:tc>
          <w:tcPr>
            <w:tcW w:w="1035" w:type="dxa"/>
            <w:vAlign w:val="center"/>
          </w:tcPr>
          <w:p w14:paraId="598D7D2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65" w:type="dxa"/>
            <w:vAlign w:val="center"/>
          </w:tcPr>
          <w:p w14:paraId="64568E4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5E3442F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EF06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Align w:val="center"/>
          </w:tcPr>
          <w:p w14:paraId="6F9558C0">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val="0"/>
                <w:bCs w:val="0"/>
                <w:i w:val="0"/>
                <w:iCs w:val="0"/>
                <w:color w:val="000000"/>
                <w:kern w:val="0"/>
                <w:sz w:val="24"/>
                <w:szCs w:val="24"/>
                <w:u w:val="none"/>
                <w:lang w:val="en-US" w:eastAsia="zh-CN" w:bidi="ar"/>
              </w:rPr>
              <w:t>①</w:t>
            </w:r>
          </w:p>
        </w:tc>
        <w:tc>
          <w:tcPr>
            <w:tcW w:w="1684" w:type="dxa"/>
            <w:vAlign w:val="center"/>
          </w:tcPr>
          <w:p w14:paraId="197FCAAB">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保护测控装置</w:t>
            </w:r>
          </w:p>
        </w:tc>
        <w:tc>
          <w:tcPr>
            <w:tcW w:w="2276" w:type="dxa"/>
            <w:vAlign w:val="center"/>
          </w:tcPr>
          <w:p w14:paraId="231F05C2">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PST645UX变压器保护测控装置，1A</w:t>
            </w:r>
          </w:p>
        </w:tc>
        <w:tc>
          <w:tcPr>
            <w:tcW w:w="585" w:type="dxa"/>
            <w:vAlign w:val="center"/>
          </w:tcPr>
          <w:p w14:paraId="5C5144FA">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18</w:t>
            </w:r>
          </w:p>
        </w:tc>
        <w:tc>
          <w:tcPr>
            <w:tcW w:w="660" w:type="dxa"/>
            <w:vAlign w:val="center"/>
          </w:tcPr>
          <w:p w14:paraId="24E0FE5B">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台</w:t>
            </w:r>
          </w:p>
        </w:tc>
        <w:tc>
          <w:tcPr>
            <w:tcW w:w="1035" w:type="dxa"/>
            <w:vAlign w:val="center"/>
          </w:tcPr>
          <w:p w14:paraId="090655D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65" w:type="dxa"/>
            <w:vAlign w:val="center"/>
          </w:tcPr>
          <w:p w14:paraId="68923A7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0F86DE0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DE7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Align w:val="center"/>
          </w:tcPr>
          <w:p w14:paraId="07D3FA22">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val="0"/>
                <w:bCs w:val="0"/>
                <w:i w:val="0"/>
                <w:iCs w:val="0"/>
                <w:color w:val="000000"/>
                <w:kern w:val="0"/>
                <w:sz w:val="24"/>
                <w:szCs w:val="24"/>
                <w:u w:val="none"/>
                <w:lang w:val="en-US" w:eastAsia="zh-CN" w:bidi="ar"/>
              </w:rPr>
              <w:t>②</w:t>
            </w:r>
          </w:p>
        </w:tc>
        <w:tc>
          <w:tcPr>
            <w:tcW w:w="1684" w:type="dxa"/>
            <w:vAlign w:val="center"/>
          </w:tcPr>
          <w:p w14:paraId="6EB6FAA5">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保护测控装置</w:t>
            </w:r>
          </w:p>
        </w:tc>
        <w:tc>
          <w:tcPr>
            <w:tcW w:w="2276" w:type="dxa"/>
            <w:vAlign w:val="center"/>
          </w:tcPr>
          <w:p w14:paraId="0FA4CBEF">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PSL641UX线路保护测控装置，1A</w:t>
            </w:r>
          </w:p>
        </w:tc>
        <w:tc>
          <w:tcPr>
            <w:tcW w:w="585" w:type="dxa"/>
            <w:vAlign w:val="center"/>
          </w:tcPr>
          <w:p w14:paraId="5FB3E769">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9</w:t>
            </w:r>
          </w:p>
        </w:tc>
        <w:tc>
          <w:tcPr>
            <w:tcW w:w="660" w:type="dxa"/>
            <w:vAlign w:val="center"/>
          </w:tcPr>
          <w:p w14:paraId="16F9AE10">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台</w:t>
            </w:r>
          </w:p>
        </w:tc>
        <w:tc>
          <w:tcPr>
            <w:tcW w:w="1035" w:type="dxa"/>
            <w:vAlign w:val="center"/>
          </w:tcPr>
          <w:p w14:paraId="52E0CCD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65" w:type="dxa"/>
            <w:vAlign w:val="center"/>
          </w:tcPr>
          <w:p w14:paraId="5F76000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4DF4B5B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92F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Align w:val="center"/>
          </w:tcPr>
          <w:p w14:paraId="7FD793CA">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val="0"/>
                <w:bCs w:val="0"/>
                <w:i w:val="0"/>
                <w:iCs w:val="0"/>
                <w:color w:val="000000"/>
                <w:kern w:val="0"/>
                <w:sz w:val="24"/>
                <w:szCs w:val="24"/>
                <w:u w:val="none"/>
                <w:lang w:val="en-US" w:eastAsia="zh-CN" w:bidi="ar"/>
              </w:rPr>
              <w:t>③</w:t>
            </w:r>
          </w:p>
        </w:tc>
        <w:tc>
          <w:tcPr>
            <w:tcW w:w="1684" w:type="dxa"/>
            <w:vAlign w:val="center"/>
          </w:tcPr>
          <w:p w14:paraId="143058AD">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保护测控装置</w:t>
            </w:r>
          </w:p>
        </w:tc>
        <w:tc>
          <w:tcPr>
            <w:tcW w:w="2276" w:type="dxa"/>
            <w:vAlign w:val="center"/>
          </w:tcPr>
          <w:p w14:paraId="64D70FB8">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PSM642UX电动机保护测控装置，1A</w:t>
            </w:r>
          </w:p>
        </w:tc>
        <w:tc>
          <w:tcPr>
            <w:tcW w:w="585" w:type="dxa"/>
            <w:vAlign w:val="center"/>
          </w:tcPr>
          <w:p w14:paraId="50D4BC10">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2</w:t>
            </w:r>
          </w:p>
        </w:tc>
        <w:tc>
          <w:tcPr>
            <w:tcW w:w="660" w:type="dxa"/>
            <w:vAlign w:val="center"/>
          </w:tcPr>
          <w:p w14:paraId="63468B2C">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台</w:t>
            </w:r>
          </w:p>
        </w:tc>
        <w:tc>
          <w:tcPr>
            <w:tcW w:w="1035" w:type="dxa"/>
            <w:vAlign w:val="center"/>
          </w:tcPr>
          <w:p w14:paraId="292E725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65" w:type="dxa"/>
            <w:vAlign w:val="center"/>
          </w:tcPr>
          <w:p w14:paraId="0C7BA02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64F7077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F466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Align w:val="center"/>
          </w:tcPr>
          <w:p w14:paraId="568DDF57">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val="0"/>
                <w:bCs w:val="0"/>
                <w:i w:val="0"/>
                <w:iCs w:val="0"/>
                <w:color w:val="000000"/>
                <w:kern w:val="0"/>
                <w:sz w:val="24"/>
                <w:szCs w:val="24"/>
                <w:u w:val="none"/>
                <w:lang w:val="en-US" w:eastAsia="zh-CN" w:bidi="ar"/>
              </w:rPr>
              <w:t>④</w:t>
            </w:r>
          </w:p>
        </w:tc>
        <w:tc>
          <w:tcPr>
            <w:tcW w:w="1684" w:type="dxa"/>
            <w:vAlign w:val="center"/>
          </w:tcPr>
          <w:p w14:paraId="209541F6">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保护测控装置</w:t>
            </w:r>
          </w:p>
        </w:tc>
        <w:tc>
          <w:tcPr>
            <w:tcW w:w="2276" w:type="dxa"/>
            <w:vAlign w:val="center"/>
          </w:tcPr>
          <w:p w14:paraId="2068F987">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PSC641UX电容器保护测控装置，1A</w:t>
            </w:r>
          </w:p>
        </w:tc>
        <w:tc>
          <w:tcPr>
            <w:tcW w:w="585" w:type="dxa"/>
            <w:vAlign w:val="center"/>
          </w:tcPr>
          <w:p w14:paraId="71AF0D31">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3</w:t>
            </w:r>
          </w:p>
        </w:tc>
        <w:tc>
          <w:tcPr>
            <w:tcW w:w="660" w:type="dxa"/>
            <w:vAlign w:val="center"/>
          </w:tcPr>
          <w:p w14:paraId="65EF8126">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台</w:t>
            </w:r>
          </w:p>
        </w:tc>
        <w:tc>
          <w:tcPr>
            <w:tcW w:w="1035" w:type="dxa"/>
            <w:vAlign w:val="center"/>
          </w:tcPr>
          <w:p w14:paraId="28D87A8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65" w:type="dxa"/>
            <w:vAlign w:val="center"/>
          </w:tcPr>
          <w:p w14:paraId="6D199A3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2CFCBED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338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Align w:val="center"/>
          </w:tcPr>
          <w:p w14:paraId="5AA7E273">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val="0"/>
                <w:bCs w:val="0"/>
                <w:i w:val="0"/>
                <w:iCs w:val="0"/>
                <w:color w:val="000000"/>
                <w:kern w:val="0"/>
                <w:sz w:val="24"/>
                <w:szCs w:val="24"/>
                <w:u w:val="none"/>
                <w:lang w:val="en-US" w:eastAsia="zh-CN" w:bidi="ar"/>
              </w:rPr>
              <w:t>⑤</w:t>
            </w:r>
          </w:p>
        </w:tc>
        <w:tc>
          <w:tcPr>
            <w:tcW w:w="1684" w:type="dxa"/>
            <w:vAlign w:val="center"/>
          </w:tcPr>
          <w:p w14:paraId="6717CE10">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保护测控装置</w:t>
            </w:r>
          </w:p>
        </w:tc>
        <w:tc>
          <w:tcPr>
            <w:tcW w:w="2276" w:type="dxa"/>
            <w:vAlign w:val="center"/>
          </w:tcPr>
          <w:p w14:paraId="69019A20">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PSV641UX PT并列装置</w:t>
            </w:r>
          </w:p>
        </w:tc>
        <w:tc>
          <w:tcPr>
            <w:tcW w:w="585" w:type="dxa"/>
            <w:vAlign w:val="center"/>
          </w:tcPr>
          <w:p w14:paraId="4E224ED9">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4</w:t>
            </w:r>
          </w:p>
        </w:tc>
        <w:tc>
          <w:tcPr>
            <w:tcW w:w="660" w:type="dxa"/>
            <w:vAlign w:val="center"/>
          </w:tcPr>
          <w:p w14:paraId="44FFBBD0">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台</w:t>
            </w:r>
          </w:p>
        </w:tc>
        <w:tc>
          <w:tcPr>
            <w:tcW w:w="1035" w:type="dxa"/>
            <w:vAlign w:val="center"/>
          </w:tcPr>
          <w:p w14:paraId="2027DAA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65" w:type="dxa"/>
            <w:vAlign w:val="center"/>
          </w:tcPr>
          <w:p w14:paraId="5150893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5E6F85C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552D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Align w:val="center"/>
          </w:tcPr>
          <w:p w14:paraId="6B359267">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val="0"/>
                <w:bCs w:val="0"/>
                <w:i w:val="0"/>
                <w:iCs w:val="0"/>
                <w:color w:val="000000"/>
                <w:kern w:val="0"/>
                <w:sz w:val="24"/>
                <w:szCs w:val="24"/>
                <w:u w:val="none"/>
                <w:lang w:val="en-US" w:eastAsia="zh-CN" w:bidi="ar"/>
              </w:rPr>
              <w:t>⑥</w:t>
            </w:r>
          </w:p>
        </w:tc>
        <w:tc>
          <w:tcPr>
            <w:tcW w:w="1684" w:type="dxa"/>
            <w:vAlign w:val="center"/>
          </w:tcPr>
          <w:p w14:paraId="0E181EA6">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保护测控装置</w:t>
            </w:r>
          </w:p>
        </w:tc>
        <w:tc>
          <w:tcPr>
            <w:tcW w:w="2276" w:type="dxa"/>
            <w:vAlign w:val="center"/>
          </w:tcPr>
          <w:p w14:paraId="6CE466B2">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PSL641UX线路保护测控装置，5A</w:t>
            </w:r>
          </w:p>
        </w:tc>
        <w:tc>
          <w:tcPr>
            <w:tcW w:w="585" w:type="dxa"/>
            <w:vAlign w:val="center"/>
          </w:tcPr>
          <w:p w14:paraId="7AD4F8F4">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4</w:t>
            </w:r>
          </w:p>
        </w:tc>
        <w:tc>
          <w:tcPr>
            <w:tcW w:w="660" w:type="dxa"/>
            <w:vAlign w:val="center"/>
          </w:tcPr>
          <w:p w14:paraId="479BC130">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台</w:t>
            </w:r>
          </w:p>
        </w:tc>
        <w:tc>
          <w:tcPr>
            <w:tcW w:w="1035" w:type="dxa"/>
            <w:vAlign w:val="center"/>
          </w:tcPr>
          <w:p w14:paraId="1A8551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65" w:type="dxa"/>
            <w:vAlign w:val="center"/>
          </w:tcPr>
          <w:p w14:paraId="59FD407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134D329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8EE7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Align w:val="center"/>
          </w:tcPr>
          <w:p w14:paraId="10120403">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val="0"/>
                <w:bCs w:val="0"/>
                <w:i w:val="0"/>
                <w:iCs w:val="0"/>
                <w:color w:val="000000"/>
                <w:kern w:val="0"/>
                <w:sz w:val="24"/>
                <w:szCs w:val="24"/>
                <w:u w:val="none"/>
                <w:lang w:val="en-US" w:eastAsia="zh-CN" w:bidi="ar"/>
              </w:rPr>
              <w:t>⑦</w:t>
            </w:r>
          </w:p>
        </w:tc>
        <w:tc>
          <w:tcPr>
            <w:tcW w:w="1684" w:type="dxa"/>
            <w:vAlign w:val="center"/>
          </w:tcPr>
          <w:p w14:paraId="57167145">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保护测控装置</w:t>
            </w:r>
          </w:p>
        </w:tc>
        <w:tc>
          <w:tcPr>
            <w:tcW w:w="2276" w:type="dxa"/>
            <w:vAlign w:val="center"/>
          </w:tcPr>
          <w:p w14:paraId="68E7CB16">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PST645UX变压器保护测控装置，5A</w:t>
            </w:r>
          </w:p>
        </w:tc>
        <w:tc>
          <w:tcPr>
            <w:tcW w:w="585" w:type="dxa"/>
            <w:vAlign w:val="center"/>
          </w:tcPr>
          <w:p w14:paraId="2811F662">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13</w:t>
            </w:r>
          </w:p>
        </w:tc>
        <w:tc>
          <w:tcPr>
            <w:tcW w:w="660" w:type="dxa"/>
            <w:vAlign w:val="center"/>
          </w:tcPr>
          <w:p w14:paraId="787D5907">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台</w:t>
            </w:r>
          </w:p>
        </w:tc>
        <w:tc>
          <w:tcPr>
            <w:tcW w:w="1035" w:type="dxa"/>
            <w:vAlign w:val="center"/>
          </w:tcPr>
          <w:p w14:paraId="44A1DD4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65" w:type="dxa"/>
            <w:vAlign w:val="center"/>
          </w:tcPr>
          <w:p w14:paraId="3185B9F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15F491F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5D53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Align w:val="center"/>
          </w:tcPr>
          <w:p w14:paraId="3DD90D52">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val="0"/>
                <w:bCs w:val="0"/>
                <w:i w:val="0"/>
                <w:iCs w:val="0"/>
                <w:color w:val="000000"/>
                <w:kern w:val="0"/>
                <w:sz w:val="24"/>
                <w:szCs w:val="24"/>
                <w:u w:val="none"/>
                <w:lang w:val="en-US" w:eastAsia="zh-CN" w:bidi="ar"/>
              </w:rPr>
              <w:t>⑧</w:t>
            </w:r>
          </w:p>
        </w:tc>
        <w:tc>
          <w:tcPr>
            <w:tcW w:w="1684" w:type="dxa"/>
            <w:vAlign w:val="center"/>
          </w:tcPr>
          <w:p w14:paraId="23C23183">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保护测控装置</w:t>
            </w:r>
          </w:p>
        </w:tc>
        <w:tc>
          <w:tcPr>
            <w:tcW w:w="2276" w:type="dxa"/>
            <w:vAlign w:val="center"/>
          </w:tcPr>
          <w:p w14:paraId="3D7C78A9">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PSM642UX电动机保护测控装置，5A</w:t>
            </w:r>
          </w:p>
        </w:tc>
        <w:tc>
          <w:tcPr>
            <w:tcW w:w="585" w:type="dxa"/>
            <w:vAlign w:val="center"/>
          </w:tcPr>
          <w:p w14:paraId="10044959">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6</w:t>
            </w:r>
          </w:p>
        </w:tc>
        <w:tc>
          <w:tcPr>
            <w:tcW w:w="660" w:type="dxa"/>
            <w:vAlign w:val="center"/>
          </w:tcPr>
          <w:p w14:paraId="2A352A16">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台</w:t>
            </w:r>
          </w:p>
        </w:tc>
        <w:tc>
          <w:tcPr>
            <w:tcW w:w="1035" w:type="dxa"/>
            <w:vAlign w:val="center"/>
          </w:tcPr>
          <w:p w14:paraId="1D5ADA5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65" w:type="dxa"/>
            <w:vAlign w:val="center"/>
          </w:tcPr>
          <w:p w14:paraId="4DB12C7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41866E9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16F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86" w:type="dxa"/>
            <w:vAlign w:val="center"/>
          </w:tcPr>
          <w:p w14:paraId="7B3B84E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⑨</w:t>
            </w:r>
          </w:p>
        </w:tc>
        <w:tc>
          <w:tcPr>
            <w:tcW w:w="1684" w:type="dxa"/>
            <w:vAlign w:val="center"/>
          </w:tcPr>
          <w:p w14:paraId="3043C5C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原监控系统SAC1升级</w:t>
            </w:r>
          </w:p>
        </w:tc>
        <w:tc>
          <w:tcPr>
            <w:tcW w:w="2276" w:type="dxa"/>
            <w:vAlign w:val="center"/>
          </w:tcPr>
          <w:p w14:paraId="47D3DEE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原SAC1的PS6000+V1.0系统升级为PS6000+V2.0，原配电室数据无缝接入</w:t>
            </w:r>
          </w:p>
        </w:tc>
        <w:tc>
          <w:tcPr>
            <w:tcW w:w="585" w:type="dxa"/>
            <w:vAlign w:val="center"/>
          </w:tcPr>
          <w:p w14:paraId="7CB7D4B6">
            <w:pPr>
              <w:keepNext w:val="0"/>
              <w:keepLines w:val="0"/>
              <w:widowControl/>
              <w:suppressLineNumbers w:val="0"/>
              <w:jc w:val="center"/>
              <w:textAlignment w:val="center"/>
              <w:rPr>
                <w:rFonts w:hint="eastAsia" w:ascii="仿宋" w:hAnsi="仿宋" w:eastAsia="仿宋" w:cs="仿宋"/>
                <w:color w:val="auto"/>
                <w:sz w:val="32"/>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660" w:type="dxa"/>
            <w:vAlign w:val="center"/>
          </w:tcPr>
          <w:p w14:paraId="36D32F70">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套</w:t>
            </w:r>
          </w:p>
        </w:tc>
        <w:tc>
          <w:tcPr>
            <w:tcW w:w="1035" w:type="dxa"/>
            <w:vAlign w:val="center"/>
          </w:tcPr>
          <w:p w14:paraId="18AB336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65" w:type="dxa"/>
            <w:vAlign w:val="center"/>
          </w:tcPr>
          <w:p w14:paraId="63E2362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2B36B0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7E3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86" w:type="dxa"/>
            <w:vAlign w:val="center"/>
          </w:tcPr>
          <w:p w14:paraId="5DD4B0C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⑩</w:t>
            </w:r>
          </w:p>
        </w:tc>
        <w:tc>
          <w:tcPr>
            <w:tcW w:w="1684" w:type="dxa"/>
            <w:vAlign w:val="center"/>
          </w:tcPr>
          <w:p w14:paraId="6E423DC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原监控系统SAC2升级</w:t>
            </w:r>
          </w:p>
        </w:tc>
        <w:tc>
          <w:tcPr>
            <w:tcW w:w="2276" w:type="dxa"/>
            <w:vAlign w:val="center"/>
          </w:tcPr>
          <w:p w14:paraId="24FF3AF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原SAC2的PS6000+V1.0系统升级为PS6000+V2.0，原配电室数据无缝接入</w:t>
            </w:r>
          </w:p>
        </w:tc>
        <w:tc>
          <w:tcPr>
            <w:tcW w:w="585" w:type="dxa"/>
            <w:vAlign w:val="center"/>
          </w:tcPr>
          <w:p w14:paraId="18A5DF73">
            <w:pPr>
              <w:keepNext w:val="0"/>
              <w:keepLines w:val="0"/>
              <w:widowControl/>
              <w:suppressLineNumbers w:val="0"/>
              <w:jc w:val="center"/>
              <w:textAlignment w:val="center"/>
              <w:rPr>
                <w:rFonts w:hint="eastAsia" w:ascii="仿宋" w:hAnsi="仿宋" w:eastAsia="仿宋" w:cs="仿宋"/>
                <w:color w:val="auto"/>
                <w:sz w:val="32"/>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660" w:type="dxa"/>
            <w:vAlign w:val="center"/>
          </w:tcPr>
          <w:p w14:paraId="7F0B7253">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套</w:t>
            </w:r>
          </w:p>
        </w:tc>
        <w:tc>
          <w:tcPr>
            <w:tcW w:w="1035" w:type="dxa"/>
            <w:vAlign w:val="center"/>
          </w:tcPr>
          <w:p w14:paraId="31B52AD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65" w:type="dxa"/>
            <w:vAlign w:val="center"/>
          </w:tcPr>
          <w:p w14:paraId="351A2CB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51AB19A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A86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86" w:type="dxa"/>
            <w:vAlign w:val="center"/>
          </w:tcPr>
          <w:p w14:paraId="452C70D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⑪</w:t>
            </w:r>
          </w:p>
        </w:tc>
        <w:tc>
          <w:tcPr>
            <w:tcW w:w="1684" w:type="dxa"/>
            <w:vAlign w:val="center"/>
          </w:tcPr>
          <w:p w14:paraId="57F0D59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新增监控系统</w:t>
            </w:r>
          </w:p>
        </w:tc>
        <w:tc>
          <w:tcPr>
            <w:tcW w:w="2276" w:type="dxa"/>
            <w:vAlign w:val="center"/>
          </w:tcPr>
          <w:p w14:paraId="1E13662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10KV七配新增一套PS6000+V2.0系统</w:t>
            </w:r>
          </w:p>
        </w:tc>
        <w:tc>
          <w:tcPr>
            <w:tcW w:w="585" w:type="dxa"/>
            <w:vAlign w:val="center"/>
          </w:tcPr>
          <w:p w14:paraId="32E6E161">
            <w:pPr>
              <w:keepNext w:val="0"/>
              <w:keepLines w:val="0"/>
              <w:widowControl/>
              <w:suppressLineNumbers w:val="0"/>
              <w:jc w:val="center"/>
              <w:textAlignment w:val="center"/>
              <w:rPr>
                <w:rFonts w:hint="eastAsia" w:ascii="仿宋" w:hAnsi="仿宋" w:eastAsia="仿宋" w:cs="仿宋"/>
                <w:color w:val="auto"/>
                <w:sz w:val="32"/>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660" w:type="dxa"/>
            <w:vAlign w:val="center"/>
          </w:tcPr>
          <w:p w14:paraId="756867A4">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套</w:t>
            </w:r>
          </w:p>
        </w:tc>
        <w:tc>
          <w:tcPr>
            <w:tcW w:w="1035" w:type="dxa"/>
            <w:vAlign w:val="center"/>
          </w:tcPr>
          <w:p w14:paraId="41D47C0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65" w:type="dxa"/>
            <w:vAlign w:val="center"/>
          </w:tcPr>
          <w:p w14:paraId="2530C0B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112F386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AC5C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86" w:type="dxa"/>
            <w:vAlign w:val="center"/>
          </w:tcPr>
          <w:p w14:paraId="5EBCFAB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⑫</w:t>
            </w:r>
          </w:p>
        </w:tc>
        <w:tc>
          <w:tcPr>
            <w:tcW w:w="1684" w:type="dxa"/>
            <w:vAlign w:val="center"/>
          </w:tcPr>
          <w:p w14:paraId="6223077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电脑主机、显示器</w:t>
            </w:r>
          </w:p>
        </w:tc>
        <w:tc>
          <w:tcPr>
            <w:tcW w:w="2276" w:type="dxa"/>
            <w:vAlign w:val="center"/>
          </w:tcPr>
          <w:p w14:paraId="7DE4141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与三套南自后台配套</w:t>
            </w:r>
          </w:p>
        </w:tc>
        <w:tc>
          <w:tcPr>
            <w:tcW w:w="585" w:type="dxa"/>
            <w:vAlign w:val="center"/>
          </w:tcPr>
          <w:p w14:paraId="22357089">
            <w:pPr>
              <w:keepNext w:val="0"/>
              <w:keepLines w:val="0"/>
              <w:widowControl/>
              <w:suppressLineNumbers w:val="0"/>
              <w:jc w:val="center"/>
              <w:textAlignment w:val="center"/>
              <w:rPr>
                <w:rFonts w:hint="eastAsia" w:ascii="仿宋" w:hAnsi="仿宋" w:eastAsia="仿宋" w:cs="仿宋"/>
                <w:color w:val="auto"/>
                <w:sz w:val="32"/>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60" w:type="dxa"/>
            <w:vAlign w:val="center"/>
          </w:tcPr>
          <w:p w14:paraId="4910AB99">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套</w:t>
            </w:r>
          </w:p>
        </w:tc>
        <w:tc>
          <w:tcPr>
            <w:tcW w:w="1035" w:type="dxa"/>
            <w:vAlign w:val="center"/>
          </w:tcPr>
          <w:p w14:paraId="4BA1DE1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65" w:type="dxa"/>
            <w:vAlign w:val="center"/>
          </w:tcPr>
          <w:p w14:paraId="678542E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679782E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A90B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86" w:type="dxa"/>
            <w:vAlign w:val="center"/>
          </w:tcPr>
          <w:p w14:paraId="60FAA6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⑬</w:t>
            </w:r>
          </w:p>
        </w:tc>
        <w:tc>
          <w:tcPr>
            <w:tcW w:w="1684" w:type="dxa"/>
            <w:vAlign w:val="center"/>
          </w:tcPr>
          <w:p w14:paraId="2A3CBE3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光纤收发器</w:t>
            </w:r>
          </w:p>
        </w:tc>
        <w:tc>
          <w:tcPr>
            <w:tcW w:w="2276" w:type="dxa"/>
            <w:vAlign w:val="center"/>
          </w:tcPr>
          <w:p w14:paraId="0AB335D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单模，LC口，与交换机配套</w:t>
            </w:r>
          </w:p>
        </w:tc>
        <w:tc>
          <w:tcPr>
            <w:tcW w:w="585" w:type="dxa"/>
            <w:vAlign w:val="center"/>
          </w:tcPr>
          <w:p w14:paraId="654FBC6C">
            <w:pPr>
              <w:keepNext w:val="0"/>
              <w:keepLines w:val="0"/>
              <w:widowControl/>
              <w:suppressLineNumbers w:val="0"/>
              <w:jc w:val="center"/>
              <w:textAlignment w:val="center"/>
              <w:rPr>
                <w:rFonts w:hint="eastAsia" w:ascii="仿宋" w:hAnsi="仿宋" w:eastAsia="仿宋" w:cs="仿宋"/>
                <w:color w:val="auto"/>
                <w:sz w:val="32"/>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60" w:type="dxa"/>
            <w:vAlign w:val="center"/>
          </w:tcPr>
          <w:p w14:paraId="07B44B7C">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对</w:t>
            </w:r>
          </w:p>
        </w:tc>
        <w:tc>
          <w:tcPr>
            <w:tcW w:w="1035" w:type="dxa"/>
            <w:vAlign w:val="center"/>
          </w:tcPr>
          <w:p w14:paraId="0EF17CF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65" w:type="dxa"/>
            <w:vAlign w:val="center"/>
          </w:tcPr>
          <w:p w14:paraId="4B3C47D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332C66B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CB34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86" w:type="dxa"/>
            <w:vAlign w:val="center"/>
          </w:tcPr>
          <w:p w14:paraId="35B8F1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⑭</w:t>
            </w:r>
          </w:p>
        </w:tc>
        <w:tc>
          <w:tcPr>
            <w:tcW w:w="1684" w:type="dxa"/>
            <w:vAlign w:val="center"/>
          </w:tcPr>
          <w:p w14:paraId="20DE6B9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工业级交换机</w:t>
            </w:r>
          </w:p>
        </w:tc>
        <w:tc>
          <w:tcPr>
            <w:tcW w:w="2276" w:type="dxa"/>
            <w:vAlign w:val="center"/>
          </w:tcPr>
          <w:p w14:paraId="73B121F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4个万兆光口，32个千兆电口</w:t>
            </w:r>
          </w:p>
        </w:tc>
        <w:tc>
          <w:tcPr>
            <w:tcW w:w="585" w:type="dxa"/>
            <w:vAlign w:val="center"/>
          </w:tcPr>
          <w:p w14:paraId="48BE8350">
            <w:pPr>
              <w:keepNext w:val="0"/>
              <w:keepLines w:val="0"/>
              <w:widowControl/>
              <w:suppressLineNumbers w:val="0"/>
              <w:jc w:val="center"/>
              <w:textAlignment w:val="center"/>
              <w:rPr>
                <w:rFonts w:hint="eastAsia" w:ascii="仿宋" w:hAnsi="仿宋" w:eastAsia="仿宋" w:cs="仿宋"/>
                <w:color w:val="auto"/>
                <w:sz w:val="32"/>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60" w:type="dxa"/>
            <w:vAlign w:val="center"/>
          </w:tcPr>
          <w:p w14:paraId="1E5E5036">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台</w:t>
            </w:r>
          </w:p>
        </w:tc>
        <w:tc>
          <w:tcPr>
            <w:tcW w:w="1035" w:type="dxa"/>
            <w:vAlign w:val="center"/>
          </w:tcPr>
          <w:p w14:paraId="3FE3E3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65" w:type="dxa"/>
            <w:vAlign w:val="center"/>
          </w:tcPr>
          <w:p w14:paraId="19EFA48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2C8B3F3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EA4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86" w:type="dxa"/>
            <w:vAlign w:val="center"/>
          </w:tcPr>
          <w:p w14:paraId="206FE7D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5</w:t>
            </w:r>
          </w:p>
        </w:tc>
        <w:tc>
          <w:tcPr>
            <w:tcW w:w="1684" w:type="dxa"/>
            <w:vAlign w:val="center"/>
          </w:tcPr>
          <w:p w14:paraId="5B972CC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高压开关柜</w:t>
            </w:r>
          </w:p>
        </w:tc>
        <w:tc>
          <w:tcPr>
            <w:tcW w:w="2276" w:type="dxa"/>
            <w:vAlign w:val="center"/>
          </w:tcPr>
          <w:p w14:paraId="3C57A9D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开关柜需其制造商提供指导安装调试等现场技术服务，出线柜品牌：上海宝临</w:t>
            </w:r>
          </w:p>
        </w:tc>
        <w:tc>
          <w:tcPr>
            <w:tcW w:w="585" w:type="dxa"/>
            <w:vAlign w:val="center"/>
          </w:tcPr>
          <w:p w14:paraId="00D03E0E">
            <w:pPr>
              <w:keepNext w:val="0"/>
              <w:keepLines w:val="0"/>
              <w:widowControl/>
              <w:suppressLineNumbers w:val="0"/>
              <w:jc w:val="center"/>
              <w:textAlignment w:val="center"/>
              <w:rPr>
                <w:rFonts w:hint="eastAsia" w:ascii="仿宋" w:hAnsi="仿宋" w:eastAsia="仿宋" w:cs="仿宋"/>
                <w:color w:val="auto"/>
                <w:sz w:val="32"/>
                <w:szCs w:val="32"/>
                <w:vertAlign w:val="baseline"/>
                <w:lang w:val="en-US" w:eastAsia="zh-CN"/>
              </w:rPr>
            </w:pPr>
          </w:p>
        </w:tc>
        <w:tc>
          <w:tcPr>
            <w:tcW w:w="660" w:type="dxa"/>
            <w:vAlign w:val="center"/>
          </w:tcPr>
          <w:p w14:paraId="0902C926">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p>
        </w:tc>
        <w:tc>
          <w:tcPr>
            <w:tcW w:w="1035" w:type="dxa"/>
            <w:vAlign w:val="center"/>
          </w:tcPr>
          <w:p w14:paraId="7046B90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65" w:type="dxa"/>
            <w:vAlign w:val="center"/>
          </w:tcPr>
          <w:p w14:paraId="3A6C1FC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349270A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57B4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86" w:type="dxa"/>
            <w:vAlign w:val="center"/>
          </w:tcPr>
          <w:p w14:paraId="5F71A43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①</w:t>
            </w:r>
          </w:p>
        </w:tc>
        <w:tc>
          <w:tcPr>
            <w:tcW w:w="1684" w:type="dxa"/>
            <w:vAlign w:val="center"/>
          </w:tcPr>
          <w:p w14:paraId="1D1DA57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10kV开关柜（变压器出线柜）</w:t>
            </w:r>
          </w:p>
        </w:tc>
        <w:tc>
          <w:tcPr>
            <w:tcW w:w="2276" w:type="dxa"/>
            <w:vAlign w:val="center"/>
          </w:tcPr>
          <w:p w14:paraId="313CA83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auto"/>
                <w:kern w:val="0"/>
                <w:sz w:val="21"/>
                <w:szCs w:val="21"/>
                <w:u w:val="none"/>
                <w:lang w:val="en-US" w:eastAsia="zh-CN" w:bidi="ar"/>
              </w:rPr>
              <w:t>型号：KYN28-12;外形尺寸：宽*深*高=800*1560*2300；手车式真空断路器：VS1-12E/630-31.5kA 1台：额定电压：12.6kV，最高工作电压：12.6kV；Ie=630A，Id=80kA，Ir=31.5kA，4s;电流互感器:LZZBJ9-10，150/5A,0.5/10P;         3只过电压保护器 ：TBP</w:t>
            </w:r>
            <w:r>
              <w:rPr>
                <w:rFonts w:hint="eastAsia" w:ascii="宋体" w:hAnsi="宋体" w:eastAsia="宋体" w:cs="宋体"/>
                <w:i w:val="0"/>
                <w:iCs w:val="0"/>
                <w:color w:val="auto"/>
                <w:kern w:val="0"/>
                <w:sz w:val="21"/>
                <w:szCs w:val="21"/>
                <w:u w:val="none"/>
                <w:lang w:val="en-US" w:eastAsia="zh-CN" w:bidi="ar"/>
              </w:rPr>
              <w:softHyphen/>
            </w:r>
            <w:r>
              <w:rPr>
                <w:rFonts w:hint="eastAsia" w:ascii="宋体" w:hAnsi="宋体" w:eastAsia="宋体" w:cs="宋体"/>
                <w:i w:val="0"/>
                <w:iCs w:val="0"/>
                <w:color w:val="auto"/>
                <w:kern w:val="0"/>
                <w:sz w:val="21"/>
                <w:szCs w:val="21"/>
                <w:u w:val="none"/>
                <w:lang w:val="en-US" w:eastAsia="zh-CN" w:bidi="ar"/>
              </w:rPr>
              <w:t>-B-12.7/131;        接地开关：JN15-12/31.5KA，配10kV传感器；          配带电显示器；零序电流互感器：LXK-Φ120,60/1A;  电度表：DSSD331-MC0.5级 100V 1.5(6)A，三相数字电流表；智能保护测控装置：PST645UX，国电南自产品；主母线：3*（TMY-100*10）；</w:t>
            </w:r>
            <w:r>
              <w:rPr>
                <w:rFonts w:hint="eastAsia" w:ascii="宋体" w:hAnsi="宋体" w:eastAsia="宋体" w:cs="宋体"/>
                <w:b/>
                <w:bCs/>
                <w:i w:val="0"/>
                <w:iCs w:val="0"/>
                <w:color w:val="auto"/>
                <w:kern w:val="0"/>
                <w:sz w:val="21"/>
                <w:szCs w:val="21"/>
                <w:u w:val="none"/>
                <w:lang w:val="en-US" w:eastAsia="zh-CN" w:bidi="ar"/>
              </w:rPr>
              <w:t>接地铜排:TMY-40*5</w:t>
            </w:r>
          </w:p>
        </w:tc>
        <w:tc>
          <w:tcPr>
            <w:tcW w:w="585" w:type="dxa"/>
            <w:vAlign w:val="center"/>
          </w:tcPr>
          <w:p w14:paraId="2AB75598">
            <w:pPr>
              <w:keepNext w:val="0"/>
              <w:keepLines w:val="0"/>
              <w:widowControl/>
              <w:suppressLineNumbers w:val="0"/>
              <w:jc w:val="center"/>
              <w:textAlignment w:val="center"/>
              <w:rPr>
                <w:rFonts w:hint="eastAsia" w:ascii="仿宋" w:hAnsi="仿宋" w:eastAsia="仿宋" w:cs="仿宋"/>
                <w:color w:val="auto"/>
                <w:sz w:val="32"/>
                <w:szCs w:val="32"/>
                <w:vertAlign w:val="baseline"/>
                <w:lang w:val="en-US" w:eastAsia="zh-CN"/>
              </w:rPr>
            </w:pPr>
            <w:r>
              <w:rPr>
                <w:rFonts w:hint="eastAsia" w:ascii="宋体" w:hAnsi="宋体" w:eastAsia="宋体" w:cs="宋体"/>
                <w:color w:val="auto"/>
                <w:sz w:val="21"/>
                <w:szCs w:val="21"/>
                <w:vertAlign w:val="baseline"/>
                <w:lang w:val="en-US" w:eastAsia="zh-CN"/>
              </w:rPr>
              <w:t>1</w:t>
            </w:r>
          </w:p>
        </w:tc>
        <w:tc>
          <w:tcPr>
            <w:tcW w:w="660" w:type="dxa"/>
            <w:vAlign w:val="center"/>
          </w:tcPr>
          <w:p w14:paraId="57EDC67A">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1"/>
                <w:szCs w:val="21"/>
                <w:vertAlign w:val="baseline"/>
                <w:lang w:val="en-US" w:eastAsia="zh-CN"/>
              </w:rPr>
              <w:t>台</w:t>
            </w:r>
          </w:p>
        </w:tc>
        <w:tc>
          <w:tcPr>
            <w:tcW w:w="1035" w:type="dxa"/>
            <w:vAlign w:val="center"/>
          </w:tcPr>
          <w:p w14:paraId="63838A9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65" w:type="dxa"/>
            <w:vAlign w:val="center"/>
          </w:tcPr>
          <w:p w14:paraId="7F2A8C3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2241271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F97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86" w:type="dxa"/>
            <w:vAlign w:val="center"/>
          </w:tcPr>
          <w:p w14:paraId="3A32EBB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②</w:t>
            </w:r>
          </w:p>
        </w:tc>
        <w:tc>
          <w:tcPr>
            <w:tcW w:w="1684" w:type="dxa"/>
            <w:vAlign w:val="center"/>
          </w:tcPr>
          <w:p w14:paraId="2EB9CA4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10kV电机出线柜</w:t>
            </w:r>
          </w:p>
        </w:tc>
        <w:tc>
          <w:tcPr>
            <w:tcW w:w="2276" w:type="dxa"/>
            <w:vAlign w:val="center"/>
          </w:tcPr>
          <w:p w14:paraId="6431944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auto"/>
                <w:kern w:val="0"/>
                <w:sz w:val="21"/>
                <w:szCs w:val="21"/>
                <w:u w:val="none"/>
                <w:lang w:val="en-US" w:eastAsia="zh-CN" w:bidi="ar"/>
              </w:rPr>
              <w:t>型号：KYN28-12:外形尺寸：宽*深*高=800*1560*2300；真空断路器：VS1-12E/630-31.5kA 1台；额定电压：12.6kV，最高工作电压：12.6kV，   Ie=1250A，Id=80kA，Ir=31.5kA，4s;          电流互感器:50/5 0.5/10P10;             过电压保护器：TBP</w:t>
            </w:r>
            <w:r>
              <w:rPr>
                <w:rFonts w:hint="eastAsia" w:ascii="宋体" w:hAnsi="宋体" w:eastAsia="宋体" w:cs="宋体"/>
                <w:i w:val="0"/>
                <w:iCs w:val="0"/>
                <w:color w:val="auto"/>
                <w:kern w:val="0"/>
                <w:sz w:val="21"/>
                <w:szCs w:val="21"/>
                <w:u w:val="none"/>
                <w:lang w:val="en-US" w:eastAsia="zh-CN" w:bidi="ar"/>
              </w:rPr>
              <w:softHyphen/>
            </w:r>
            <w:r>
              <w:rPr>
                <w:rFonts w:hint="eastAsia" w:ascii="宋体" w:hAnsi="宋体" w:eastAsia="宋体" w:cs="宋体"/>
                <w:i w:val="0"/>
                <w:iCs w:val="0"/>
                <w:color w:val="auto"/>
                <w:kern w:val="0"/>
                <w:sz w:val="21"/>
                <w:szCs w:val="21"/>
                <w:u w:val="none"/>
                <w:lang w:val="en-US" w:eastAsia="zh-CN" w:bidi="ar"/>
              </w:rPr>
              <w:t>-A-12.7/131;        接地开关：JN15-12/31.5KA，配10kV传感器；          配带电显示器；          零序电流互感器：LXK-Φ120,60/1A;             电度表：DSSD331-MC0.5级        100V 1.5(6)A，三相数字电流表；                   智能保护装置：PSM642UX，国电南自产品；          主母线：3*（TMY-100*10）；</w:t>
            </w:r>
            <w:r>
              <w:rPr>
                <w:rFonts w:hint="eastAsia" w:ascii="宋体" w:hAnsi="宋体" w:eastAsia="宋体" w:cs="宋体"/>
                <w:b/>
                <w:bCs/>
                <w:i w:val="0"/>
                <w:iCs w:val="0"/>
                <w:color w:val="auto"/>
                <w:kern w:val="0"/>
                <w:sz w:val="21"/>
                <w:szCs w:val="21"/>
                <w:u w:val="none"/>
                <w:lang w:val="en-US" w:eastAsia="zh-CN" w:bidi="ar"/>
              </w:rPr>
              <w:t>接地铜排:TMY-40*5</w:t>
            </w:r>
            <w:r>
              <w:rPr>
                <w:rFonts w:hint="eastAsia" w:ascii="宋体" w:hAnsi="宋体" w:eastAsia="宋体" w:cs="宋体"/>
                <w:i w:val="0"/>
                <w:iCs w:val="0"/>
                <w:color w:val="auto"/>
                <w:kern w:val="0"/>
                <w:sz w:val="21"/>
                <w:szCs w:val="21"/>
                <w:u w:val="none"/>
                <w:lang w:val="en-US" w:eastAsia="zh-CN" w:bidi="ar"/>
              </w:rPr>
              <w:t>；</w:t>
            </w:r>
          </w:p>
        </w:tc>
        <w:tc>
          <w:tcPr>
            <w:tcW w:w="585" w:type="dxa"/>
            <w:vAlign w:val="center"/>
          </w:tcPr>
          <w:p w14:paraId="557188A4">
            <w:pPr>
              <w:keepNext w:val="0"/>
              <w:keepLines w:val="0"/>
              <w:widowControl/>
              <w:suppressLineNumbers w:val="0"/>
              <w:jc w:val="center"/>
              <w:textAlignment w:val="center"/>
              <w:rPr>
                <w:rFonts w:hint="eastAsia" w:ascii="仿宋" w:hAnsi="仿宋" w:eastAsia="仿宋" w:cs="仿宋"/>
                <w:color w:val="auto"/>
                <w:sz w:val="32"/>
                <w:szCs w:val="32"/>
                <w:vertAlign w:val="baseline"/>
                <w:lang w:val="en-US" w:eastAsia="zh-CN"/>
              </w:rPr>
            </w:pPr>
            <w:r>
              <w:rPr>
                <w:rFonts w:hint="eastAsia" w:ascii="宋体" w:hAnsi="宋体" w:eastAsia="宋体" w:cs="宋体"/>
                <w:color w:val="auto"/>
                <w:sz w:val="21"/>
                <w:szCs w:val="21"/>
                <w:vertAlign w:val="baseline"/>
                <w:lang w:val="en-US" w:eastAsia="zh-CN"/>
              </w:rPr>
              <w:t>1</w:t>
            </w:r>
          </w:p>
        </w:tc>
        <w:tc>
          <w:tcPr>
            <w:tcW w:w="660" w:type="dxa"/>
            <w:vAlign w:val="center"/>
          </w:tcPr>
          <w:p w14:paraId="144A23D0">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1"/>
                <w:szCs w:val="21"/>
                <w:vertAlign w:val="baseline"/>
                <w:lang w:val="en-US" w:eastAsia="zh-CN"/>
              </w:rPr>
              <w:t>台</w:t>
            </w:r>
          </w:p>
        </w:tc>
        <w:tc>
          <w:tcPr>
            <w:tcW w:w="1035" w:type="dxa"/>
            <w:vAlign w:val="center"/>
          </w:tcPr>
          <w:p w14:paraId="05643AC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65" w:type="dxa"/>
            <w:vAlign w:val="center"/>
          </w:tcPr>
          <w:p w14:paraId="7B4AD2A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6776620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3027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86" w:type="dxa"/>
            <w:vAlign w:val="center"/>
          </w:tcPr>
          <w:p w14:paraId="587FC42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30"/>
                <w:szCs w:val="30"/>
                <w:u w:val="none"/>
                <w:lang w:val="en-US" w:eastAsia="zh-CN" w:bidi="ar"/>
              </w:rPr>
              <w:t>6</w:t>
            </w:r>
          </w:p>
        </w:tc>
        <w:tc>
          <w:tcPr>
            <w:tcW w:w="1684" w:type="dxa"/>
            <w:vAlign w:val="center"/>
          </w:tcPr>
          <w:p w14:paraId="536E59A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网络机柜</w:t>
            </w:r>
          </w:p>
        </w:tc>
        <w:tc>
          <w:tcPr>
            <w:tcW w:w="2276" w:type="dxa"/>
            <w:vAlign w:val="center"/>
          </w:tcPr>
          <w:p w14:paraId="724F57A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600宽，600深，1200高，3层隔板并且上下可调，玻璃前门</w:t>
            </w:r>
          </w:p>
        </w:tc>
        <w:tc>
          <w:tcPr>
            <w:tcW w:w="585" w:type="dxa"/>
            <w:vAlign w:val="center"/>
          </w:tcPr>
          <w:p w14:paraId="0FB0EE3D">
            <w:pPr>
              <w:keepNext w:val="0"/>
              <w:keepLines w:val="0"/>
              <w:widowControl/>
              <w:suppressLineNumbers w:val="0"/>
              <w:jc w:val="center"/>
              <w:textAlignment w:val="center"/>
              <w:rPr>
                <w:rFonts w:hint="eastAsia" w:ascii="仿宋" w:hAnsi="仿宋" w:eastAsia="仿宋" w:cs="仿宋"/>
                <w:color w:val="auto"/>
                <w:sz w:val="32"/>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60" w:type="dxa"/>
            <w:vAlign w:val="center"/>
          </w:tcPr>
          <w:p w14:paraId="70589EA2">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个</w:t>
            </w:r>
          </w:p>
        </w:tc>
        <w:tc>
          <w:tcPr>
            <w:tcW w:w="1035" w:type="dxa"/>
            <w:vAlign w:val="center"/>
          </w:tcPr>
          <w:p w14:paraId="24632B3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65" w:type="dxa"/>
            <w:vAlign w:val="center"/>
          </w:tcPr>
          <w:p w14:paraId="4B87C8D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7E55159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6FF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vAlign w:val="center"/>
          </w:tcPr>
          <w:p w14:paraId="4CF966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w:t>
            </w:r>
          </w:p>
        </w:tc>
        <w:tc>
          <w:tcPr>
            <w:tcW w:w="1684" w:type="dxa"/>
            <w:vAlign w:val="center"/>
          </w:tcPr>
          <w:p w14:paraId="38AB7CF2">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2276" w:type="dxa"/>
            <w:vAlign w:val="center"/>
          </w:tcPr>
          <w:p w14:paraId="15502718">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585" w:type="dxa"/>
            <w:vAlign w:val="center"/>
          </w:tcPr>
          <w:p w14:paraId="3BCFAAE7">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660" w:type="dxa"/>
            <w:vAlign w:val="center"/>
          </w:tcPr>
          <w:p w14:paraId="54B026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35" w:type="dxa"/>
            <w:vAlign w:val="center"/>
          </w:tcPr>
          <w:p w14:paraId="731901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65" w:type="dxa"/>
            <w:vAlign w:val="center"/>
          </w:tcPr>
          <w:p w14:paraId="0605480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5CD1347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2C4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761" w:type="dxa"/>
            <w:gridSpan w:val="8"/>
            <w:vAlign w:val="center"/>
          </w:tcPr>
          <w:p w14:paraId="179F9E0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rPr>
            </w:pPr>
            <w:r>
              <w:rPr>
                <w:rFonts w:hint="eastAsia"/>
              </w:rPr>
              <w:t>备注：</w:t>
            </w:r>
            <w:r>
              <w:rPr>
                <w:rFonts w:hint="eastAsia"/>
                <w:lang w:val="en-US" w:eastAsia="zh-CN"/>
              </w:rPr>
              <w:t>必须按规格型号参数及品牌要求报价；无品牌要求的必须注明生产厂家及品牌名称，生产厂家必须具有投报产品的生产许可证；每个大项内的各小项必须报全，否则报价无效</w:t>
            </w:r>
            <w:r>
              <w:rPr>
                <w:rFonts w:hint="eastAsia"/>
              </w:rPr>
              <w:t>。</w:t>
            </w:r>
          </w:p>
        </w:tc>
      </w:tr>
    </w:tbl>
    <w:p w14:paraId="4684F152">
      <w:pPr>
        <w:pStyle w:val="3"/>
        <w:spacing w:after="0"/>
        <w:jc w:val="both"/>
        <w:rPr>
          <w:rFonts w:hint="eastAsia" w:ascii="Times New Roman" w:hAnsi="Times New Roman"/>
          <w:color w:val="auto"/>
          <w:kern w:val="0"/>
          <w:lang w:val="en-US" w:eastAsia="zh-CN"/>
        </w:rPr>
      </w:pPr>
      <w:r>
        <w:rPr>
          <w:rFonts w:hint="eastAsia" w:ascii="Times New Roman" w:hAnsi="Times New Roman"/>
          <w:color w:val="auto"/>
          <w:kern w:val="0"/>
          <w:lang w:val="en-US" w:eastAsia="zh-CN"/>
        </w:rPr>
        <w:t>（二）</w:t>
      </w:r>
      <w:r>
        <w:rPr>
          <w:rFonts w:hint="eastAsia" w:ascii="仿宋" w:hAnsi="仿宋" w:eastAsia="仿宋" w:cs="仿宋"/>
          <w:b/>
          <w:bCs w:val="0"/>
          <w:i w:val="0"/>
          <w:color w:val="000000"/>
          <w:kern w:val="0"/>
          <w:sz w:val="30"/>
          <w:szCs w:val="30"/>
          <w:highlight w:val="none"/>
          <w:u w:val="none"/>
          <w:lang w:val="en-US" w:eastAsia="zh-CN" w:bidi="ar"/>
        </w:rPr>
        <w:t>高压电缆</w:t>
      </w:r>
      <w:r>
        <w:rPr>
          <w:rFonts w:hint="eastAsia" w:ascii="仿宋_GB2312" w:hAnsi="仿宋_GB2312" w:eastAsia="仿宋_GB2312" w:cs="仿宋_GB2312"/>
          <w:b/>
          <w:sz w:val="32"/>
          <w:szCs w:val="32"/>
        </w:rPr>
        <w:t>技术要求</w:t>
      </w:r>
    </w:p>
    <w:p w14:paraId="1AE1ACE7">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一、执行标准（</w:t>
      </w:r>
      <w:r>
        <w:rPr>
          <w:rFonts w:hint="eastAsia" w:ascii="仿宋" w:hAnsi="仿宋" w:eastAsia="仿宋" w:cs="仿宋"/>
          <w:b/>
          <w:sz w:val="24"/>
          <w:szCs w:val="24"/>
          <w:lang w:val="en-US" w:eastAsia="zh-CN"/>
        </w:rPr>
        <w:t>报价</w:t>
      </w:r>
      <w:r>
        <w:rPr>
          <w:rFonts w:hint="eastAsia" w:ascii="仿宋" w:hAnsi="仿宋" w:eastAsia="仿宋" w:cs="仿宋"/>
          <w:b/>
          <w:sz w:val="24"/>
          <w:szCs w:val="24"/>
        </w:rPr>
        <w:t>单位提供的电缆应执行但不限于以下标注准）：</w:t>
      </w:r>
    </w:p>
    <w:p w14:paraId="689DF9D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GB/T12706</w:t>
      </w:r>
      <w:r>
        <w:rPr>
          <w:rFonts w:hint="eastAsia" w:ascii="仿宋" w:hAnsi="仿宋" w:eastAsia="仿宋" w:cs="仿宋"/>
          <w:sz w:val="24"/>
          <w:szCs w:val="24"/>
        </w:rPr>
        <w:tab/>
      </w:r>
      <w:r>
        <w:rPr>
          <w:rFonts w:hint="eastAsia" w:ascii="仿宋" w:hAnsi="仿宋" w:eastAsia="仿宋" w:cs="仿宋"/>
          <w:sz w:val="24"/>
          <w:szCs w:val="24"/>
        </w:rPr>
        <w:t>额定电压1kV(Um=1.2kV)到35kV(Um=40.5kV)挤包绝缘电力电缆及附件</w:t>
      </w:r>
    </w:p>
    <w:p w14:paraId="6EEF25A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GB/T2951</w:t>
      </w:r>
      <w:r>
        <w:rPr>
          <w:rFonts w:hint="eastAsia" w:ascii="仿宋" w:hAnsi="仿宋" w:eastAsia="仿宋" w:cs="仿宋"/>
          <w:sz w:val="24"/>
          <w:szCs w:val="24"/>
        </w:rPr>
        <w:tab/>
      </w:r>
      <w:r>
        <w:rPr>
          <w:rFonts w:hint="eastAsia" w:ascii="仿宋" w:hAnsi="仿宋" w:eastAsia="仿宋" w:cs="仿宋"/>
          <w:sz w:val="24"/>
          <w:szCs w:val="24"/>
        </w:rPr>
        <w:t>电缆和光缆绝缘和护套材料通用试验方法</w:t>
      </w:r>
    </w:p>
    <w:p w14:paraId="0A2C062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GB/T3048</w:t>
      </w:r>
      <w:r>
        <w:rPr>
          <w:rFonts w:hint="eastAsia" w:ascii="仿宋" w:hAnsi="仿宋" w:eastAsia="仿宋" w:cs="仿宋"/>
          <w:sz w:val="24"/>
          <w:szCs w:val="24"/>
        </w:rPr>
        <w:tab/>
      </w:r>
      <w:r>
        <w:rPr>
          <w:rFonts w:hint="eastAsia" w:ascii="仿宋" w:hAnsi="仿宋" w:eastAsia="仿宋" w:cs="仿宋"/>
          <w:sz w:val="24"/>
          <w:szCs w:val="24"/>
        </w:rPr>
        <w:t>电线电缆电性能试验方法</w:t>
      </w:r>
    </w:p>
    <w:p w14:paraId="48E42F9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GB/T3956</w:t>
      </w:r>
      <w:r>
        <w:rPr>
          <w:rFonts w:hint="eastAsia" w:ascii="仿宋" w:hAnsi="仿宋" w:eastAsia="仿宋" w:cs="仿宋"/>
          <w:sz w:val="24"/>
          <w:szCs w:val="24"/>
        </w:rPr>
        <w:tab/>
      </w:r>
      <w:r>
        <w:rPr>
          <w:rFonts w:hint="eastAsia" w:ascii="仿宋" w:hAnsi="仿宋" w:eastAsia="仿宋" w:cs="仿宋"/>
          <w:sz w:val="24"/>
          <w:szCs w:val="24"/>
        </w:rPr>
        <w:t>电缆的导体</w:t>
      </w:r>
    </w:p>
    <w:p w14:paraId="484B3F4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GB 4005</w:t>
      </w:r>
      <w:r>
        <w:rPr>
          <w:rFonts w:hint="eastAsia" w:ascii="仿宋" w:hAnsi="仿宋" w:eastAsia="仿宋" w:cs="仿宋"/>
          <w:sz w:val="24"/>
          <w:szCs w:val="24"/>
        </w:rPr>
        <w:tab/>
      </w:r>
      <w:r>
        <w:rPr>
          <w:rFonts w:hint="eastAsia" w:ascii="仿宋" w:hAnsi="仿宋" w:eastAsia="仿宋" w:cs="仿宋"/>
          <w:sz w:val="24"/>
          <w:szCs w:val="24"/>
        </w:rPr>
        <w:t>电线电缆交货盘</w:t>
      </w:r>
    </w:p>
    <w:p w14:paraId="2C8E078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GB6995</w:t>
      </w:r>
      <w:r>
        <w:rPr>
          <w:rFonts w:hint="eastAsia" w:ascii="仿宋" w:hAnsi="仿宋" w:eastAsia="仿宋" w:cs="仿宋"/>
          <w:sz w:val="24"/>
          <w:szCs w:val="24"/>
        </w:rPr>
        <w:tab/>
      </w:r>
      <w:r>
        <w:rPr>
          <w:rFonts w:hint="eastAsia" w:ascii="仿宋" w:hAnsi="仿宋" w:eastAsia="仿宋" w:cs="仿宋"/>
          <w:sz w:val="24"/>
          <w:szCs w:val="24"/>
        </w:rPr>
        <w:t>电线电缆识别标志</w:t>
      </w:r>
    </w:p>
    <w:p w14:paraId="74473BB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GB/T18380</w:t>
      </w:r>
      <w:r>
        <w:rPr>
          <w:rFonts w:hint="eastAsia" w:ascii="仿宋" w:hAnsi="仿宋" w:eastAsia="仿宋" w:cs="仿宋"/>
          <w:sz w:val="24"/>
          <w:szCs w:val="24"/>
        </w:rPr>
        <w:tab/>
      </w:r>
      <w:r>
        <w:rPr>
          <w:rFonts w:hint="eastAsia" w:ascii="仿宋" w:hAnsi="仿宋" w:eastAsia="仿宋" w:cs="仿宋"/>
          <w:sz w:val="24"/>
          <w:szCs w:val="24"/>
        </w:rPr>
        <w:t xml:space="preserve">电缆在火焰条件下的燃烧试验  </w:t>
      </w:r>
    </w:p>
    <w:p w14:paraId="4274B81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GB/T 12706.1</w:t>
      </w:r>
      <w:r>
        <w:rPr>
          <w:rFonts w:hint="eastAsia" w:ascii="仿宋" w:hAnsi="仿宋" w:eastAsia="仿宋" w:cs="仿宋"/>
          <w:sz w:val="24"/>
          <w:szCs w:val="24"/>
        </w:rPr>
        <w:tab/>
      </w:r>
      <w:r>
        <w:rPr>
          <w:rFonts w:hint="eastAsia" w:ascii="仿宋" w:hAnsi="仿宋" w:eastAsia="仿宋" w:cs="仿宋"/>
          <w:sz w:val="24"/>
          <w:szCs w:val="24"/>
        </w:rPr>
        <w:t>电线电缆机械物理性能试验方法</w:t>
      </w:r>
    </w:p>
    <w:p w14:paraId="1DF3459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GB 2952</w:t>
      </w:r>
      <w:r>
        <w:rPr>
          <w:rFonts w:hint="eastAsia" w:ascii="仿宋" w:hAnsi="仿宋" w:eastAsia="仿宋" w:cs="仿宋"/>
          <w:sz w:val="24"/>
          <w:szCs w:val="24"/>
        </w:rPr>
        <w:tab/>
      </w:r>
      <w:r>
        <w:rPr>
          <w:rFonts w:hint="eastAsia" w:ascii="仿宋" w:hAnsi="仿宋" w:eastAsia="仿宋" w:cs="仿宋"/>
          <w:sz w:val="24"/>
          <w:szCs w:val="24"/>
        </w:rPr>
        <w:t>电缆外护层</w:t>
      </w:r>
    </w:p>
    <w:p w14:paraId="2D7E2C6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GB 50217</w:t>
      </w:r>
      <w:r>
        <w:rPr>
          <w:rFonts w:hint="eastAsia" w:ascii="仿宋" w:hAnsi="仿宋" w:eastAsia="仿宋" w:cs="仿宋"/>
          <w:sz w:val="24"/>
          <w:szCs w:val="24"/>
        </w:rPr>
        <w:tab/>
      </w:r>
      <w:r>
        <w:rPr>
          <w:rFonts w:hint="eastAsia" w:ascii="仿宋" w:hAnsi="仿宋" w:eastAsia="仿宋" w:cs="仿宋"/>
          <w:sz w:val="24"/>
          <w:szCs w:val="24"/>
        </w:rPr>
        <w:t>电力工程电缆设计规范</w:t>
      </w:r>
    </w:p>
    <w:p w14:paraId="497B645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IEC 60332-1</w:t>
      </w:r>
      <w:r>
        <w:rPr>
          <w:rFonts w:hint="eastAsia" w:ascii="仿宋" w:hAnsi="仿宋" w:eastAsia="仿宋" w:cs="仿宋"/>
          <w:sz w:val="24"/>
          <w:szCs w:val="24"/>
        </w:rPr>
        <w:tab/>
      </w:r>
      <w:r>
        <w:rPr>
          <w:rFonts w:hint="eastAsia" w:ascii="仿宋" w:hAnsi="仿宋" w:eastAsia="仿宋" w:cs="仿宋"/>
          <w:sz w:val="24"/>
          <w:szCs w:val="24"/>
        </w:rPr>
        <w:t>《电缆在火焰条件下的燃烧试验》 第一部分：单根绝缘电线或电缆的垂直燃烧试验</w:t>
      </w:r>
    </w:p>
    <w:p w14:paraId="0D06FF2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IEC 60754—1、2</w:t>
      </w:r>
      <w:r>
        <w:rPr>
          <w:rFonts w:hint="eastAsia" w:ascii="仿宋" w:hAnsi="仿宋" w:eastAsia="仿宋" w:cs="仿宋"/>
          <w:sz w:val="24"/>
          <w:szCs w:val="24"/>
        </w:rPr>
        <w:tab/>
      </w:r>
      <w:r>
        <w:rPr>
          <w:rFonts w:hint="eastAsia" w:ascii="仿宋" w:hAnsi="仿宋" w:eastAsia="仿宋" w:cs="仿宋"/>
          <w:sz w:val="24"/>
          <w:szCs w:val="24"/>
        </w:rPr>
        <w:t xml:space="preserve">《取自电缆的材料燃烧时析出气体的试验》 </w:t>
      </w:r>
    </w:p>
    <w:p w14:paraId="08EC0D6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第一部分：卤酸气体量的测定 </w:t>
      </w:r>
    </w:p>
    <w:p w14:paraId="27442EC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第二部分：用测量PH值和导电率来测量气体酸度的方法</w:t>
      </w:r>
    </w:p>
    <w:p w14:paraId="6FEDFED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IEC 60287</w:t>
      </w:r>
      <w:r>
        <w:rPr>
          <w:rFonts w:hint="eastAsia" w:ascii="仿宋" w:hAnsi="仿宋" w:eastAsia="仿宋" w:cs="仿宋"/>
          <w:sz w:val="24"/>
          <w:szCs w:val="24"/>
        </w:rPr>
        <w:tab/>
      </w:r>
      <w:r>
        <w:rPr>
          <w:rFonts w:hint="eastAsia" w:ascii="仿宋" w:hAnsi="仿宋" w:eastAsia="仿宋" w:cs="仿宋"/>
          <w:sz w:val="24"/>
          <w:szCs w:val="24"/>
        </w:rPr>
        <w:t>有关电缆载流量计算的标准</w:t>
      </w:r>
    </w:p>
    <w:p w14:paraId="0B22DD0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ASTME－662－83</w:t>
      </w:r>
      <w:r>
        <w:rPr>
          <w:rFonts w:hint="eastAsia" w:ascii="仿宋" w:hAnsi="仿宋" w:eastAsia="仿宋" w:cs="仿宋"/>
          <w:sz w:val="24"/>
          <w:szCs w:val="24"/>
        </w:rPr>
        <w:tab/>
      </w:r>
      <w:r>
        <w:rPr>
          <w:rFonts w:hint="eastAsia" w:ascii="仿宋" w:hAnsi="仿宋" w:eastAsia="仿宋" w:cs="仿宋"/>
          <w:sz w:val="24"/>
          <w:szCs w:val="24"/>
        </w:rPr>
        <w:t>烟密度测试方法</w:t>
      </w:r>
    </w:p>
    <w:p w14:paraId="4D06654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以上标准应是现行的经过修订的有效版本。</w:t>
      </w:r>
    </w:p>
    <w:p w14:paraId="0F8641A7">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二、使用特性：</w:t>
      </w:r>
    </w:p>
    <w:p w14:paraId="5ED4FFE6">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2.1 电力电缆、铠装电力电缆</w:t>
      </w:r>
    </w:p>
    <w:p w14:paraId="60DDF76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（1）电气特性：</w:t>
      </w:r>
    </w:p>
    <w:p w14:paraId="414B3A2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1）1kV电力电缆：额定电压U0/U为0.6/1kV，额定频率为50Hz。</w:t>
      </w:r>
    </w:p>
    <w:p w14:paraId="51087CB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2）8.7/15kV电力电缆：额定电压U0/U为8.7/15kV，额定频率为50Hz。</w:t>
      </w:r>
    </w:p>
    <w:p w14:paraId="5502E0D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（2）敷设方式：敷设方式可有沟槽、排管、沟道、桥架等多种。</w:t>
      </w:r>
    </w:p>
    <w:p w14:paraId="1CF669B7">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2.2 控制电缆、屏蔽控制电缆、铠装控制电缆</w:t>
      </w:r>
    </w:p>
    <w:p w14:paraId="625B1A1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（1）电气特性：额定电压有500V，450V/750V等；</w:t>
      </w:r>
    </w:p>
    <w:p w14:paraId="33BD7E4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（2）敷设方式：敷设方式可有沟槽、排管、沟道、桥架等多种。</w:t>
      </w:r>
    </w:p>
    <w:p w14:paraId="576A31B0">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2.3 工作特性及条件：</w:t>
      </w:r>
    </w:p>
    <w:p w14:paraId="6F90132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（1）电缆导体的长期允许工作温度为70℃。</w:t>
      </w:r>
    </w:p>
    <w:p w14:paraId="46A256F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 短路时(最长持续时间不超过5s)电缆导体的最高温度不超过160℃。</w:t>
      </w:r>
    </w:p>
    <w:p w14:paraId="491269E3">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三、技术要求：</w:t>
      </w:r>
    </w:p>
    <w:p w14:paraId="76DA9C18">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3.1导体</w:t>
      </w:r>
    </w:p>
    <w:p w14:paraId="24BAD05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1）导体结构、性能及外观符合GB/T3956的规定。</w:t>
      </w:r>
    </w:p>
    <w:p w14:paraId="3B6CEFD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2）导体表面光洁、无油污、无损伤绝缘的毛刺、锐边以及凸起或断裂的单线。</w:t>
      </w:r>
    </w:p>
    <w:p w14:paraId="53489086">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3.2绝缘</w:t>
      </w:r>
    </w:p>
    <w:p w14:paraId="73F4456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1）绝缘紧密挤包在导体上，且容易剥离而不损伤导体。绝缘表面平整，色泽均匀。绝缘层的横断面上无目力可见的气泡和砂眼等缺陷。</w:t>
      </w:r>
    </w:p>
    <w:p w14:paraId="74599AA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2）绝缘的平均厚度不小于GB/T12706.1-2002中规定的标称值，绝缘的最薄点厚度不小于标称值的90%-0.1mm。</w:t>
      </w:r>
    </w:p>
    <w:p w14:paraId="3FBD21C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3）绝缘线芯采用颜色识别，分色规则符合GB6995-1986的规定。</w:t>
      </w:r>
    </w:p>
    <w:p w14:paraId="63F80BC5">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3.3缆芯、填充及内衬层</w:t>
      </w:r>
    </w:p>
    <w:p w14:paraId="7CC2B4B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1）电缆绝缘线芯成缆方向为右向。</w:t>
      </w:r>
    </w:p>
    <w:p w14:paraId="5DC6A56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2）电缆的缆芯中用非吸湿性材料填充。　</w:t>
      </w:r>
    </w:p>
    <w:p w14:paraId="1380F56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 YJV22型交联电缆成缆线芯外绕包两层PVC黑带作为内衬层，其厚度符合GB/T12706.1的规定。</w:t>
      </w:r>
    </w:p>
    <w:p w14:paraId="64F83AB6">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3.4铠装</w:t>
      </w:r>
    </w:p>
    <w:p w14:paraId="7005DCE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1）单芯铠装电缆采用双层不锈钢带铠装，多芯铠装电缆采用双层镀锌钢带铠装。</w:t>
      </w:r>
    </w:p>
    <w:p w14:paraId="3BF4928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2）钢带螺旋式绕包，绕包间隔不超过钢带宽度的50%。</w:t>
      </w:r>
    </w:p>
    <w:p w14:paraId="348F8A7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3）钢带厚度符合GB/T12706.1的规定，钢带绕包圆整光滑。</w:t>
      </w:r>
    </w:p>
    <w:p w14:paraId="5844C74D">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3.5外护套</w:t>
      </w:r>
    </w:p>
    <w:p w14:paraId="2A87B55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1）电缆外护套紧密挤包在铠装层上，护套表面光洁，色泽均匀。</w:t>
      </w:r>
    </w:p>
    <w:p w14:paraId="28C5D24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2）电缆外护套材料采用PVC/ST1聚氯乙烯混和物；护套厚度符合GB/T12706.1的规定，其任一点的最小厚度不小于标称厚度80%-0.2mm。</w:t>
      </w:r>
    </w:p>
    <w:p w14:paraId="17183A6A">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3.6成品电缆</w:t>
      </w:r>
    </w:p>
    <w:p w14:paraId="04CBCA7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）成品电缆经受3500V交流电压，时间5min的试验而不击穿。</w:t>
      </w:r>
    </w:p>
    <w:p w14:paraId="6969719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）电缆的绝缘电阻常数：20℃时，不小于36.7MΩ•km；70℃时，不小于0.037MΩ•km。</w:t>
      </w:r>
    </w:p>
    <w:p w14:paraId="3928DDD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）电缆导体20℃时直流电阻符合GB/T3956-1997的规定。</w:t>
      </w:r>
    </w:p>
    <w:p w14:paraId="0E68DBC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）成品电缆的不圆度不大于10%。</w:t>
      </w:r>
    </w:p>
    <w:p w14:paraId="42317F7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）每盘成品电缆中间不得存在断头、开裂等现象，必须是完整的全新电缆。</w:t>
      </w:r>
    </w:p>
    <w:p w14:paraId="19AF6CA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）成品电缆能通过GB/T18380.1-2001的不延燃试验。</w:t>
      </w:r>
    </w:p>
    <w:p w14:paraId="7DB9E63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）成品电缆表面连续印有电缆型号、电压、厂名、尺码等标志。标志字迹清楚，容易辨认、耐擦，并符合GB6995.3规定。</w:t>
      </w:r>
    </w:p>
    <w:p w14:paraId="58961E82">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四、试验</w:t>
      </w:r>
    </w:p>
    <w:p w14:paraId="7C03A794">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4.1例行试验</w:t>
      </w:r>
    </w:p>
    <w:p w14:paraId="32BF100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例行试验在每一根电缆制造长度上进行，例行试验项目如下：</w:t>
      </w:r>
    </w:p>
    <w:p w14:paraId="3136E11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序号</w:t>
      </w:r>
      <w:r>
        <w:rPr>
          <w:rFonts w:hint="eastAsia" w:ascii="仿宋" w:hAnsi="仿宋" w:eastAsia="仿宋" w:cs="仿宋"/>
          <w:sz w:val="24"/>
          <w:szCs w:val="24"/>
        </w:rPr>
        <w:tab/>
      </w:r>
      <w:r>
        <w:rPr>
          <w:rFonts w:hint="eastAsia" w:ascii="仿宋" w:hAnsi="仿宋" w:eastAsia="仿宋" w:cs="仿宋"/>
          <w:sz w:val="24"/>
          <w:szCs w:val="24"/>
        </w:rPr>
        <w:t>试验项目</w:t>
      </w:r>
      <w:r>
        <w:rPr>
          <w:rFonts w:hint="eastAsia" w:ascii="仿宋" w:hAnsi="仿宋" w:eastAsia="仿宋" w:cs="仿宋"/>
          <w:sz w:val="24"/>
          <w:szCs w:val="24"/>
        </w:rPr>
        <w:tab/>
      </w:r>
      <w:r>
        <w:rPr>
          <w:rFonts w:hint="eastAsia" w:ascii="仿宋" w:hAnsi="仿宋" w:eastAsia="仿宋" w:cs="仿宋"/>
          <w:sz w:val="24"/>
          <w:szCs w:val="24"/>
        </w:rPr>
        <w:t>试验方法</w:t>
      </w:r>
      <w:r>
        <w:rPr>
          <w:rFonts w:hint="eastAsia" w:ascii="仿宋" w:hAnsi="仿宋" w:eastAsia="仿宋" w:cs="仿宋"/>
          <w:sz w:val="24"/>
          <w:szCs w:val="24"/>
        </w:rPr>
        <w:tab/>
      </w:r>
      <w:r>
        <w:rPr>
          <w:rFonts w:hint="eastAsia" w:ascii="仿宋" w:hAnsi="仿宋" w:eastAsia="仿宋" w:cs="仿宋"/>
          <w:sz w:val="24"/>
          <w:szCs w:val="24"/>
        </w:rPr>
        <w:t>技术要求</w:t>
      </w:r>
    </w:p>
    <w:p w14:paraId="55237F0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1.导体直流电阻试验</w:t>
      </w:r>
      <w:r>
        <w:rPr>
          <w:rFonts w:hint="eastAsia" w:ascii="仿宋" w:hAnsi="仿宋" w:eastAsia="仿宋" w:cs="仿宋"/>
          <w:sz w:val="24"/>
          <w:szCs w:val="24"/>
        </w:rPr>
        <w:tab/>
      </w:r>
      <w:r>
        <w:rPr>
          <w:rFonts w:hint="eastAsia" w:ascii="仿宋" w:hAnsi="仿宋" w:eastAsia="仿宋" w:cs="仿宋"/>
          <w:sz w:val="24"/>
          <w:szCs w:val="24"/>
        </w:rPr>
        <w:t>GB/T3048.4</w:t>
      </w:r>
      <w:r>
        <w:rPr>
          <w:rFonts w:hint="eastAsia" w:ascii="仿宋" w:hAnsi="仿宋" w:eastAsia="仿宋" w:cs="仿宋"/>
          <w:sz w:val="24"/>
          <w:szCs w:val="24"/>
        </w:rPr>
        <w:tab/>
      </w:r>
      <w:r>
        <w:rPr>
          <w:rFonts w:hint="eastAsia" w:ascii="仿宋" w:hAnsi="仿宋" w:eastAsia="仿宋" w:cs="仿宋"/>
          <w:sz w:val="24"/>
          <w:szCs w:val="24"/>
        </w:rPr>
        <w:t>符合GB/T3956规定</w:t>
      </w:r>
    </w:p>
    <w:p w14:paraId="316BC44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2.电压试验</w:t>
      </w:r>
      <w:r>
        <w:rPr>
          <w:rFonts w:hint="eastAsia" w:ascii="仿宋" w:hAnsi="仿宋" w:eastAsia="仿宋" w:cs="仿宋"/>
          <w:sz w:val="24"/>
          <w:szCs w:val="24"/>
        </w:rPr>
        <w:tab/>
      </w:r>
      <w:r>
        <w:rPr>
          <w:rFonts w:hint="eastAsia" w:ascii="仿宋" w:hAnsi="仿宋" w:eastAsia="仿宋" w:cs="仿宋"/>
          <w:sz w:val="24"/>
          <w:szCs w:val="24"/>
        </w:rPr>
        <w:t>GB/T3048.8</w:t>
      </w:r>
      <w:r>
        <w:rPr>
          <w:rFonts w:hint="eastAsia" w:ascii="仿宋" w:hAnsi="仿宋" w:eastAsia="仿宋" w:cs="仿宋"/>
          <w:sz w:val="24"/>
          <w:szCs w:val="24"/>
        </w:rPr>
        <w:tab/>
      </w:r>
      <w:r>
        <w:rPr>
          <w:rFonts w:hint="eastAsia" w:ascii="仿宋" w:hAnsi="仿宋" w:eastAsia="仿宋" w:cs="仿宋"/>
          <w:sz w:val="24"/>
          <w:szCs w:val="24"/>
        </w:rPr>
        <w:t>0.6/1kV电力电缆可用测试绝缘电阻代替耐压试验；</w:t>
      </w:r>
    </w:p>
    <w:p w14:paraId="734DDC2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8.7/15kV电力电缆：直流耐压47kV/5min；</w:t>
      </w:r>
    </w:p>
    <w:p w14:paraId="6FAF8E2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21/35kV电力电缆：直流耐压105kV/5min；</w:t>
      </w:r>
    </w:p>
    <w:p w14:paraId="05EBF31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26/35kV电力电缆：直流耐压130kV/5min；</w:t>
      </w:r>
    </w:p>
    <w:p w14:paraId="360B8EA0">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4.2抽样试验</w:t>
      </w:r>
    </w:p>
    <w:p w14:paraId="46EB503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抽样试验频次符合GB/T12706.1规定，试验项目如下：</w:t>
      </w:r>
    </w:p>
    <w:p w14:paraId="1DB93D1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序号</w:t>
      </w:r>
      <w:r>
        <w:rPr>
          <w:rFonts w:hint="eastAsia" w:ascii="仿宋" w:hAnsi="仿宋" w:eastAsia="仿宋" w:cs="仿宋"/>
          <w:sz w:val="24"/>
          <w:szCs w:val="24"/>
        </w:rPr>
        <w:tab/>
      </w:r>
      <w:r>
        <w:rPr>
          <w:rFonts w:hint="eastAsia" w:ascii="仿宋" w:hAnsi="仿宋" w:eastAsia="仿宋" w:cs="仿宋"/>
          <w:sz w:val="24"/>
          <w:szCs w:val="24"/>
        </w:rPr>
        <w:t>试验项目</w:t>
      </w:r>
      <w:r>
        <w:rPr>
          <w:rFonts w:hint="eastAsia" w:ascii="仿宋" w:hAnsi="仿宋" w:eastAsia="仿宋" w:cs="仿宋"/>
          <w:sz w:val="24"/>
          <w:szCs w:val="24"/>
        </w:rPr>
        <w:tab/>
      </w:r>
      <w:r>
        <w:rPr>
          <w:rFonts w:hint="eastAsia" w:ascii="仿宋" w:hAnsi="仿宋" w:eastAsia="仿宋" w:cs="仿宋"/>
          <w:sz w:val="24"/>
          <w:szCs w:val="24"/>
        </w:rPr>
        <w:t>试验方法</w:t>
      </w:r>
      <w:r>
        <w:rPr>
          <w:rFonts w:hint="eastAsia" w:ascii="仿宋" w:hAnsi="仿宋" w:eastAsia="仿宋" w:cs="仿宋"/>
          <w:sz w:val="24"/>
          <w:szCs w:val="24"/>
        </w:rPr>
        <w:tab/>
      </w:r>
      <w:r>
        <w:rPr>
          <w:rFonts w:hint="eastAsia" w:ascii="仿宋" w:hAnsi="仿宋" w:eastAsia="仿宋" w:cs="仿宋"/>
          <w:sz w:val="24"/>
          <w:szCs w:val="24"/>
        </w:rPr>
        <w:t>技术要求</w:t>
      </w:r>
    </w:p>
    <w:p w14:paraId="3E1E550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1.导体检查</w:t>
      </w:r>
      <w:r>
        <w:rPr>
          <w:rFonts w:hint="eastAsia" w:ascii="仿宋" w:hAnsi="仿宋" w:eastAsia="仿宋" w:cs="仿宋"/>
          <w:sz w:val="24"/>
          <w:szCs w:val="24"/>
        </w:rPr>
        <w:tab/>
      </w:r>
      <w:r>
        <w:rPr>
          <w:rFonts w:hint="eastAsia" w:ascii="仿宋" w:hAnsi="仿宋" w:eastAsia="仿宋" w:cs="仿宋"/>
          <w:sz w:val="24"/>
          <w:szCs w:val="24"/>
        </w:rPr>
        <w:t>目测</w:t>
      </w:r>
      <w:r>
        <w:rPr>
          <w:rFonts w:hint="eastAsia" w:ascii="仿宋" w:hAnsi="仿宋" w:eastAsia="仿宋" w:cs="仿宋"/>
          <w:sz w:val="24"/>
          <w:szCs w:val="24"/>
        </w:rPr>
        <w:tab/>
      </w:r>
      <w:r>
        <w:rPr>
          <w:rFonts w:hint="eastAsia" w:ascii="仿宋" w:hAnsi="仿宋" w:eastAsia="仿宋" w:cs="仿宋"/>
          <w:sz w:val="24"/>
          <w:szCs w:val="24"/>
        </w:rPr>
        <w:t>符合GB/T3956规定</w:t>
      </w:r>
    </w:p>
    <w:p w14:paraId="2F453B7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2.尺寸检查</w:t>
      </w:r>
      <w:r>
        <w:rPr>
          <w:rFonts w:hint="eastAsia" w:ascii="仿宋" w:hAnsi="仿宋" w:eastAsia="仿宋" w:cs="仿宋"/>
          <w:sz w:val="24"/>
          <w:szCs w:val="24"/>
        </w:rPr>
        <w:tab/>
      </w:r>
      <w:r>
        <w:rPr>
          <w:rFonts w:hint="eastAsia" w:ascii="仿宋" w:hAnsi="仿宋" w:eastAsia="仿宋" w:cs="仿宋"/>
          <w:sz w:val="24"/>
          <w:szCs w:val="24"/>
        </w:rPr>
        <w:t>GB/T2951.1</w:t>
      </w:r>
      <w:r>
        <w:rPr>
          <w:rFonts w:hint="eastAsia" w:ascii="仿宋" w:hAnsi="仿宋" w:eastAsia="仿宋" w:cs="仿宋"/>
          <w:sz w:val="24"/>
          <w:szCs w:val="24"/>
        </w:rPr>
        <w:tab/>
      </w:r>
      <w:r>
        <w:rPr>
          <w:rFonts w:hint="eastAsia" w:ascii="仿宋" w:hAnsi="仿宋" w:eastAsia="仿宋" w:cs="仿宋"/>
          <w:sz w:val="24"/>
          <w:szCs w:val="24"/>
        </w:rPr>
        <w:t>符合GB/T12706.1规定</w:t>
      </w:r>
    </w:p>
    <w:p w14:paraId="2D4E0B2F">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4.3电缆型式试验内容及方法</w:t>
      </w:r>
      <w:r>
        <w:rPr>
          <w:rFonts w:hint="eastAsia" w:ascii="仿宋" w:hAnsi="仿宋" w:eastAsia="仿宋" w:cs="仿宋"/>
          <w:b/>
          <w:bCs/>
          <w:sz w:val="24"/>
          <w:szCs w:val="24"/>
          <w:lang w:eastAsia="zh-CN"/>
        </w:rPr>
        <w:t>：</w:t>
      </w:r>
      <w:r>
        <w:rPr>
          <w:rFonts w:hint="eastAsia" w:ascii="仿宋" w:hAnsi="仿宋" w:eastAsia="仿宋" w:cs="仿宋"/>
          <w:sz w:val="24"/>
          <w:szCs w:val="24"/>
        </w:rPr>
        <w:t>符合GB/T12706.1的规定。</w:t>
      </w:r>
    </w:p>
    <w:p w14:paraId="12BAFE2D">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五、包装及运输和保管</w:t>
      </w:r>
    </w:p>
    <w:p w14:paraId="2AF17BA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5.1电缆妥善包装在符合GB 4005规定要求的电缆盘上交货。电缆端头可靠密封，伸出盘外的电缆端头加保护罩，伸出的长度不小于300mm。</w:t>
      </w:r>
    </w:p>
    <w:p w14:paraId="5C20FD0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5.2每盘电缆附有产品质量检验合格证，电缆盘上标明：</w:t>
      </w:r>
    </w:p>
    <w:p w14:paraId="306CCE9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a．制造厂名或商标；</w:t>
      </w:r>
    </w:p>
    <w:p w14:paraId="267D221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b.电缆型号及规格；</w:t>
      </w:r>
    </w:p>
    <w:p w14:paraId="637D1AD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c.长度，m；</w:t>
      </w:r>
    </w:p>
    <w:p w14:paraId="108D8E1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e.毛重，kg；</w:t>
      </w:r>
    </w:p>
    <w:p w14:paraId="0EFE964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f.制造日期： 年  月；</w:t>
      </w:r>
    </w:p>
    <w:p w14:paraId="18E4C74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g.表示电缆盘正确滚动方向的符号；</w:t>
      </w:r>
    </w:p>
    <w:p w14:paraId="0E24482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h.标准编号。</w:t>
      </w:r>
    </w:p>
    <w:p w14:paraId="70452EB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5.3运输和保管应符合下列要求:</w:t>
      </w:r>
      <w:r>
        <w:rPr>
          <w:rFonts w:hint="eastAsia" w:ascii="仿宋" w:hAnsi="仿宋" w:eastAsia="仿宋" w:cs="仿宋"/>
          <w:sz w:val="24"/>
          <w:szCs w:val="24"/>
        </w:rPr>
        <w:tab/>
      </w:r>
    </w:p>
    <w:p w14:paraId="0736356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a.电缆应避免露天存放，电缆盘不允许平放</w:t>
      </w:r>
    </w:p>
    <w:p w14:paraId="6A064F6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b.运输中严禁从高处扔下装有电缆的电缆盘，严禁机械损伤电缆；</w:t>
      </w:r>
    </w:p>
    <w:p w14:paraId="327A3A9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c.吊装包装件时，严禁几盘同时吊装。在车辆、船舶等运输工具上，电缆盘必须放稳，并用合适方法固定，防止互撞或翻倒。</w:t>
      </w:r>
    </w:p>
    <w:p w14:paraId="684C588F">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六、电缆的质量检验、技术支持及其它</w:t>
      </w:r>
    </w:p>
    <w:p w14:paraId="27145F4A">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6.1质量保证/质量控制</w:t>
      </w:r>
    </w:p>
    <w:p w14:paraId="34B0635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供方</w:t>
      </w:r>
      <w:r>
        <w:rPr>
          <w:rFonts w:hint="eastAsia" w:ascii="仿宋" w:hAnsi="仿宋" w:eastAsia="仿宋" w:cs="仿宋"/>
          <w:sz w:val="24"/>
          <w:szCs w:val="24"/>
        </w:rPr>
        <w:t>应负责对按本技术规范所提供的服务、工艺、流程、产品和材料实行质量控制。</w:t>
      </w:r>
    </w:p>
    <w:p w14:paraId="1361A6B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供方</w:t>
      </w:r>
      <w:r>
        <w:rPr>
          <w:rFonts w:hint="eastAsia" w:ascii="仿宋" w:hAnsi="仿宋" w:eastAsia="仿宋" w:cs="仿宋"/>
          <w:sz w:val="24"/>
          <w:szCs w:val="24"/>
        </w:rPr>
        <w:t>应该用质量控制计划检查各项目和服务，包括分包商的项目和服务是否符合合同的要求和规定。质量控制系统应符合ISO9000系列标准的要求。</w:t>
      </w:r>
    </w:p>
    <w:p w14:paraId="4456330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供方</w:t>
      </w:r>
      <w:r>
        <w:rPr>
          <w:rFonts w:hint="eastAsia" w:ascii="仿宋" w:hAnsi="仿宋" w:eastAsia="仿宋" w:cs="仿宋"/>
          <w:sz w:val="24"/>
          <w:szCs w:val="24"/>
        </w:rPr>
        <w:t>应随投标方案提供质量保证计划和质量控制手册供审核同意。</w:t>
      </w:r>
    </w:p>
    <w:p w14:paraId="6C103AB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（4）开始制造前，</w:t>
      </w:r>
      <w:r>
        <w:rPr>
          <w:rFonts w:hint="eastAsia" w:ascii="仿宋" w:hAnsi="仿宋" w:eastAsia="仿宋" w:cs="仿宋"/>
          <w:sz w:val="24"/>
          <w:szCs w:val="24"/>
          <w:lang w:eastAsia="zh-CN"/>
        </w:rPr>
        <w:t>供方</w:t>
      </w:r>
      <w:r>
        <w:rPr>
          <w:rFonts w:hint="eastAsia" w:ascii="仿宋" w:hAnsi="仿宋" w:eastAsia="仿宋" w:cs="仿宋"/>
          <w:sz w:val="24"/>
          <w:szCs w:val="24"/>
        </w:rPr>
        <w:t>应提交制造顺序，介绍要进行的检验和/或试验。</w:t>
      </w:r>
      <w:r>
        <w:rPr>
          <w:rFonts w:hint="eastAsia" w:ascii="仿宋" w:hAnsi="仿宋" w:eastAsia="仿宋" w:cs="仿宋"/>
          <w:sz w:val="24"/>
          <w:szCs w:val="24"/>
          <w:lang w:eastAsia="zh-CN"/>
        </w:rPr>
        <w:t>需方</w:t>
      </w:r>
      <w:r>
        <w:rPr>
          <w:rFonts w:hint="eastAsia" w:ascii="仿宋" w:hAnsi="仿宋" w:eastAsia="仿宋" w:cs="仿宋"/>
          <w:sz w:val="24"/>
          <w:szCs w:val="24"/>
        </w:rPr>
        <w:t>代表有权进入制造中检验和/或最终检验和试验。出厂前需邀请业主方参与检验和/或试验。</w:t>
      </w:r>
    </w:p>
    <w:p w14:paraId="45AAC8C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（5）凡与规定不符之处，都必须记录进行处理。</w:t>
      </w:r>
    </w:p>
    <w:p w14:paraId="09F1F51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（6）质量保证/质量控制文件应包括但不限于：</w:t>
      </w:r>
    </w:p>
    <w:p w14:paraId="19AE4C9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1）鉴别偏差和偏差认可的文件</w:t>
      </w:r>
    </w:p>
    <w:p w14:paraId="2A0B8CB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2）性能试验报告</w:t>
      </w:r>
    </w:p>
    <w:p w14:paraId="0746D53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3）电气试验报告。</w:t>
      </w:r>
    </w:p>
    <w:p w14:paraId="438734A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4）所有采用的规定和标准要求的其它文件。</w:t>
      </w:r>
    </w:p>
    <w:p w14:paraId="54E2ACE3">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6.2技术支持与工程配合</w:t>
      </w:r>
    </w:p>
    <w:p w14:paraId="02950A6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（1）对于需方在电缆检验、安装、运行、调试及维护等过程中所需技术支持，供方必须积极配合与支持，及时提供安装、操作、使用、维护技术说明书等技术文件。</w:t>
      </w:r>
    </w:p>
    <w:p w14:paraId="76CE220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（2）根据工程需要可以召开设计联络会或其它形式解决设计制造中的问题。</w:t>
      </w:r>
    </w:p>
    <w:p w14:paraId="0B036D1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（3）电缆设计使用寿命不小于30年。</w:t>
      </w:r>
    </w:p>
    <w:p w14:paraId="610F0D91">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6.3电缆供货厂商应提供的技术资料和数据</w:t>
      </w:r>
    </w:p>
    <w:p w14:paraId="7FC5869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（1）应提供供货电缆所有有关的试验报告三套。</w:t>
      </w:r>
    </w:p>
    <w:p w14:paraId="72FC00B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（2）当导体温度为90℃时，空气温度40℃时的电缆载流量。导体温度为70℃时，土壤热阻系数1.2℃•m/W时的电缆载流量。</w:t>
      </w:r>
    </w:p>
    <w:p w14:paraId="255D8EF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（3）电缆的断面图及结构尺寸表。</w:t>
      </w:r>
    </w:p>
    <w:p w14:paraId="1C4D124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（4）导体的紧压系数，比重。</w:t>
      </w:r>
    </w:p>
    <w:p w14:paraId="43E396C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（5）提供绝缘材料和电屏蔽材料的产地来源及材料的性能指标参数。</w:t>
      </w:r>
    </w:p>
    <w:p w14:paraId="4E233A7C">
      <w:pPr>
        <w:keepNext w:val="0"/>
        <w:keepLines w:val="0"/>
        <w:pageBreakBefore w:val="0"/>
        <w:widowControl w:val="0"/>
        <w:kinsoku/>
        <w:wordWrap/>
        <w:overflowPunct/>
        <w:topLinePunct w:val="0"/>
        <w:autoSpaceDE/>
        <w:autoSpaceDN/>
        <w:bidi w:val="0"/>
        <w:adjustRightInd/>
        <w:snapToGrid/>
        <w:spacing w:before="157" w:beforeLines="50" w:line="500" w:lineRule="exact"/>
        <w:jc w:val="left"/>
        <w:textAlignment w:val="auto"/>
        <w:rPr>
          <w:rFonts w:hint="default" w:ascii="仿宋" w:hAnsi="仿宋" w:eastAsia="仿宋" w:cs="仿宋"/>
          <w:b/>
          <w:sz w:val="28"/>
          <w:szCs w:val="28"/>
          <w:lang w:val="en-US"/>
        </w:rPr>
      </w:pPr>
      <w:r>
        <w:rPr>
          <w:rFonts w:hint="eastAsia" w:ascii="宋体" w:hAnsi="宋体" w:eastAsia="宋体" w:cs="宋体"/>
          <w:b/>
          <w:bCs/>
          <w:color w:val="auto"/>
          <w:kern w:val="0"/>
          <w:sz w:val="32"/>
          <w:szCs w:val="32"/>
          <w:lang w:val="en-US" w:eastAsia="zh-CN"/>
        </w:rPr>
        <w:t>（三）</w:t>
      </w:r>
      <w:r>
        <w:rPr>
          <w:rFonts w:hint="eastAsia" w:ascii="仿宋" w:hAnsi="仿宋" w:eastAsia="仿宋" w:cs="仿宋"/>
          <w:b/>
          <w:sz w:val="28"/>
          <w:szCs w:val="28"/>
          <w:lang w:val="en-US" w:eastAsia="zh-CN"/>
        </w:rPr>
        <w:t>保护测控装置技术要求</w:t>
      </w:r>
    </w:p>
    <w:p w14:paraId="6FE200F4">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rPr>
        <w:t>保护装置额定参数</w:t>
      </w:r>
    </w:p>
    <w:p w14:paraId="04F96E3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.1额定直流电源：220V／110V。</w:t>
      </w:r>
    </w:p>
    <w:p w14:paraId="001AE2B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.2预定交流电流：5A／1A</w:t>
      </w:r>
      <w:r>
        <w:rPr>
          <w:rFonts w:hint="eastAsia" w:ascii="仿宋" w:hAnsi="仿宋" w:eastAsia="仿宋" w:cs="仿宋"/>
          <w:sz w:val="28"/>
          <w:szCs w:val="28"/>
          <w:highlight w:val="none"/>
          <w:lang w:eastAsia="zh-CN"/>
        </w:rPr>
        <w:t>。</w:t>
      </w:r>
    </w:p>
    <w:p w14:paraId="4452344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.3额定交流电压：100V／73</w:t>
      </w:r>
      <w:r>
        <w:rPr>
          <w:rFonts w:hint="eastAsia" w:ascii="仿宋" w:hAnsi="仿宋" w:eastAsia="仿宋" w:cs="仿宋"/>
          <w:sz w:val="28"/>
          <w:szCs w:val="28"/>
          <w:highlight w:val="none"/>
          <w:lang w:val="en-US" w:eastAsia="zh-CN"/>
        </w:rPr>
        <w:t>V</w:t>
      </w:r>
      <w:r>
        <w:rPr>
          <w:rFonts w:hint="eastAsia" w:ascii="仿宋" w:hAnsi="仿宋" w:eastAsia="仿宋" w:cs="仿宋"/>
          <w:sz w:val="28"/>
          <w:szCs w:val="28"/>
          <w:highlight w:val="none"/>
        </w:rPr>
        <w:t>（相电压）。</w:t>
      </w:r>
    </w:p>
    <w:p w14:paraId="7BD95E6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.4额定频率：50Hz</w:t>
      </w:r>
    </w:p>
    <w:p w14:paraId="100D07EA">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rPr>
        <w:t>装置功率消耗</w:t>
      </w:r>
    </w:p>
    <w:p w14:paraId="3766789B">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.1 装置交流消耗：交流电流回路功率消耗每相不大于0.5VA(IN= 1 A ) )或IVA(  IN= 5 A ),交流电压回路功率消耗（额定电压下）每相不大于IVA。供方</w:t>
      </w:r>
      <w:r>
        <w:rPr>
          <w:rFonts w:hint="eastAsia" w:ascii="仿宋" w:hAnsi="仿宋" w:eastAsia="仿宋" w:cs="仿宋"/>
          <w:sz w:val="28"/>
          <w:szCs w:val="28"/>
          <w:highlight w:val="none"/>
          <w:lang w:eastAsia="zh-CN"/>
        </w:rPr>
        <w:t>竞价</w:t>
      </w:r>
      <w:r>
        <w:rPr>
          <w:rFonts w:hint="eastAsia" w:ascii="仿宋" w:hAnsi="仿宋" w:eastAsia="仿宋" w:cs="仿宋"/>
          <w:sz w:val="28"/>
          <w:szCs w:val="28"/>
          <w:highlight w:val="none"/>
        </w:rPr>
        <w:t>时必须提供确切数值。</w:t>
      </w:r>
    </w:p>
    <w:p w14:paraId="79A8FBF5">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.2 装置直流消耗：当正常工作时，不大于30W；当保护动作时，不大于50W。</w:t>
      </w:r>
      <w:r>
        <w:rPr>
          <w:rFonts w:hint="eastAsia" w:ascii="仿宋" w:hAnsi="仿宋" w:eastAsia="仿宋" w:cs="仿宋"/>
          <w:sz w:val="28"/>
          <w:szCs w:val="28"/>
          <w:highlight w:val="none"/>
          <w:lang w:val="en-US" w:eastAsia="zh-CN"/>
        </w:rPr>
        <w:t>报价单位</w:t>
      </w:r>
      <w:r>
        <w:rPr>
          <w:rFonts w:hint="eastAsia" w:ascii="仿宋" w:hAnsi="仿宋" w:eastAsia="仿宋" w:cs="仿宋"/>
          <w:sz w:val="28"/>
          <w:szCs w:val="28"/>
          <w:highlight w:val="none"/>
        </w:rPr>
        <w:t>必须提供确切数值。</w:t>
      </w:r>
    </w:p>
    <w:p w14:paraId="5A8D4708">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3、对</w:t>
      </w:r>
      <w:r>
        <w:rPr>
          <w:rFonts w:hint="eastAsia" w:ascii="仿宋" w:hAnsi="仿宋" w:eastAsia="仿宋" w:cs="仿宋"/>
          <w:b/>
          <w:bCs/>
          <w:sz w:val="28"/>
          <w:szCs w:val="28"/>
          <w:highlight w:val="none"/>
        </w:rPr>
        <w:t>保护</w:t>
      </w:r>
      <w:r>
        <w:rPr>
          <w:rFonts w:hint="eastAsia" w:ascii="仿宋" w:hAnsi="仿宋" w:eastAsia="仿宋" w:cs="仿宋"/>
          <w:b/>
          <w:bCs/>
          <w:sz w:val="28"/>
          <w:szCs w:val="28"/>
          <w:highlight w:val="none"/>
          <w:lang w:val="en-US" w:eastAsia="zh-CN"/>
        </w:rPr>
        <w:t>测控装置</w:t>
      </w:r>
      <w:r>
        <w:rPr>
          <w:rFonts w:hint="eastAsia" w:ascii="仿宋" w:hAnsi="仿宋" w:eastAsia="仿宋" w:cs="仿宋"/>
          <w:b/>
          <w:bCs/>
          <w:sz w:val="28"/>
          <w:szCs w:val="28"/>
          <w:highlight w:val="none"/>
        </w:rPr>
        <w:t>的</w:t>
      </w:r>
      <w:r>
        <w:rPr>
          <w:rFonts w:hint="eastAsia" w:ascii="仿宋" w:hAnsi="仿宋" w:eastAsia="仿宋" w:cs="仿宋"/>
          <w:b/>
          <w:bCs/>
          <w:sz w:val="28"/>
          <w:szCs w:val="28"/>
          <w:highlight w:val="none"/>
          <w:lang w:val="en-US" w:eastAsia="zh-CN"/>
        </w:rPr>
        <w:t>总体</w:t>
      </w:r>
      <w:r>
        <w:rPr>
          <w:rFonts w:hint="eastAsia" w:ascii="仿宋" w:hAnsi="仿宋" w:eastAsia="仿宋" w:cs="仿宋"/>
          <w:b/>
          <w:bCs/>
          <w:sz w:val="28"/>
          <w:szCs w:val="28"/>
          <w:highlight w:val="none"/>
        </w:rPr>
        <w:t>技术要求</w:t>
      </w:r>
    </w:p>
    <w:p w14:paraId="0F4BB887">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.1环境温度在-5℃～＋55℃时，装置应能足本技术要求所规定的的精度。</w:t>
      </w:r>
    </w:p>
    <w:p w14:paraId="53633ECC">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.2 在雷击过电压、一次回路操作、系统故障及其他强干扰作用下，不应误动和拒动。</w:t>
      </w:r>
      <w:r>
        <w:rPr>
          <w:rFonts w:hint="eastAsia" w:ascii="仿宋" w:hAnsi="仿宋" w:eastAsia="仿宋" w:cs="仿宋"/>
          <w:sz w:val="28"/>
          <w:szCs w:val="28"/>
          <w:highlight w:val="none"/>
          <w:lang w:eastAsia="zh-CN"/>
        </w:rPr>
        <w:t>保护测控装置</w:t>
      </w:r>
      <w:r>
        <w:rPr>
          <w:rFonts w:hint="eastAsia" w:ascii="仿宋" w:hAnsi="仿宋" w:eastAsia="仿宋" w:cs="仿宋"/>
          <w:sz w:val="28"/>
          <w:szCs w:val="28"/>
          <w:highlight w:val="none"/>
        </w:rPr>
        <w:t>静电放电试验、快速瞬变干扰试验、高频干扰试验、脉冲群干扰试验、辐射电磁场干扰试验、冲击电压试验和绝缘试验应至少符合 1EC 标准。装置调试端口应带有光电隔离装置。</w:t>
      </w:r>
    </w:p>
    <w:p w14:paraId="2EFD2D34">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CN"/>
        </w:rPr>
        <w:t>保护测控装置</w:t>
      </w:r>
      <w:r>
        <w:rPr>
          <w:rFonts w:hint="eastAsia" w:ascii="仿宋" w:hAnsi="仿宋" w:eastAsia="仿宋" w:cs="仿宋"/>
          <w:sz w:val="28"/>
          <w:szCs w:val="28"/>
          <w:highlight w:val="none"/>
        </w:rPr>
        <w:t>与其他装置之间的输入和输出回路，应采用光电耦合装置或继电器触点进行连接，不应有直接的电气联系。</w:t>
      </w:r>
    </w:p>
    <w:p w14:paraId="5D3BAAC8">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 xml:space="preserve">.4 </w:t>
      </w:r>
      <w:r>
        <w:rPr>
          <w:rFonts w:hint="eastAsia" w:ascii="仿宋" w:hAnsi="仿宋" w:eastAsia="仿宋" w:cs="仿宋"/>
          <w:sz w:val="28"/>
          <w:szCs w:val="28"/>
          <w:highlight w:val="none"/>
          <w:lang w:eastAsia="zh-CN"/>
        </w:rPr>
        <w:t>保护测控装置</w:t>
      </w:r>
      <w:r>
        <w:rPr>
          <w:rFonts w:hint="eastAsia" w:ascii="仿宋" w:hAnsi="仿宋" w:eastAsia="仿宋" w:cs="仿宋"/>
          <w:sz w:val="28"/>
          <w:szCs w:val="28"/>
          <w:highlight w:val="none"/>
        </w:rPr>
        <w:t>中的插件应接触可靠，并且有良好的互换性，以便检修时能迅速更换。</w:t>
      </w:r>
    </w:p>
    <w:p w14:paraId="1DECB492">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.5</w:t>
      </w:r>
      <w:r>
        <w:rPr>
          <w:rFonts w:hint="eastAsia" w:ascii="仿宋" w:hAnsi="仿宋" w:eastAsia="仿宋" w:cs="仿宋"/>
          <w:sz w:val="28"/>
          <w:szCs w:val="28"/>
          <w:highlight w:val="none"/>
          <w:lang w:eastAsia="zh-CN"/>
        </w:rPr>
        <w:t>保护测控装置</w:t>
      </w:r>
      <w:r>
        <w:rPr>
          <w:rFonts w:hint="eastAsia" w:ascii="仿宋" w:hAnsi="仿宋" w:eastAsia="仿宋" w:cs="仿宋"/>
          <w:sz w:val="28"/>
          <w:szCs w:val="28"/>
          <w:highlight w:val="none"/>
        </w:rPr>
        <w:t>应具有直流电源快速小开关，与</w:t>
      </w:r>
      <w:r>
        <w:rPr>
          <w:rFonts w:hint="eastAsia" w:ascii="仿宋" w:hAnsi="仿宋" w:eastAsia="仿宋" w:cs="仿宋"/>
          <w:sz w:val="28"/>
          <w:szCs w:val="28"/>
          <w:highlight w:val="none"/>
          <w:lang w:eastAsia="zh-CN"/>
        </w:rPr>
        <w:t>保护测控装置</w:t>
      </w:r>
      <w:r>
        <w:rPr>
          <w:rFonts w:hint="eastAsia" w:ascii="仿宋" w:hAnsi="仿宋" w:eastAsia="仿宋" w:cs="仿宋"/>
          <w:sz w:val="28"/>
          <w:szCs w:val="28"/>
          <w:highlight w:val="none"/>
        </w:rPr>
        <w:t>安装在同一柜上。</w:t>
      </w:r>
      <w:r>
        <w:rPr>
          <w:rFonts w:hint="eastAsia" w:ascii="仿宋" w:hAnsi="仿宋" w:eastAsia="仿宋" w:cs="仿宋"/>
          <w:sz w:val="28"/>
          <w:szCs w:val="28"/>
          <w:highlight w:val="none"/>
          <w:lang w:eastAsia="zh-CN"/>
        </w:rPr>
        <w:t>保护测控装置</w:t>
      </w:r>
      <w:r>
        <w:rPr>
          <w:rFonts w:hint="eastAsia" w:ascii="仿宋" w:hAnsi="仿宋" w:eastAsia="仿宋" w:cs="仿宋"/>
          <w:sz w:val="28"/>
          <w:szCs w:val="28"/>
          <w:highlight w:val="none"/>
        </w:rPr>
        <w:t>的逻辑回路应有独立的直流/直流变换器供电。直流电压消失时，</w:t>
      </w:r>
      <w:r>
        <w:rPr>
          <w:rFonts w:hint="eastAsia" w:ascii="仿宋" w:hAnsi="仿宋" w:eastAsia="仿宋" w:cs="仿宋"/>
          <w:sz w:val="28"/>
          <w:szCs w:val="28"/>
          <w:highlight w:val="none"/>
          <w:lang w:eastAsia="zh-CN"/>
        </w:rPr>
        <w:t>保护测控装置</w:t>
      </w:r>
      <w:r>
        <w:rPr>
          <w:rFonts w:hint="eastAsia" w:ascii="仿宋" w:hAnsi="仿宋" w:eastAsia="仿宋" w:cs="仿宋"/>
          <w:sz w:val="28"/>
          <w:szCs w:val="28"/>
          <w:highlight w:val="none"/>
        </w:rPr>
        <w:t>不应误动作，同时应有输出触点以启动告警信号。直流回路应有监视直流回路电压消失的告警信号继电器。直流电源电压在80%~115%额定值范围内变化时，</w:t>
      </w:r>
      <w:r>
        <w:rPr>
          <w:rFonts w:hint="eastAsia" w:ascii="仿宋" w:hAnsi="仿宋" w:eastAsia="仿宋" w:cs="仿宋"/>
          <w:sz w:val="28"/>
          <w:szCs w:val="28"/>
          <w:highlight w:val="none"/>
          <w:lang w:eastAsia="zh-CN"/>
        </w:rPr>
        <w:t>保护测控装置</w:t>
      </w:r>
      <w:r>
        <w:rPr>
          <w:rFonts w:hint="eastAsia" w:ascii="仿宋" w:hAnsi="仿宋" w:eastAsia="仿宋" w:cs="仿宋"/>
          <w:sz w:val="28"/>
          <w:szCs w:val="28"/>
          <w:highlight w:val="none"/>
        </w:rPr>
        <w:t>应正确工作，在直流电源恢复（包括缓慢地恢复）到 80%UN时，直流逆变电源应能自动启动。直流电源纹波系数小于或等于5%时，</w:t>
      </w:r>
      <w:r>
        <w:rPr>
          <w:rFonts w:hint="eastAsia" w:ascii="仿宋" w:hAnsi="仿宋" w:eastAsia="仿宋" w:cs="仿宋"/>
          <w:sz w:val="28"/>
          <w:szCs w:val="28"/>
          <w:highlight w:val="none"/>
          <w:lang w:eastAsia="zh-CN"/>
        </w:rPr>
        <w:t>保护测控装置</w:t>
      </w:r>
      <w:r>
        <w:rPr>
          <w:rFonts w:hint="eastAsia" w:ascii="仿宋" w:hAnsi="仿宋" w:eastAsia="仿宋" w:cs="仿宋"/>
          <w:sz w:val="28"/>
          <w:szCs w:val="28"/>
          <w:highlight w:val="none"/>
        </w:rPr>
        <w:t>应正确工作。拉合直流电源以及插拔熔丝发生重复击穿火花时，</w:t>
      </w:r>
      <w:r>
        <w:rPr>
          <w:rFonts w:hint="eastAsia" w:ascii="仿宋" w:hAnsi="仿宋" w:eastAsia="仿宋" w:cs="仿宋"/>
          <w:sz w:val="28"/>
          <w:szCs w:val="28"/>
          <w:highlight w:val="none"/>
          <w:lang w:eastAsia="zh-CN"/>
        </w:rPr>
        <w:t>保护测控装置</w:t>
      </w:r>
      <w:r>
        <w:rPr>
          <w:rFonts w:hint="eastAsia" w:ascii="仿宋" w:hAnsi="仿宋" w:eastAsia="仿宋" w:cs="仿宋"/>
          <w:sz w:val="28"/>
          <w:szCs w:val="28"/>
          <w:highlight w:val="none"/>
        </w:rPr>
        <w:t>不应误动作。直流电源回路出现各种异常情况（如短路、断线、接地等)时</w:t>
      </w:r>
      <w:r>
        <w:rPr>
          <w:rFonts w:hint="eastAsia" w:ascii="仿宋" w:hAnsi="仿宋" w:eastAsia="仿宋" w:cs="仿宋"/>
          <w:sz w:val="28"/>
          <w:szCs w:val="28"/>
          <w:highlight w:val="none"/>
          <w:lang w:eastAsia="zh-CN"/>
        </w:rPr>
        <w:t>保护测控装置</w:t>
      </w:r>
      <w:r>
        <w:rPr>
          <w:rFonts w:hint="eastAsia" w:ascii="仿宋" w:hAnsi="仿宋" w:eastAsia="仿宋" w:cs="仿宋"/>
          <w:sz w:val="28"/>
          <w:szCs w:val="28"/>
          <w:highlight w:val="none"/>
        </w:rPr>
        <w:t>不应误动作。</w:t>
      </w:r>
    </w:p>
    <w:p w14:paraId="312DFFD4">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.6 应</w:t>
      </w:r>
      <w:r>
        <w:rPr>
          <w:rFonts w:hint="eastAsia" w:ascii="仿宋" w:hAnsi="仿宋" w:eastAsia="仿宋" w:cs="仿宋"/>
          <w:sz w:val="28"/>
          <w:szCs w:val="28"/>
          <w:highlight w:val="none"/>
          <w:lang w:val="en-US" w:eastAsia="zh-CN"/>
        </w:rPr>
        <w:t>随装置</w:t>
      </w:r>
      <w:r>
        <w:rPr>
          <w:rFonts w:hint="eastAsia" w:ascii="仿宋" w:hAnsi="仿宋" w:eastAsia="仿宋" w:cs="仿宋"/>
          <w:sz w:val="28"/>
          <w:szCs w:val="28"/>
          <w:highlight w:val="none"/>
        </w:rPr>
        <w:t>提供标准的试验插件及试验插头。以便对各套</w:t>
      </w:r>
      <w:r>
        <w:rPr>
          <w:rFonts w:hint="eastAsia" w:ascii="仿宋" w:hAnsi="仿宋" w:eastAsia="仿宋" w:cs="仿宋"/>
          <w:sz w:val="28"/>
          <w:szCs w:val="28"/>
          <w:highlight w:val="none"/>
          <w:lang w:eastAsia="zh-CN"/>
        </w:rPr>
        <w:t>保护测控装置</w:t>
      </w:r>
      <w:r>
        <w:rPr>
          <w:rFonts w:hint="eastAsia" w:ascii="仿宋" w:hAnsi="仿宋" w:eastAsia="仿宋" w:cs="仿宋"/>
          <w:sz w:val="28"/>
          <w:szCs w:val="28"/>
          <w:highlight w:val="none"/>
        </w:rPr>
        <w:t>的输入和输出回路进行隔离或能通入电流，电压进行试验。</w:t>
      </w:r>
    </w:p>
    <w:p w14:paraId="6F6889F6">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.7</w:t>
      </w:r>
      <w:r>
        <w:rPr>
          <w:rFonts w:hint="eastAsia" w:ascii="仿宋" w:hAnsi="仿宋" w:eastAsia="仿宋" w:cs="仿宋"/>
          <w:sz w:val="28"/>
          <w:szCs w:val="28"/>
          <w:highlight w:val="none"/>
          <w:lang w:eastAsia="zh-CN"/>
        </w:rPr>
        <w:t>保护测控装置</w:t>
      </w:r>
      <w:r>
        <w:rPr>
          <w:rFonts w:hint="eastAsia" w:ascii="仿宋" w:hAnsi="仿宋" w:eastAsia="仿宋" w:cs="仿宋"/>
          <w:sz w:val="28"/>
          <w:szCs w:val="28"/>
          <w:highlight w:val="none"/>
        </w:rPr>
        <w:t>应有监视及自诊断功能来监测异常及交直流消失等现象，以便在动作后启动告警信号、远动信号、事件记录等。</w:t>
      </w:r>
    </w:p>
    <w:p w14:paraId="0F3DBEE2">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.8</w:t>
      </w:r>
      <w:r>
        <w:rPr>
          <w:rFonts w:hint="eastAsia" w:ascii="仿宋" w:hAnsi="仿宋" w:eastAsia="仿宋" w:cs="仿宋"/>
          <w:sz w:val="28"/>
          <w:szCs w:val="28"/>
          <w:highlight w:val="none"/>
          <w:lang w:eastAsia="zh-CN"/>
        </w:rPr>
        <w:t>保护测控装置</w:t>
      </w:r>
      <w:r>
        <w:rPr>
          <w:rFonts w:hint="eastAsia" w:ascii="仿宋" w:hAnsi="仿宋" w:eastAsia="仿宋" w:cs="仿宋"/>
          <w:sz w:val="28"/>
          <w:szCs w:val="28"/>
          <w:highlight w:val="none"/>
        </w:rPr>
        <w:t>中用于远动信号和事件记录信号的触点不应保持。</w:t>
      </w:r>
    </w:p>
    <w:p w14:paraId="0C3E2A02">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.9 除出口继电器外，装置内的任一元件损坏时，装置不应误动作跳闸。</w:t>
      </w:r>
    </w:p>
    <w:p w14:paraId="1734477D">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.10 跳闸出口回路采用有触点继电器。跳闸出口继电器触点应有足够容量，触点的长期允许通过电流不应小于5A，在电感负荷的直流电路（t&lt;5ms）中的断开容量为50W。信号继电器触点的长期允许通过电流不应小于 2A，在电感负荷的直流电路（T&lt;5ms）中的断开容量为30W。</w:t>
      </w:r>
    </w:p>
    <w:p w14:paraId="0BC378A4">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.11对于</w:t>
      </w:r>
      <w:r>
        <w:rPr>
          <w:rFonts w:hint="eastAsia" w:ascii="仿宋" w:hAnsi="仿宋" w:eastAsia="仿宋" w:cs="仿宋"/>
          <w:sz w:val="28"/>
          <w:szCs w:val="28"/>
          <w:highlight w:val="none"/>
          <w:lang w:eastAsia="zh-CN"/>
        </w:rPr>
        <w:t>保护测控装置</w:t>
      </w:r>
      <w:r>
        <w:rPr>
          <w:rFonts w:hint="eastAsia" w:ascii="仿宋" w:hAnsi="仿宋" w:eastAsia="仿宋" w:cs="仿宋"/>
          <w:sz w:val="28"/>
          <w:szCs w:val="28"/>
          <w:highlight w:val="none"/>
        </w:rPr>
        <w:t>间不经附加判据直接启动跳闸的开入量，应经抗干扰继电器重动后开入。抗干扰继电器的启动功</w:t>
      </w:r>
      <w:r>
        <w:rPr>
          <w:rFonts w:hint="eastAsia" w:ascii="仿宋" w:hAnsi="仿宋" w:eastAsia="仿宋" w:cs="仿宋"/>
          <w:sz w:val="28"/>
          <w:szCs w:val="28"/>
          <w:highlight w:val="none"/>
          <w:lang w:val="en-US" w:eastAsia="zh-CN"/>
        </w:rPr>
        <w:t>率</w:t>
      </w:r>
      <w:r>
        <w:rPr>
          <w:rFonts w:hint="eastAsia" w:ascii="仿宋" w:hAnsi="仿宋" w:eastAsia="仿宋" w:cs="仿宋"/>
          <w:sz w:val="28"/>
          <w:szCs w:val="28"/>
          <w:highlight w:val="none"/>
        </w:rPr>
        <w:t>应大于5</w:t>
      </w:r>
      <w:r>
        <w:rPr>
          <w:rFonts w:hint="eastAsia" w:ascii="仿宋" w:hAnsi="仿宋" w:eastAsia="仿宋" w:cs="仿宋"/>
          <w:sz w:val="28"/>
          <w:szCs w:val="28"/>
          <w:highlight w:val="none"/>
          <w:lang w:val="en-US" w:eastAsia="zh-CN"/>
        </w:rPr>
        <w:t>W</w:t>
      </w:r>
      <w:r>
        <w:rPr>
          <w:rFonts w:hint="eastAsia" w:ascii="仿宋" w:hAnsi="仿宋" w:eastAsia="仿宋" w:cs="仿宋"/>
          <w:sz w:val="28"/>
          <w:szCs w:val="28"/>
          <w:highlight w:val="none"/>
        </w:rPr>
        <w:t>，动作电压在额定直流电源电压的 55%~-70%范围内，额定直流电源电压下的动作时间为10ms~35ms，应具有抗220V工频电压干扰的能力。</w:t>
      </w:r>
    </w:p>
    <w:p w14:paraId="31FA6AE8">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 xml:space="preserve">.12 </w:t>
      </w:r>
      <w:r>
        <w:rPr>
          <w:rFonts w:hint="eastAsia" w:ascii="仿宋" w:hAnsi="仿宋" w:eastAsia="仿宋" w:cs="仿宋"/>
          <w:sz w:val="28"/>
          <w:szCs w:val="28"/>
          <w:highlight w:val="none"/>
          <w:lang w:eastAsia="zh-CN"/>
        </w:rPr>
        <w:t>保护测控装置</w:t>
      </w:r>
      <w:r>
        <w:rPr>
          <w:rFonts w:hint="eastAsia" w:ascii="仿宋" w:hAnsi="仿宋" w:eastAsia="仿宋" w:cs="仿宋"/>
          <w:sz w:val="28"/>
          <w:szCs w:val="28"/>
          <w:highlight w:val="none"/>
        </w:rPr>
        <w:t>与站控层设备通信，标准采用 DL/T 860，应满足运行维护、监视控制及无人值班、智能电网调度等信息交互的要求。</w:t>
      </w:r>
      <w:r>
        <w:rPr>
          <w:rFonts w:hint="eastAsia" w:ascii="仿宋" w:hAnsi="仿宋" w:eastAsia="仿宋" w:cs="仿宋"/>
          <w:sz w:val="28"/>
          <w:szCs w:val="28"/>
          <w:highlight w:val="none"/>
          <w:lang w:eastAsia="zh-CN"/>
        </w:rPr>
        <w:t>保护测控装置</w:t>
      </w:r>
      <w:r>
        <w:rPr>
          <w:rFonts w:hint="eastAsia" w:ascii="仿宋" w:hAnsi="仿宋" w:eastAsia="仿宋" w:cs="仿宋"/>
          <w:sz w:val="28"/>
          <w:szCs w:val="28"/>
          <w:highlight w:val="none"/>
        </w:rPr>
        <w:t>向站控层提供的信息符合</w:t>
      </w:r>
      <w:r>
        <w:rPr>
          <w:rFonts w:hint="eastAsia" w:ascii="仿宋" w:hAnsi="仿宋" w:eastAsia="仿宋" w:cs="仿宋"/>
          <w:sz w:val="28"/>
          <w:szCs w:val="28"/>
          <w:highlight w:val="none"/>
          <w:lang w:val="en-US" w:eastAsia="zh-CN"/>
        </w:rPr>
        <w:t>国网标准</w:t>
      </w:r>
      <w:r>
        <w:rPr>
          <w:rFonts w:hint="eastAsia" w:ascii="仿宋" w:hAnsi="仿宋" w:eastAsia="仿宋" w:cs="仿宋"/>
          <w:sz w:val="28"/>
          <w:szCs w:val="28"/>
          <w:highlight w:val="none"/>
        </w:rPr>
        <w:t>Q/GDW1396。</w:t>
      </w:r>
    </w:p>
    <w:p w14:paraId="6D9FE826">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 xml:space="preserve">.13 </w:t>
      </w:r>
      <w:r>
        <w:rPr>
          <w:rFonts w:hint="eastAsia" w:ascii="仿宋" w:hAnsi="仿宋" w:eastAsia="仿宋" w:cs="仿宋"/>
          <w:sz w:val="28"/>
          <w:szCs w:val="28"/>
          <w:highlight w:val="none"/>
          <w:lang w:eastAsia="zh-CN"/>
        </w:rPr>
        <w:t>保护测控装置</w:t>
      </w:r>
      <w:r>
        <w:rPr>
          <w:rFonts w:hint="eastAsia" w:ascii="仿宋" w:hAnsi="仿宋" w:eastAsia="仿宋" w:cs="仿宋"/>
          <w:sz w:val="28"/>
          <w:szCs w:val="28"/>
          <w:highlight w:val="none"/>
        </w:rPr>
        <w:t>应具备远方修改定值功能、软压板远方投／退和定值区远方切换功能和保护检修功能，具体要求如下：。</w:t>
      </w:r>
    </w:p>
    <w:p w14:paraId="6DCB3121">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a）“远方操作”只设硬压板。“远方投退压板”、“远方切换定值区”和“远方修改定值</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只设软压板，只能在装置本地操作，三者功能相互独立，分别与“远方操作”硬压板采用“与门”逻辑。当“远方操作”硬压板投入后，上述三个软压板远方功能才有效：</w:t>
      </w:r>
    </w:p>
    <w:p w14:paraId="5B609C65">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b）“保护检修状态”只设硬压板，当该压板投入时，</w:t>
      </w:r>
      <w:r>
        <w:rPr>
          <w:rFonts w:hint="eastAsia" w:ascii="仿宋" w:hAnsi="仿宋" w:eastAsia="仿宋" w:cs="仿宋"/>
          <w:sz w:val="28"/>
          <w:szCs w:val="28"/>
          <w:highlight w:val="none"/>
          <w:lang w:eastAsia="zh-CN"/>
        </w:rPr>
        <w:t>保护测控装置</w:t>
      </w:r>
      <w:r>
        <w:rPr>
          <w:rFonts w:hint="eastAsia" w:ascii="仿宋" w:hAnsi="仿宋" w:eastAsia="仿宋" w:cs="仿宋"/>
          <w:sz w:val="28"/>
          <w:szCs w:val="28"/>
          <w:highlight w:val="none"/>
        </w:rPr>
        <w:t>报文上送带品质位信息。“保护检修状态”硬压板遥信不置检修标志：</w:t>
      </w:r>
      <w:r>
        <w:rPr>
          <w:rFonts w:hint="eastAsia" w:ascii="仿宋" w:hAnsi="仿宋" w:eastAsia="仿宋" w:cs="仿宋"/>
          <w:sz w:val="28"/>
          <w:szCs w:val="28"/>
          <w:highlight w:val="none"/>
          <w:lang w:eastAsia="zh-CN"/>
        </w:rPr>
        <w:t>保护测控装置</w:t>
      </w:r>
      <w:r>
        <w:rPr>
          <w:rFonts w:hint="eastAsia" w:ascii="仿宋" w:hAnsi="仿宋" w:eastAsia="仿宋" w:cs="仿宋"/>
          <w:sz w:val="28"/>
          <w:szCs w:val="28"/>
          <w:highlight w:val="none"/>
        </w:rPr>
        <w:t>应有明显显示（面板指示灯和界面显示）。参数、配置文件仅在检修压板投入时才可下装，下装时应闭锁保护</w:t>
      </w:r>
    </w:p>
    <w:p w14:paraId="7C5C5B91">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 xml:space="preserve">.14 </w:t>
      </w:r>
      <w:r>
        <w:rPr>
          <w:rFonts w:hint="eastAsia" w:ascii="仿宋" w:hAnsi="仿宋" w:eastAsia="仿宋" w:cs="仿宋"/>
          <w:sz w:val="28"/>
          <w:szCs w:val="28"/>
          <w:highlight w:val="none"/>
          <w:lang w:eastAsia="zh-CN"/>
        </w:rPr>
        <w:t>保护测控装置</w:t>
      </w:r>
      <w:r>
        <w:rPr>
          <w:rFonts w:hint="eastAsia" w:ascii="仿宋" w:hAnsi="仿宋" w:eastAsia="仿宋" w:cs="仿宋"/>
          <w:sz w:val="28"/>
          <w:szCs w:val="28"/>
          <w:highlight w:val="none"/>
        </w:rPr>
        <w:t>宜通过IRIG-B（DC）码对时，也可采用GB／T25931进行网络对时，对时精度应满足要求。</w:t>
      </w:r>
    </w:p>
    <w:p w14:paraId="2F7AF06A">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.15 测控功能要求</w:t>
      </w:r>
    </w:p>
    <w:p w14:paraId="6ADEC90B">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.15.1 具有实时数据采集与处理、控制操作及信息显示等功能，对监控运行设备的信息进行采集、转换、处理和传送，通过网络传给站控层，同时接收站控层发来的控制操作命令，经过有效的判断等，最后对设备进行操作控制，也可独立完成对断路器、隔离开关的控制操作。</w:t>
      </w:r>
    </w:p>
    <w:p w14:paraId="0B6752F9">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.15.2 实时数据采集与处理</w:t>
      </w:r>
    </w:p>
    <w:p w14:paraId="7F87223B">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a）采集信号种类</w:t>
      </w:r>
    </w:p>
    <w:p w14:paraId="4A6A5B2A">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遥测量：Ua，Ub，Uc，Ia，Ib，Ic,P,Q、cosφ、f。</w:t>
      </w:r>
    </w:p>
    <w:p w14:paraId="6C2E5CAC">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遥信量：保护动作，装置故障，装置异常告警，断路器分、合闸位置，断路器机构信号，远方／就地开关位置，装置压板投退信号等。</w:t>
      </w:r>
    </w:p>
    <w:p w14:paraId="3A25D2E7">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b）采集信号的处理。对所采集的输入量进行数据滤波、有效性检查、故障判断、信号触点消抖等处理、变换后，再通过网络传送。</w:t>
      </w:r>
    </w:p>
    <w:p w14:paraId="7A88A0BF">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C）信号输入方式</w:t>
      </w:r>
    </w:p>
    <w:p w14:paraId="70562DCD">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模拟量输入：采用交流采样，计算I、U、P、Q、f、cosφ。</w:t>
      </w:r>
    </w:p>
    <w:p w14:paraId="212E32D5">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开关量输入：无源触点输入。</w:t>
      </w:r>
    </w:p>
    <w:p w14:paraId="5818ED9A">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.15.3 控制操作</w:t>
      </w:r>
    </w:p>
    <w:p w14:paraId="4AFC438A">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a）操作说明。控制方式为三级控制：就地控制、站控层控制、远方遥控。操作命令的优先级为：就地控制→站控层控制→远方遥控。同一时间只允许一种控制方式有效。对任何操作方式，应保证只有在本次操作步骤完成后，才能进行下一步操作</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屏柜上设</w:t>
      </w:r>
      <w:r>
        <w:rPr>
          <w:rFonts w:hint="eastAsia" w:ascii="仿宋" w:hAnsi="仿宋" w:eastAsia="仿宋" w:cs="仿宋"/>
          <w:sz w:val="28"/>
          <w:szCs w:val="28"/>
          <w:highlight w:val="none"/>
          <w:lang w:val="en-US" w:eastAsia="zh-CN"/>
        </w:rPr>
        <w:t>有</w:t>
      </w:r>
      <w:r>
        <w:rPr>
          <w:rFonts w:hint="eastAsia" w:ascii="仿宋" w:hAnsi="仿宋" w:eastAsia="仿宋" w:cs="仿宋"/>
          <w:sz w:val="28"/>
          <w:szCs w:val="28"/>
          <w:highlight w:val="none"/>
        </w:rPr>
        <w:t>“就地/远方”转换开关，任何时候只允许一种模式有效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在</w:t>
      </w:r>
      <w:r>
        <w:rPr>
          <w:rFonts w:hint="eastAsia" w:ascii="仿宋" w:hAnsi="仿宋" w:eastAsia="仿宋" w:cs="仿宋"/>
          <w:sz w:val="28"/>
          <w:szCs w:val="28"/>
          <w:highlight w:val="none"/>
        </w:rPr>
        <w:t>“就地”位置，通过人工按键实现一对一的操作。所有的遥控采用选择、校核、执行方式，且在本装置内实现，并有相应的记录信息。</w:t>
      </w:r>
    </w:p>
    <w:p w14:paraId="5E4A2EF9">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b）控制输出的触点要求。提供1组合闸触点，1组分闸触点。</w:t>
      </w:r>
    </w:p>
    <w:p w14:paraId="33CCFE58">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.15.4 事件记录</w:t>
      </w:r>
    </w:p>
    <w:p w14:paraId="646EE3ED">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a）事件顺序记录。断路器状态变位、保护动作等事件顺序记录；</w:t>
      </w:r>
    </w:p>
    <w:p w14:paraId="4BC2590A">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b）遥控操作记录。记录遥按操作命令来源，操作时问，操作内容。</w:t>
      </w:r>
    </w:p>
    <w:p w14:paraId="4FA7F6CD">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4</w:t>
      </w:r>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rPr>
        <w:t>试验</w:t>
      </w:r>
    </w:p>
    <w:p w14:paraId="446BDFD4">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4.1</w:t>
      </w:r>
      <w:r>
        <w:rPr>
          <w:rFonts w:hint="eastAsia" w:ascii="仿宋" w:hAnsi="仿宋" w:eastAsia="仿宋" w:cs="仿宋"/>
          <w:sz w:val="28"/>
          <w:szCs w:val="28"/>
          <w:highlight w:val="none"/>
        </w:rPr>
        <w:t>工厂试验</w:t>
      </w:r>
    </w:p>
    <w:p w14:paraId="18BC1F33">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供方</w:t>
      </w:r>
      <w:r>
        <w:rPr>
          <w:rFonts w:hint="eastAsia" w:ascii="仿宋" w:hAnsi="仿宋" w:eastAsia="仿宋" w:cs="仿宋"/>
          <w:sz w:val="28"/>
          <w:szCs w:val="28"/>
          <w:highlight w:val="none"/>
        </w:rPr>
        <w:t>提供的设备试验标准应符合国家、行业及IEC的有关标准，并提供每一种型式产品的型式试验报告和DL/T860一致性测试报告。</w:t>
      </w:r>
    </w:p>
    <w:p w14:paraId="467DD414">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供方</w:t>
      </w:r>
      <w:r>
        <w:rPr>
          <w:rFonts w:hint="eastAsia" w:ascii="仿宋" w:hAnsi="仿宋" w:eastAsia="仿宋" w:cs="仿宋"/>
          <w:sz w:val="28"/>
          <w:szCs w:val="28"/>
          <w:highlight w:val="none"/>
        </w:rPr>
        <w:t>提供的每一套设备出厂之前都应按国家和行业标准以及工厂规定的调试大纲进行出厂检查、性能试验，试验报告应随产品提供。当需做动态模拟试验或数字仿真试验时，模拟系统的接线和参数由</w:t>
      </w:r>
      <w:r>
        <w:rPr>
          <w:rFonts w:hint="eastAsia" w:ascii="仿宋" w:hAnsi="仿宋" w:eastAsia="仿宋" w:cs="仿宋"/>
          <w:sz w:val="28"/>
          <w:szCs w:val="28"/>
          <w:highlight w:val="none"/>
          <w:lang w:eastAsia="zh-CN"/>
        </w:rPr>
        <w:t>供方</w:t>
      </w:r>
      <w:r>
        <w:rPr>
          <w:rFonts w:hint="eastAsia" w:ascii="仿宋" w:hAnsi="仿宋" w:eastAsia="仿宋" w:cs="仿宋"/>
          <w:sz w:val="28"/>
          <w:szCs w:val="28"/>
          <w:highlight w:val="none"/>
        </w:rPr>
        <w:t>与</w:t>
      </w:r>
      <w:r>
        <w:rPr>
          <w:rFonts w:hint="eastAsia" w:ascii="仿宋" w:hAnsi="仿宋" w:eastAsia="仿宋" w:cs="仿宋"/>
          <w:sz w:val="28"/>
          <w:szCs w:val="28"/>
          <w:highlight w:val="none"/>
          <w:lang w:eastAsia="zh-CN"/>
        </w:rPr>
        <w:t>需方</w:t>
      </w:r>
      <w:r>
        <w:rPr>
          <w:rFonts w:hint="eastAsia" w:ascii="仿宋" w:hAnsi="仿宋" w:eastAsia="仿宋" w:cs="仿宋"/>
          <w:sz w:val="28"/>
          <w:szCs w:val="28"/>
          <w:highlight w:val="none"/>
        </w:rPr>
        <w:t>在试验前协商确定，按实际系统参数进行试验。</w:t>
      </w:r>
    </w:p>
    <w:p w14:paraId="54B792E7">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.2系统联调试验</w:t>
      </w:r>
    </w:p>
    <w:p w14:paraId="25B7CD20">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供方</w:t>
      </w:r>
      <w:r>
        <w:rPr>
          <w:rFonts w:hint="eastAsia" w:ascii="仿宋" w:hAnsi="仿宋" w:eastAsia="仿宋" w:cs="仿宋"/>
          <w:sz w:val="28"/>
          <w:szCs w:val="28"/>
          <w:highlight w:val="none"/>
        </w:rPr>
        <w:t>应按</w:t>
      </w:r>
      <w:r>
        <w:rPr>
          <w:rFonts w:hint="eastAsia" w:ascii="仿宋" w:hAnsi="仿宋" w:eastAsia="仿宋" w:cs="仿宋"/>
          <w:sz w:val="28"/>
          <w:szCs w:val="28"/>
          <w:highlight w:val="none"/>
          <w:lang w:eastAsia="zh-CN"/>
        </w:rPr>
        <w:t>需方</w:t>
      </w:r>
      <w:r>
        <w:rPr>
          <w:rFonts w:hint="eastAsia" w:ascii="仿宋" w:hAnsi="仿宋" w:eastAsia="仿宋" w:cs="仿宋"/>
          <w:sz w:val="28"/>
          <w:szCs w:val="28"/>
          <w:highlight w:val="none"/>
        </w:rPr>
        <w:t>需求配合完成</w:t>
      </w:r>
      <w:r>
        <w:rPr>
          <w:rFonts w:hint="eastAsia" w:ascii="仿宋" w:hAnsi="仿宋" w:eastAsia="仿宋" w:cs="仿宋"/>
          <w:sz w:val="28"/>
          <w:szCs w:val="28"/>
          <w:highlight w:val="none"/>
          <w:lang w:eastAsia="zh-CN"/>
        </w:rPr>
        <w:t>需方</w:t>
      </w:r>
      <w:r>
        <w:rPr>
          <w:rFonts w:hint="eastAsia" w:ascii="仿宋" w:hAnsi="仿宋" w:eastAsia="仿宋" w:cs="仿宋"/>
          <w:sz w:val="28"/>
          <w:szCs w:val="28"/>
          <w:highlight w:val="none"/>
        </w:rPr>
        <w:t>组织的</w:t>
      </w:r>
      <w:r>
        <w:rPr>
          <w:rFonts w:hint="eastAsia" w:ascii="仿宋" w:hAnsi="仿宋" w:eastAsia="仿宋" w:cs="仿宋"/>
          <w:sz w:val="28"/>
          <w:szCs w:val="28"/>
          <w:highlight w:val="none"/>
          <w:lang w:eastAsia="zh-CN"/>
        </w:rPr>
        <w:t>保护测控装置</w:t>
      </w:r>
      <w:r>
        <w:rPr>
          <w:rFonts w:hint="eastAsia" w:ascii="仿宋" w:hAnsi="仿宋" w:eastAsia="仿宋" w:cs="仿宋"/>
          <w:sz w:val="28"/>
          <w:szCs w:val="28"/>
          <w:highlight w:val="none"/>
        </w:rPr>
        <w:t>功能验证与系统联调试验。</w:t>
      </w:r>
    </w:p>
    <w:p w14:paraId="16FB857B">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.3现场试验</w:t>
      </w:r>
    </w:p>
    <w:p w14:paraId="6DCB9EB5">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现场实际设备接入后，应按照DL/T995的要求，在一次设备不带电和带电试运行时做现场试验，</w:t>
      </w:r>
      <w:r>
        <w:rPr>
          <w:rFonts w:hint="eastAsia" w:ascii="仿宋" w:hAnsi="仿宋" w:eastAsia="仿宋" w:cs="仿宋"/>
          <w:sz w:val="28"/>
          <w:szCs w:val="28"/>
          <w:highlight w:val="none"/>
          <w:lang w:eastAsia="zh-CN"/>
        </w:rPr>
        <w:t>供方</w:t>
      </w:r>
      <w:r>
        <w:rPr>
          <w:rFonts w:hint="eastAsia" w:ascii="仿宋" w:hAnsi="仿宋" w:eastAsia="仿宋" w:cs="仿宋"/>
          <w:sz w:val="28"/>
          <w:szCs w:val="28"/>
          <w:highlight w:val="none"/>
        </w:rPr>
        <w:t>应配合完成</w:t>
      </w:r>
      <w:r>
        <w:rPr>
          <w:rFonts w:hint="eastAsia" w:ascii="仿宋" w:hAnsi="仿宋" w:eastAsia="仿宋" w:cs="仿宋"/>
          <w:sz w:val="28"/>
          <w:szCs w:val="28"/>
          <w:highlight w:val="none"/>
          <w:lang w:eastAsia="zh-CN"/>
        </w:rPr>
        <w:t>保护测控装置</w:t>
      </w:r>
      <w:r>
        <w:rPr>
          <w:rFonts w:hint="eastAsia" w:ascii="仿宋" w:hAnsi="仿宋" w:eastAsia="仿宋" w:cs="仿宋"/>
          <w:sz w:val="28"/>
          <w:szCs w:val="28"/>
          <w:highlight w:val="none"/>
        </w:rPr>
        <w:t>的现场调试及投运试验。现场投运前和试运行中发现的设备缺陷和元件损坏，</w:t>
      </w:r>
      <w:r>
        <w:rPr>
          <w:rFonts w:hint="eastAsia" w:ascii="仿宋" w:hAnsi="仿宋" w:eastAsia="仿宋" w:cs="仿宋"/>
          <w:sz w:val="28"/>
          <w:szCs w:val="28"/>
          <w:highlight w:val="none"/>
          <w:lang w:eastAsia="zh-CN"/>
        </w:rPr>
        <w:t>供方</w:t>
      </w:r>
      <w:r>
        <w:rPr>
          <w:rFonts w:hint="eastAsia" w:ascii="仿宋" w:hAnsi="仿宋" w:eastAsia="仿宋" w:cs="仿宋"/>
          <w:sz w:val="28"/>
          <w:szCs w:val="28"/>
          <w:highlight w:val="none"/>
        </w:rPr>
        <w:t>应及时无偿修理或更换，直至符合本部分要求。</w:t>
      </w:r>
    </w:p>
    <w:p w14:paraId="12AF395F">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.4 继电保护专业检测</w:t>
      </w:r>
    </w:p>
    <w:p w14:paraId="2055C1D9">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供方</w:t>
      </w:r>
      <w:r>
        <w:rPr>
          <w:rFonts w:hint="eastAsia" w:ascii="仿宋" w:hAnsi="仿宋" w:eastAsia="仿宋" w:cs="仿宋"/>
          <w:sz w:val="28"/>
          <w:szCs w:val="28"/>
          <w:highlight w:val="none"/>
        </w:rPr>
        <w:t>依据国家电网公司继电保护专业检测标准参加继电保护专业检测，并提供每一种型式产品的专业检测报告</w:t>
      </w:r>
      <w:r>
        <w:rPr>
          <w:rFonts w:hint="eastAsia" w:ascii="仿宋" w:hAnsi="仿宋" w:eastAsia="仿宋" w:cs="仿宋"/>
          <w:sz w:val="28"/>
          <w:szCs w:val="28"/>
          <w:highlight w:val="none"/>
          <w:lang w:eastAsia="zh-CN"/>
        </w:rPr>
        <w:t>。</w:t>
      </w:r>
    </w:p>
    <w:p w14:paraId="1F147E9C">
      <w:pPr>
        <w:pStyle w:val="3"/>
        <w:spacing w:after="0"/>
        <w:jc w:val="both"/>
        <w:rPr>
          <w:rFonts w:hint="eastAsia" w:ascii="Times New Roman" w:hAnsi="Times New Roman"/>
          <w:color w:val="auto"/>
          <w:kern w:val="0"/>
          <w:lang w:val="en-US" w:eastAsia="zh-CN"/>
        </w:rPr>
      </w:pPr>
      <w:r>
        <w:rPr>
          <w:rFonts w:hint="eastAsia" w:ascii="Times New Roman" w:hAnsi="Times New Roman"/>
          <w:color w:val="auto"/>
          <w:kern w:val="0"/>
          <w:lang w:val="en-US" w:eastAsia="zh-CN"/>
        </w:rPr>
        <w:t>（四）</w:t>
      </w:r>
      <w:r>
        <w:rPr>
          <w:rFonts w:hint="eastAsia" w:ascii="仿宋" w:hAnsi="仿宋" w:eastAsia="仿宋" w:cs="仿宋"/>
          <w:b/>
          <w:sz w:val="32"/>
          <w:szCs w:val="32"/>
          <w:lang w:val="en-US" w:eastAsia="zh-CN"/>
        </w:rPr>
        <w:t>10kV开关柜技术要求</w:t>
      </w:r>
    </w:p>
    <w:p w14:paraId="4678D081">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562" w:firstLineChars="200"/>
        <w:jc w:val="left"/>
        <w:textAlignment w:val="auto"/>
        <w:rPr>
          <w:rFonts w:hint="eastAsia" w:ascii="仿宋" w:hAnsi="仿宋" w:eastAsia="仿宋" w:cs="仿宋"/>
          <w:b/>
          <w:bCs/>
          <w:sz w:val="28"/>
          <w:szCs w:val="28"/>
        </w:rPr>
      </w:pPr>
      <w:r>
        <w:rPr>
          <w:rFonts w:hint="eastAsia" w:ascii="仿宋" w:hAnsi="仿宋" w:eastAsia="仿宋" w:cs="仿宋"/>
          <w:b/>
          <w:sz w:val="28"/>
          <w:szCs w:val="28"/>
        </w:rPr>
        <w:t xml:space="preserve"> </w:t>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KYN28-12高压开关柜技术性能特点</w:t>
      </w:r>
    </w:p>
    <w:p w14:paraId="017DD9EC">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eastAsia="zh-CN"/>
        </w:rPr>
        <w:t>1</w:t>
      </w:r>
      <w:r>
        <w:rPr>
          <w:rFonts w:hint="eastAsia" w:ascii="仿宋" w:hAnsi="仿宋" w:eastAsia="仿宋" w:cs="仿宋"/>
          <w:b/>
          <w:bCs/>
          <w:sz w:val="28"/>
          <w:szCs w:val="28"/>
        </w:rPr>
        <w:t xml:space="preserve">.1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KYN28</w:t>
      </w:r>
      <w:r>
        <w:rPr>
          <w:rFonts w:hint="eastAsia" w:ascii="仿宋" w:hAnsi="仿宋" w:eastAsia="仿宋" w:cs="仿宋"/>
          <w:b/>
          <w:bCs/>
          <w:sz w:val="28"/>
          <w:szCs w:val="28"/>
          <w:lang w:val="en-US" w:eastAsia="zh-CN"/>
        </w:rPr>
        <w:t>-12</w:t>
      </w:r>
      <w:r>
        <w:rPr>
          <w:rFonts w:hint="eastAsia" w:ascii="仿宋" w:hAnsi="仿宋" w:eastAsia="仿宋" w:cs="仿宋"/>
          <w:b/>
          <w:bCs/>
          <w:sz w:val="28"/>
          <w:szCs w:val="28"/>
        </w:rPr>
        <w:t>开关柜安全可靠性的要求</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w:t>
      </w:r>
    </w:p>
    <w:p w14:paraId="4DE00D95">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完全金属铠装及完全封闭。</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w:t>
      </w:r>
    </w:p>
    <w:p w14:paraId="557937AA">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开关柜内各小室完全分隔。</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w:t>
      </w:r>
    </w:p>
    <w:p w14:paraId="5E7AC92E">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快速合闸接地开关用于接地和人工短路。</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w:t>
      </w:r>
    </w:p>
    <w:p w14:paraId="21BAA3FE">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所有设备的操作，包括断路器合闸和分闸、手车的推入或移出，以及接地开关的操作，能/也在门板关闭状态下进行。</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w:t>
      </w:r>
    </w:p>
    <w:p w14:paraId="3F2BCC1B">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可靠的连锁能有效的防止误入带电间隔。</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w:t>
      </w:r>
    </w:p>
    <w:p w14:paraId="527B2CAE">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透过门板观察窗，可方便地察看断路器所处位置及其分合，储能状态，电缆连接情况。</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w:t>
      </w:r>
    </w:p>
    <w:p w14:paraId="1BACCF2E">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按照国际电工委员会标准IEC298、国家标准GB3906，在西安高压电器研究所等国家高压电器质量检测中心通过各项型式试验。</w:t>
      </w:r>
    </w:p>
    <w:p w14:paraId="3BD178AA">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eastAsia="zh-CN"/>
        </w:rPr>
        <w:t>1</w:t>
      </w:r>
      <w:r>
        <w:rPr>
          <w:rFonts w:hint="eastAsia" w:ascii="仿宋" w:hAnsi="仿宋" w:eastAsia="仿宋" w:cs="仿宋"/>
          <w:b/>
          <w:bCs/>
          <w:sz w:val="28"/>
          <w:szCs w:val="28"/>
        </w:rPr>
        <w:t>.2 KYN28</w:t>
      </w:r>
      <w:r>
        <w:rPr>
          <w:rFonts w:hint="eastAsia" w:ascii="仿宋" w:hAnsi="仿宋" w:eastAsia="仿宋" w:cs="仿宋"/>
          <w:b/>
          <w:bCs/>
          <w:sz w:val="28"/>
          <w:szCs w:val="28"/>
          <w:lang w:val="en-US" w:eastAsia="zh-CN"/>
        </w:rPr>
        <w:t>-12</w:t>
      </w:r>
      <w:r>
        <w:rPr>
          <w:rFonts w:hint="eastAsia" w:ascii="仿宋" w:hAnsi="仿宋" w:eastAsia="仿宋" w:cs="仿宋"/>
          <w:b/>
          <w:bCs/>
          <w:sz w:val="28"/>
          <w:szCs w:val="28"/>
        </w:rPr>
        <w:t>开关柜实用性的要求</w:t>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SYMBOL 110 \f "Wingdings" \s 11 \h</w:instrText>
      </w:r>
      <w:r>
        <w:rPr>
          <w:rFonts w:hint="eastAsia" w:ascii="仿宋" w:hAnsi="仿宋" w:eastAsia="仿宋" w:cs="仿宋"/>
          <w:b/>
          <w:bCs/>
          <w:sz w:val="28"/>
          <w:szCs w:val="28"/>
        </w:rPr>
        <w:fldChar w:fldCharType="end"/>
      </w:r>
      <w:r>
        <w:rPr>
          <w:rFonts w:hint="eastAsia" w:ascii="仿宋" w:hAnsi="仿宋" w:eastAsia="仿宋" w:cs="仿宋"/>
          <w:b/>
          <w:bCs/>
          <w:sz w:val="28"/>
          <w:szCs w:val="28"/>
        </w:rPr>
        <w:t xml:space="preserve"> </w:t>
      </w:r>
      <w:r>
        <w:rPr>
          <w:rFonts w:hint="eastAsia" w:ascii="仿宋" w:hAnsi="仿宋" w:eastAsia="仿宋" w:cs="仿宋"/>
          <w:sz w:val="28"/>
          <w:szCs w:val="28"/>
        </w:rPr>
        <w:t xml:space="preserve"> </w:t>
      </w:r>
    </w:p>
    <w:p w14:paraId="15100B17">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壳体封装严密，可防止污秽物及小动物进入；</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w:t>
      </w:r>
    </w:p>
    <w:p w14:paraId="5DDEFB0A">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真空断路器手车为免维修型；</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w:t>
      </w:r>
    </w:p>
    <w:p w14:paraId="6111FBBA">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真空断路器仅需少量维护；</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w:t>
      </w:r>
    </w:p>
    <w:p w14:paraId="68B6D660">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手车等部件互换性好，更换断路器非常简便；</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w:t>
      </w:r>
    </w:p>
    <w:p w14:paraId="711EE7D1">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二次线敷设于尺寸宽裕的线槽内，容易查找；</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w:t>
      </w:r>
    </w:p>
    <w:p w14:paraId="093BEE06">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提供充裕的电缆安装空间，便于电缆联结；</w:t>
      </w:r>
    </w:p>
    <w:p w14:paraId="1D69341D">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1</w:t>
      </w:r>
      <w:r>
        <w:rPr>
          <w:rFonts w:hint="eastAsia" w:ascii="仿宋" w:hAnsi="仿宋" w:eastAsia="仿宋" w:cs="仿宋"/>
          <w:b/>
          <w:bCs/>
          <w:sz w:val="28"/>
          <w:szCs w:val="28"/>
        </w:rPr>
        <w:t>.3 开关柜结构要求</w:t>
      </w:r>
    </w:p>
    <w:p w14:paraId="2C3F8AAE">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开关柜由固定的柜体和可抽出部件（简称手车）两大部份组成。KYN28-12型开关柜可配用真空断路器手车。开关柜可安装成双重柜并列，即安装成面对面双排排列。由于开关柜的安装与调试均可在正面进行，以节省占地面积，提高开关柜的安全性与安装上的灵活性。开关设备柜的外壳和各功能单元的隔板均采用敷铝锌钢板栓接而成。开关柜外壳防护等级是IP4X，断路器室门打开时的防护等级是IP2X。</w:t>
      </w:r>
    </w:p>
    <w:p w14:paraId="4F84CB64">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1</w:t>
      </w:r>
      <w:r>
        <w:rPr>
          <w:rFonts w:hint="eastAsia" w:ascii="仿宋" w:hAnsi="仿宋" w:eastAsia="仿宋" w:cs="仿宋"/>
          <w:b/>
          <w:bCs/>
          <w:sz w:val="28"/>
          <w:szCs w:val="28"/>
        </w:rPr>
        <w:t>.3.1外壳与隔板</w:t>
      </w:r>
    </w:p>
    <w:p w14:paraId="3837BA09">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开关柜的外壳和隔板是用敷铝锌薄钢板经数控机床加工和弯折之后栓接而成。它具有很强的抗腐蚀与抗氧化作用，并具有比同等钢板高的机械强度。开关柜被隔板分隔成手车室，母线室，电缆室，继电器仪表室（低压室）。每一单元外壳均接地。</w:t>
      </w:r>
    </w:p>
    <w:p w14:paraId="55C06DB7">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1</w:t>
      </w:r>
      <w:r>
        <w:rPr>
          <w:rFonts w:hint="eastAsia" w:ascii="仿宋" w:hAnsi="仿宋" w:eastAsia="仿宋" w:cs="仿宋"/>
          <w:b/>
          <w:bCs/>
          <w:sz w:val="28"/>
          <w:szCs w:val="28"/>
        </w:rPr>
        <w:t>.3.2开关柜内的隔室</w:t>
      </w:r>
    </w:p>
    <w:p w14:paraId="0D9F7C03">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①断路器隔室</w:t>
      </w:r>
    </w:p>
    <w:p w14:paraId="79650FDD">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断路器隔室内安装了特定的导轨，供断路器手车在内滑行与工作。手车能在工作位置、试验位置之间移动。活门安装在手车的后壁上。手车从试验位置移动至工作位置过程中，活门自动打开，反方向移动手车则完全复合，从而保障了操作人员不触及带电体。</w:t>
      </w:r>
    </w:p>
    <w:p w14:paraId="5AAD26B7">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②母线室</w:t>
      </w:r>
    </w:p>
    <w:p w14:paraId="47221232">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主母线从一个开关柜引至另一开关柜，通过分支小母线和静触头盒固定。全部母线可根据用户需求用热缩绝缘套管塑封。扁平的分支小母线通过螺栓连接于静触头盒和主母线，不需附加其它的线夹或绝缘子联接。母线室与电缆室的排气通道门，可安装一可拆卸的隔板，以便对主母线进行温度监控。</w:t>
      </w:r>
    </w:p>
    <w:p w14:paraId="4FBD41EF">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③电缆联接隔室</w:t>
      </w:r>
    </w:p>
    <w:p w14:paraId="5507221E">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rPr>
        <w:t>电缆隔室的顶部及前、后壁可安装电流互感器，接地开关，电缆室内可安装避雷器。</w:t>
      </w:r>
      <w:r>
        <w:rPr>
          <w:rFonts w:hint="eastAsia" w:ascii="仿宋" w:hAnsi="仿宋" w:eastAsia="仿宋" w:cs="仿宋"/>
          <w:sz w:val="28"/>
          <w:szCs w:val="28"/>
          <w:highlight w:val="none"/>
        </w:rPr>
        <w:t>当手车和可抽出式设备移开后，施工人员就能从柜后进入开关柜安装电缆。</w:t>
      </w:r>
    </w:p>
    <w:p w14:paraId="0429C10C">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④低压隔室</w:t>
      </w:r>
    </w:p>
    <w:p w14:paraId="2A95A339">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低压小室内可装继电保护元件，仪表，带电监察指示器，以及特殊要求的二次设备。控制线路敷设在足够空间的线槽内，并有金属盖板封护，左侧线槽是为控制的引进和引出预留的，开关柜自身内部的二次线敷设在右侧。</w:t>
      </w:r>
    </w:p>
    <w:p w14:paraId="60AD703C">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1</w:t>
      </w:r>
      <w:r>
        <w:rPr>
          <w:rFonts w:hint="eastAsia" w:ascii="仿宋" w:hAnsi="仿宋" w:eastAsia="仿宋" w:cs="仿宋"/>
          <w:b/>
          <w:bCs/>
          <w:sz w:val="28"/>
          <w:szCs w:val="28"/>
        </w:rPr>
        <w:t>.3.3防止误操作联锁装置</w:t>
      </w:r>
    </w:p>
    <w:p w14:paraId="3FB52FED">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开关柜具有可靠的联锁装置，为操作人员与设备提供可靠的安全性与保护，其作用如下：</w:t>
      </w:r>
    </w:p>
    <w:p w14:paraId="412249F2">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接地开关在分闸位置时，手车才能从试验位置至工作位置。</w:t>
      </w:r>
    </w:p>
    <w:p w14:paraId="5559F4EE">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断路器手车已充分咬合在试验或工作位置时，才能操作。</w:t>
      </w:r>
    </w:p>
    <w:p w14:paraId="796BDE60">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车在工作位置，二次插头被锁定不能拔除。</w:t>
      </w:r>
    </w:p>
    <w:p w14:paraId="0000C8E2">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地开关关合时，手车不能从试验位置移至工作位置。</w:t>
      </w:r>
    </w:p>
    <w:p w14:paraId="4B82CF34">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接地开关仅在手车处于试验位置或退出柜外时才能操作。</w:t>
      </w:r>
    </w:p>
    <w:p w14:paraId="01FB501B">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1</w:t>
      </w:r>
      <w:r>
        <w:rPr>
          <w:rFonts w:hint="eastAsia" w:ascii="仿宋" w:hAnsi="仿宋" w:eastAsia="仿宋" w:cs="仿宋"/>
          <w:b/>
          <w:bCs/>
          <w:sz w:val="28"/>
          <w:szCs w:val="28"/>
        </w:rPr>
        <w:t>.3.4压力释放装置</w:t>
      </w:r>
    </w:p>
    <w:p w14:paraId="4B807D39">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手车室、母线室和电缆室的上方均设有压力释放装置，当断路器或母线发生内部故障电弧时，伴随电弧的出现，开关柜内气压升高，装设在门上的特殊密封圈把柜前面密封起来，顶部安装的压力释放金属板将被自动打开，释放压力和排泄气体，以确保操作人员和开关柜的安全。</w:t>
      </w:r>
    </w:p>
    <w:p w14:paraId="21B0417D">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1</w:t>
      </w:r>
      <w:r>
        <w:rPr>
          <w:rFonts w:hint="eastAsia" w:ascii="仿宋" w:hAnsi="仿宋" w:eastAsia="仿宋" w:cs="仿宋"/>
          <w:b/>
          <w:bCs/>
          <w:sz w:val="28"/>
          <w:szCs w:val="28"/>
        </w:rPr>
        <w:t>.3.5二次插头与手车的位置联锁</w:t>
      </w:r>
    </w:p>
    <w:p w14:paraId="018488F2">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开关柜上的二次线与手车的二次线的联络是通过手动二次插头来实现的。二次插头的动触头通过一个尼龙波纹伸缩管与手车相联，二次静触头座装在开关柜手车隔离室的上方。手车只有在试验位置时，才能插入和解除二次插头；手车处于工作位置时由于机械联锁作用，二次插头被锁定，不能解除。</w:t>
      </w:r>
    </w:p>
    <w:p w14:paraId="5E858ABD">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eastAsia="zh-CN"/>
        </w:rPr>
        <w:t>1</w:t>
      </w:r>
      <w:r>
        <w:rPr>
          <w:rFonts w:hint="eastAsia" w:ascii="仿宋" w:hAnsi="仿宋" w:eastAsia="仿宋" w:cs="仿宋"/>
          <w:b/>
          <w:bCs/>
          <w:sz w:val="28"/>
          <w:szCs w:val="28"/>
        </w:rPr>
        <w:t>.3.6接地装置</w:t>
      </w:r>
    </w:p>
    <w:p w14:paraId="21BADD86">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在电缆室内单独设立有</w:t>
      </w:r>
      <w:r>
        <w:rPr>
          <w:rFonts w:hint="eastAsia" w:ascii="仿宋" w:hAnsi="仿宋" w:eastAsia="仿宋" w:cs="仿宋"/>
          <w:b/>
          <w:bCs/>
          <w:color w:val="auto"/>
          <w:sz w:val="28"/>
          <w:szCs w:val="28"/>
          <w:lang w:val="en-US" w:eastAsia="zh-CN"/>
        </w:rPr>
        <w:t>4</w:t>
      </w:r>
      <w:r>
        <w:rPr>
          <w:rFonts w:hint="eastAsia" w:ascii="仿宋" w:hAnsi="仿宋" w:eastAsia="仿宋" w:cs="仿宋"/>
          <w:b/>
          <w:bCs/>
          <w:color w:val="auto"/>
          <w:sz w:val="28"/>
          <w:szCs w:val="28"/>
        </w:rPr>
        <w:t>0×</w:t>
      </w:r>
      <w:r>
        <w:rPr>
          <w:rFonts w:hint="eastAsia" w:ascii="仿宋" w:hAnsi="仿宋" w:eastAsia="仿宋" w:cs="仿宋"/>
          <w:b/>
          <w:bCs/>
          <w:color w:val="auto"/>
          <w:sz w:val="28"/>
          <w:szCs w:val="28"/>
          <w:lang w:val="en-US" w:eastAsia="zh-CN"/>
        </w:rPr>
        <w:t>1</w:t>
      </w:r>
      <w:r>
        <w:rPr>
          <w:rFonts w:hint="eastAsia" w:ascii="仿宋" w:hAnsi="仿宋" w:eastAsia="仿宋" w:cs="仿宋"/>
          <w:b/>
          <w:bCs/>
          <w:color w:val="auto"/>
          <w:sz w:val="28"/>
          <w:szCs w:val="28"/>
        </w:rPr>
        <w:t>0mm</w:t>
      </w:r>
      <w:r>
        <w:rPr>
          <w:rFonts w:hint="eastAsia" w:ascii="仿宋" w:hAnsi="仿宋" w:eastAsia="仿宋" w:cs="仿宋"/>
          <w:sz w:val="28"/>
          <w:szCs w:val="28"/>
        </w:rPr>
        <w:t>的接地铜排，此铜排能贯穿相邻各柜，并与柜体良好接触，此接地排供直接接地之元器件使用，确保运行操作人员触及柜体安全。</w:t>
      </w:r>
    </w:p>
    <w:p w14:paraId="668085D1">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rPr>
        <w:t>.3.7柜体安装带电显示装置，对柜体带电情况。</w:t>
      </w:r>
    </w:p>
    <w:p w14:paraId="17BAF4B6">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rPr>
        <w:t>.3.8予留计算机接口。</w:t>
      </w:r>
    </w:p>
    <w:p w14:paraId="64070647">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rPr>
        <w:t>.3.9柜体均采用屏蔽非环磁技术，防止因涡流引起的柜体温度过高现象。</w:t>
      </w:r>
    </w:p>
    <w:p w14:paraId="15517A9E">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1</w:t>
      </w:r>
      <w:r>
        <w:rPr>
          <w:rFonts w:hint="eastAsia" w:ascii="仿宋" w:hAnsi="仿宋" w:eastAsia="仿宋" w:cs="仿宋"/>
          <w:b/>
          <w:bCs/>
          <w:sz w:val="28"/>
          <w:szCs w:val="28"/>
        </w:rPr>
        <w:t>.4 手车部分</w:t>
      </w:r>
    </w:p>
    <w:p w14:paraId="6F45103F">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rPr>
        <w:t>.4.1 抽出式手车功能单元根据各自的功能作用，可分为隔离手车、电压互感器手车、配用专用推进机构，能实现工作、试验位置的互换。且同类手车，有互换性。</w:t>
      </w:r>
    </w:p>
    <w:p w14:paraId="276B18B1">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rPr>
        <w:t>.4.2隔离手车总体结构为前后布置形式，采用复合绝缘结构，具有优良绝缘性能。一次主导电部分安装于环氧树脂采用APG（压力凝胶）工艺浇注而成的绝缘筒内，以绝缘筒为绝缘骨架，对地的绝缘由绝缘筒的内外沿面承受，相间则由筒壁与空气复合绝缘承受。二次部分设置于机构箱体和专用推进机构内，具有主母线之间联络和系统维修时提供隔离断口作用。</w:t>
      </w:r>
    </w:p>
    <w:p w14:paraId="19D2FEB7">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rPr>
        <w:t>.4.3电压互感器、电流互感器、也均采用复合绝缘结构，绝缘由空气和上、下绝缘罩、触臂套管复合承担。电压互感器、配置有保护用熔断器，熔断器安装于上、下绝缘罩中，能有效地起到对电压互感器过载及短路保护的作用。上、下绝缘罩带有盖板，能方便地更换熔芯，在系统中作为电压、电流测量和电气保护单元。熔断器车作为高压电力设备过载或短路的保护单元使用。</w:t>
      </w:r>
    </w:p>
    <w:p w14:paraId="495B06E5">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rPr>
        <w:t>.4.4为防止带负荷操作手车单元，手车 均设置有闭锁电磁铁。通过专用推进机构上的电磁闭锁来实现手车工作位置和试验位置的确定，并有可靠的行程开关，实现位置显示。当手车处于试验位置或工作位置，闭锁电磁铁不得电情况下，将无法推进或退出手车。</w:t>
      </w:r>
    </w:p>
    <w:p w14:paraId="38469D42">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rPr>
        <w:t>.4.5系列手车所配用的二次插头，采用58针插头。</w:t>
      </w:r>
    </w:p>
    <w:p w14:paraId="56908FA7">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rPr>
        <w:t xml:space="preserve">.4.6客户根据工程实际需要，可选择手车方案。  </w:t>
      </w:r>
    </w:p>
    <w:p w14:paraId="2B76D998">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color w:val="000000"/>
          <w:sz w:val="28"/>
          <w:szCs w:val="28"/>
          <w:lang w:val="en-US" w:eastAsia="zh-CN"/>
        </w:rPr>
      </w:pPr>
      <w:r>
        <w:rPr>
          <w:rFonts w:hint="eastAsia" w:ascii="仿宋" w:hAnsi="仿宋" w:eastAsia="仿宋" w:cs="仿宋"/>
          <w:b/>
          <w:bCs/>
          <w:sz w:val="28"/>
          <w:szCs w:val="28"/>
          <w:lang w:val="en-US" w:eastAsia="zh-CN"/>
        </w:rPr>
        <w:t>1.5</w:t>
      </w:r>
      <w:r>
        <w:rPr>
          <w:rFonts w:hint="eastAsia" w:ascii="仿宋" w:hAnsi="仿宋" w:eastAsia="仿宋" w:cs="仿宋"/>
          <w:b/>
          <w:color w:val="000000"/>
          <w:sz w:val="28"/>
          <w:szCs w:val="28"/>
          <w:lang w:eastAsia="zh-CN"/>
        </w:rPr>
        <w:t>智能</w:t>
      </w:r>
      <w:r>
        <w:rPr>
          <w:rFonts w:hint="eastAsia" w:ascii="仿宋" w:hAnsi="仿宋" w:eastAsia="仿宋" w:cs="仿宋"/>
          <w:b/>
          <w:color w:val="000000"/>
          <w:sz w:val="28"/>
          <w:szCs w:val="28"/>
          <w:lang w:val="en-US" w:eastAsia="zh-CN"/>
        </w:rPr>
        <w:t>保护测控装置</w:t>
      </w:r>
    </w:p>
    <w:p w14:paraId="598739C5">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color w:val="000000"/>
          <w:sz w:val="28"/>
          <w:szCs w:val="28"/>
          <w:lang w:val="en-US" w:eastAsia="zh-CN"/>
        </w:rPr>
        <w:t>为与公司现有电力自动化后台系统相匹配，开关柜上的</w:t>
      </w:r>
      <w:r>
        <w:rPr>
          <w:rFonts w:hint="eastAsia" w:ascii="仿宋" w:hAnsi="仿宋" w:eastAsia="仿宋" w:cs="仿宋"/>
          <w:b w:val="0"/>
          <w:bCs/>
          <w:color w:val="000000"/>
          <w:sz w:val="28"/>
          <w:szCs w:val="28"/>
          <w:lang w:eastAsia="zh-CN"/>
        </w:rPr>
        <w:t>智能</w:t>
      </w:r>
      <w:r>
        <w:rPr>
          <w:rFonts w:hint="eastAsia" w:ascii="仿宋" w:hAnsi="仿宋" w:eastAsia="仿宋" w:cs="仿宋"/>
          <w:b w:val="0"/>
          <w:bCs/>
          <w:color w:val="000000"/>
          <w:sz w:val="28"/>
          <w:szCs w:val="28"/>
          <w:lang w:val="en-US" w:eastAsia="zh-CN"/>
        </w:rPr>
        <w:t>保护测控装置选用国电南自PS系列产品。测控装置制造单位同时提供现场软件组态、调试等技术服务。</w:t>
      </w:r>
      <w:r>
        <w:rPr>
          <w:rFonts w:hint="eastAsia" w:ascii="仿宋" w:hAnsi="仿宋" w:eastAsia="仿宋" w:cs="仿宋"/>
          <w:b w:val="0"/>
          <w:bCs/>
          <w:sz w:val="28"/>
          <w:szCs w:val="28"/>
        </w:rPr>
        <w:t xml:space="preserve"> </w:t>
      </w:r>
    </w:p>
    <w:p w14:paraId="73F9E509">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KYN28-12开关柜技术规范</w:t>
      </w:r>
    </w:p>
    <w:p w14:paraId="3EDB889B">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 xml:space="preserve">.1 适用标准 </w:t>
      </w:r>
    </w:p>
    <w:p w14:paraId="7B3E3454">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本开关设备根据下列IEC 标准，中国GB及DL标准设计,制造和试验:</w:t>
      </w:r>
    </w:p>
    <w:p w14:paraId="0F448507">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 \* MERGEFORMAT </w:instrText>
      </w:r>
      <w:r>
        <w:rPr>
          <w:rFonts w:hint="eastAsia" w:ascii="仿宋" w:hAnsi="仿宋" w:eastAsia="仿宋" w:cs="仿宋"/>
          <w:sz w:val="28"/>
          <w:szCs w:val="28"/>
        </w:rPr>
        <w:fldChar w:fldCharType="end"/>
      </w:r>
      <w:r>
        <w:rPr>
          <w:rFonts w:hint="eastAsia" w:ascii="仿宋" w:hAnsi="仿宋" w:eastAsia="仿宋" w:cs="仿宋"/>
          <w:sz w:val="28"/>
          <w:szCs w:val="28"/>
        </w:rPr>
        <w:tab/>
      </w:r>
      <w:r>
        <w:rPr>
          <w:rFonts w:hint="eastAsia" w:ascii="仿宋" w:hAnsi="仿宋" w:eastAsia="仿宋" w:cs="仿宋"/>
          <w:sz w:val="28"/>
          <w:szCs w:val="28"/>
        </w:rPr>
        <w:t>高压开关柜通用条款</w:t>
      </w:r>
      <w:r>
        <w:rPr>
          <w:rFonts w:hint="eastAsia" w:ascii="仿宋" w:hAnsi="仿宋" w:eastAsia="仿宋" w:cs="仿宋"/>
          <w:sz w:val="28"/>
          <w:szCs w:val="28"/>
        </w:rPr>
        <w:tab/>
      </w:r>
      <w:r>
        <w:rPr>
          <w:rFonts w:hint="eastAsia" w:ascii="仿宋" w:hAnsi="仿宋" w:eastAsia="仿宋" w:cs="仿宋"/>
          <w:sz w:val="28"/>
          <w:szCs w:val="28"/>
        </w:rPr>
        <w:t>IEC 694, GB 11022, DL593</w:t>
      </w:r>
    </w:p>
    <w:p w14:paraId="25D603AA">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 \* MERGEFORMAT </w:instrText>
      </w:r>
      <w:r>
        <w:rPr>
          <w:rFonts w:hint="eastAsia" w:ascii="仿宋" w:hAnsi="仿宋" w:eastAsia="仿宋" w:cs="仿宋"/>
          <w:sz w:val="28"/>
          <w:szCs w:val="28"/>
        </w:rPr>
        <w:fldChar w:fldCharType="end"/>
      </w:r>
      <w:r>
        <w:rPr>
          <w:rFonts w:hint="eastAsia" w:ascii="仿宋" w:hAnsi="仿宋" w:eastAsia="仿宋" w:cs="仿宋"/>
          <w:sz w:val="28"/>
          <w:szCs w:val="28"/>
        </w:rPr>
        <w:tab/>
      </w:r>
      <w:r>
        <w:rPr>
          <w:rFonts w:hint="eastAsia" w:ascii="仿宋" w:hAnsi="仿宋" w:eastAsia="仿宋" w:cs="仿宋"/>
          <w:sz w:val="28"/>
          <w:szCs w:val="28"/>
        </w:rPr>
        <w:t>金属封闭高压开关柜</w:t>
      </w:r>
      <w:r>
        <w:rPr>
          <w:rFonts w:hint="eastAsia" w:ascii="仿宋" w:hAnsi="仿宋" w:eastAsia="仿宋" w:cs="仿宋"/>
          <w:sz w:val="28"/>
          <w:szCs w:val="28"/>
        </w:rPr>
        <w:tab/>
      </w:r>
      <w:r>
        <w:rPr>
          <w:rFonts w:hint="eastAsia" w:ascii="仿宋" w:hAnsi="仿宋" w:eastAsia="仿宋" w:cs="仿宋"/>
          <w:sz w:val="28"/>
          <w:szCs w:val="28"/>
        </w:rPr>
        <w:t>IEC 298, GB 3906, DL 404</w:t>
      </w:r>
    </w:p>
    <w:p w14:paraId="41A5B184">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 \* MERGEFORMAT </w:instrText>
      </w:r>
      <w:r>
        <w:rPr>
          <w:rFonts w:hint="eastAsia" w:ascii="仿宋" w:hAnsi="仿宋" w:eastAsia="仿宋" w:cs="仿宋"/>
          <w:sz w:val="28"/>
          <w:szCs w:val="28"/>
        </w:rPr>
        <w:fldChar w:fldCharType="end"/>
      </w:r>
      <w:r>
        <w:rPr>
          <w:rFonts w:hint="eastAsia" w:ascii="仿宋" w:hAnsi="仿宋" w:eastAsia="仿宋" w:cs="仿宋"/>
          <w:sz w:val="28"/>
          <w:szCs w:val="28"/>
        </w:rPr>
        <w:tab/>
      </w:r>
      <w:r>
        <w:rPr>
          <w:rFonts w:hint="eastAsia" w:ascii="仿宋" w:hAnsi="仿宋" w:eastAsia="仿宋" w:cs="仿宋"/>
          <w:sz w:val="28"/>
          <w:szCs w:val="28"/>
        </w:rPr>
        <w:t>高压交流断路器</w:t>
      </w:r>
      <w:r>
        <w:rPr>
          <w:rFonts w:hint="eastAsia" w:ascii="仿宋" w:hAnsi="仿宋" w:eastAsia="仿宋" w:cs="仿宋"/>
          <w:sz w:val="28"/>
          <w:szCs w:val="28"/>
        </w:rPr>
        <w:tab/>
      </w:r>
      <w:r>
        <w:rPr>
          <w:rFonts w:hint="eastAsia" w:ascii="仿宋" w:hAnsi="仿宋" w:eastAsia="仿宋" w:cs="仿宋"/>
          <w:sz w:val="28"/>
          <w:szCs w:val="28"/>
        </w:rPr>
        <w:t>IEC 56, GB 1984, DL402</w:t>
      </w:r>
    </w:p>
    <w:p w14:paraId="6FE83C37">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.2 结构特点</w:t>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SYMBOL 110 \f "Wingdings" \s 11 \h</w:instrText>
      </w:r>
      <w:r>
        <w:rPr>
          <w:rFonts w:hint="eastAsia" w:ascii="仿宋" w:hAnsi="仿宋" w:eastAsia="仿宋" w:cs="仿宋"/>
          <w:b/>
          <w:bCs/>
          <w:sz w:val="28"/>
          <w:szCs w:val="28"/>
        </w:rPr>
        <w:fldChar w:fldCharType="end"/>
      </w:r>
      <w:r>
        <w:rPr>
          <w:rFonts w:hint="eastAsia" w:ascii="仿宋" w:hAnsi="仿宋" w:eastAsia="仿宋" w:cs="仿宋"/>
          <w:b/>
          <w:bCs/>
          <w:sz w:val="28"/>
          <w:szCs w:val="28"/>
        </w:rPr>
        <w:t xml:space="preserve"> </w:t>
      </w:r>
    </w:p>
    <w:p w14:paraId="0C88344D">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（1）柜体：</w:t>
      </w:r>
    </w:p>
    <w:p w14:paraId="498102A8">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开关设备柜体是选用进口敷铝锌薄钢板，采取多重折边工艺折弯后，用拉铆螺母和高强度的螺栓联结而成，保证了柜体的高强度，耐腐蚀要求，电气无件设有独立隔室，各隔室防护等级都达到IP2X，外壳防护等级为IP4X。</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p w14:paraId="234EC0B3">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（2）手车：</w:t>
      </w:r>
    </w:p>
    <w:p w14:paraId="0B1CED3F">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手车由薄钢板折弯组装而成，与柜体绝缘配合，设有定位，联锁装置，断开/试验和工作位置的操作轻便、灵活，可靠，配有专用运载车，可以方便取出。</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p w14:paraId="0A6595EA">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（3）防误联锁装置，完全满足“五防”要求;</w:t>
      </w:r>
    </w:p>
    <w:p w14:paraId="7C0E17C7">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（4）泄压装置：</w:t>
      </w:r>
    </w:p>
    <w:p w14:paraId="1F8F6538">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断路器手车室、母线室和电缆室的上方均设有泄压装置，当断路器或母线发生内部故障电弧时，伴随电弧的出现，开关设备内部气压升高，装设在门上的特殊密封圈把柜前面封闭起来，顶部装备的泄压金属板将被自动打开释放压力和排泄气体，以确保操作人员和开关柜的安全。</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p w14:paraId="6E065B42">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（5）接地装置：</w:t>
      </w:r>
    </w:p>
    <w:p w14:paraId="706DBA86">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在电缆室内单独设有</w:t>
      </w:r>
      <w:r>
        <w:rPr>
          <w:rFonts w:hint="eastAsia" w:ascii="仿宋" w:hAnsi="仿宋" w:eastAsia="仿宋" w:cs="仿宋"/>
          <w:b/>
          <w:bCs/>
          <w:color w:val="auto"/>
          <w:sz w:val="28"/>
          <w:szCs w:val="28"/>
          <w:lang w:val="en-US" w:eastAsia="zh-CN"/>
        </w:rPr>
        <w:t>4</w:t>
      </w:r>
      <w:r>
        <w:rPr>
          <w:rFonts w:hint="eastAsia" w:ascii="仿宋" w:hAnsi="仿宋" w:eastAsia="仿宋" w:cs="仿宋"/>
          <w:b/>
          <w:bCs/>
          <w:color w:val="auto"/>
          <w:sz w:val="28"/>
          <w:szCs w:val="28"/>
        </w:rPr>
        <w:t>0×</w:t>
      </w:r>
      <w:r>
        <w:rPr>
          <w:rFonts w:hint="eastAsia" w:ascii="仿宋" w:hAnsi="仿宋" w:eastAsia="仿宋" w:cs="仿宋"/>
          <w:b/>
          <w:bCs/>
          <w:color w:val="auto"/>
          <w:sz w:val="28"/>
          <w:szCs w:val="28"/>
          <w:lang w:val="en-US" w:eastAsia="zh-CN"/>
        </w:rPr>
        <w:t>1</w:t>
      </w:r>
      <w:r>
        <w:rPr>
          <w:rFonts w:hint="eastAsia" w:ascii="仿宋" w:hAnsi="仿宋" w:eastAsia="仿宋" w:cs="仿宋"/>
          <w:b/>
          <w:bCs/>
          <w:color w:val="auto"/>
          <w:sz w:val="28"/>
          <w:szCs w:val="28"/>
        </w:rPr>
        <w:t>0mm</w:t>
      </w:r>
      <w:r>
        <w:rPr>
          <w:rFonts w:hint="eastAsia" w:ascii="仿宋" w:hAnsi="仿宋" w:eastAsia="仿宋" w:cs="仿宋"/>
          <w:sz w:val="28"/>
          <w:szCs w:val="28"/>
        </w:rPr>
        <w:t>接地铜排，此排能贯穿相邻各柜并与柜体良好接触，此接地铜排，供直接接地元件使用，同时由于整个柜体用敷铝锌板相联，这样使整个柜体都处在良好接地状态之中，确保运行操作人员触及柜体安全。</w:t>
      </w:r>
    </w:p>
    <w:p w14:paraId="14B17E19">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2</w:t>
      </w:r>
      <w:r>
        <w:rPr>
          <w:rFonts w:hint="eastAsia" w:ascii="仿宋" w:hAnsi="仿宋" w:eastAsia="仿宋" w:cs="仿宋"/>
          <w:b/>
          <w:bCs/>
          <w:sz w:val="28"/>
          <w:szCs w:val="28"/>
        </w:rPr>
        <w:t>.3技术性能</w:t>
      </w:r>
    </w:p>
    <w:p w14:paraId="2B821802">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2</w:t>
      </w:r>
      <w:r>
        <w:rPr>
          <w:rFonts w:hint="eastAsia" w:ascii="仿宋" w:hAnsi="仿宋" w:eastAsia="仿宋" w:cs="仿宋"/>
          <w:b/>
          <w:bCs/>
          <w:sz w:val="28"/>
          <w:szCs w:val="28"/>
        </w:rPr>
        <w:t>.3.1 正常使用条件</w:t>
      </w:r>
    </w:p>
    <w:tbl>
      <w:tblPr>
        <w:tblStyle w:val="9"/>
        <w:tblW w:w="0" w:type="auto"/>
        <w:tblInd w:w="70" w:type="dxa"/>
        <w:tblLayout w:type="fixed"/>
        <w:tblCellMar>
          <w:top w:w="0" w:type="dxa"/>
          <w:left w:w="70" w:type="dxa"/>
          <w:bottom w:w="0" w:type="dxa"/>
          <w:right w:w="70" w:type="dxa"/>
        </w:tblCellMar>
      </w:tblPr>
      <w:tblGrid>
        <w:gridCol w:w="3751"/>
        <w:gridCol w:w="5124"/>
      </w:tblGrid>
      <w:tr w14:paraId="173956C7">
        <w:tblPrEx>
          <w:tblCellMar>
            <w:top w:w="0" w:type="dxa"/>
            <w:left w:w="70" w:type="dxa"/>
            <w:bottom w:w="0" w:type="dxa"/>
            <w:right w:w="70" w:type="dxa"/>
          </w:tblCellMar>
        </w:tblPrEx>
        <w:trPr>
          <w:cantSplit/>
        </w:trPr>
        <w:tc>
          <w:tcPr>
            <w:tcW w:w="3751" w:type="dxa"/>
            <w:tcBorders>
              <w:top w:val="single" w:color="auto" w:sz="6" w:space="0"/>
              <w:left w:val="single" w:color="auto" w:sz="6" w:space="0"/>
              <w:bottom w:val="single" w:color="auto" w:sz="6" w:space="0"/>
              <w:right w:val="single" w:color="auto" w:sz="6" w:space="0"/>
            </w:tcBorders>
            <w:noWrap w:val="0"/>
            <w:vAlign w:val="top"/>
          </w:tcPr>
          <w:p w14:paraId="735CF959">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 xml:space="preserve">         正常使用条件</w:t>
            </w:r>
          </w:p>
        </w:tc>
        <w:tc>
          <w:tcPr>
            <w:tcW w:w="5124" w:type="dxa"/>
            <w:tcBorders>
              <w:top w:val="single" w:color="auto" w:sz="6" w:space="0"/>
              <w:left w:val="single" w:color="auto" w:sz="6" w:space="0"/>
              <w:bottom w:val="single" w:color="auto" w:sz="6" w:space="0"/>
              <w:right w:val="single" w:color="auto" w:sz="6" w:space="0"/>
            </w:tcBorders>
            <w:noWrap w:val="0"/>
            <w:vAlign w:val="top"/>
          </w:tcPr>
          <w:p w14:paraId="1801890F">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szCs w:val="21"/>
              </w:rPr>
            </w:pPr>
          </w:p>
        </w:tc>
      </w:tr>
      <w:tr w14:paraId="280D46FB">
        <w:tblPrEx>
          <w:tblCellMar>
            <w:top w:w="0" w:type="dxa"/>
            <w:left w:w="70" w:type="dxa"/>
            <w:bottom w:w="0" w:type="dxa"/>
            <w:right w:w="70" w:type="dxa"/>
          </w:tblCellMar>
        </w:tblPrEx>
        <w:trPr>
          <w:cantSplit/>
        </w:trPr>
        <w:tc>
          <w:tcPr>
            <w:tcW w:w="3751" w:type="dxa"/>
            <w:tcBorders>
              <w:left w:val="single" w:color="auto" w:sz="6" w:space="0"/>
            </w:tcBorders>
            <w:noWrap w:val="0"/>
            <w:vAlign w:val="top"/>
          </w:tcPr>
          <w:p w14:paraId="64DBA953">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正常运行条件</w:t>
            </w:r>
          </w:p>
        </w:tc>
        <w:tc>
          <w:tcPr>
            <w:tcW w:w="5124" w:type="dxa"/>
            <w:tcBorders>
              <w:left w:val="single" w:color="auto" w:sz="6" w:space="0"/>
              <w:right w:val="single" w:color="auto" w:sz="6" w:space="0"/>
            </w:tcBorders>
            <w:noWrap w:val="0"/>
            <w:vAlign w:val="top"/>
          </w:tcPr>
          <w:p w14:paraId="566DE64E">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户内型设备</w:t>
            </w:r>
          </w:p>
        </w:tc>
      </w:tr>
      <w:tr w14:paraId="3AF6518C">
        <w:tblPrEx>
          <w:tblCellMar>
            <w:top w:w="0" w:type="dxa"/>
            <w:left w:w="70" w:type="dxa"/>
            <w:bottom w:w="0" w:type="dxa"/>
            <w:right w:w="70" w:type="dxa"/>
          </w:tblCellMar>
        </w:tblPrEx>
        <w:trPr>
          <w:cantSplit/>
        </w:trPr>
        <w:tc>
          <w:tcPr>
            <w:tcW w:w="3751" w:type="dxa"/>
            <w:tcBorders>
              <w:top w:val="single" w:color="auto" w:sz="4" w:space="0"/>
              <w:left w:val="single" w:color="auto" w:sz="6" w:space="0"/>
              <w:bottom w:val="single" w:color="auto" w:sz="4" w:space="0"/>
            </w:tcBorders>
            <w:noWrap w:val="0"/>
            <w:vAlign w:val="top"/>
          </w:tcPr>
          <w:p w14:paraId="1472F0D8">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环境温度</w:t>
            </w:r>
          </w:p>
        </w:tc>
        <w:tc>
          <w:tcPr>
            <w:tcW w:w="5124" w:type="dxa"/>
            <w:tcBorders>
              <w:top w:val="single" w:color="auto" w:sz="4" w:space="0"/>
              <w:left w:val="single" w:color="auto" w:sz="6" w:space="0"/>
              <w:bottom w:val="single" w:color="auto" w:sz="4" w:space="0"/>
              <w:right w:val="single" w:color="auto" w:sz="6" w:space="0"/>
            </w:tcBorders>
            <w:noWrap w:val="0"/>
            <w:vAlign w:val="top"/>
          </w:tcPr>
          <w:p w14:paraId="0353028A">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- 30℃  至 +40 ℃</w:t>
            </w:r>
          </w:p>
        </w:tc>
      </w:tr>
      <w:tr w14:paraId="3977DF63">
        <w:tblPrEx>
          <w:tblCellMar>
            <w:top w:w="0" w:type="dxa"/>
            <w:left w:w="70" w:type="dxa"/>
            <w:bottom w:w="0" w:type="dxa"/>
            <w:right w:w="70" w:type="dxa"/>
          </w:tblCellMar>
        </w:tblPrEx>
        <w:trPr>
          <w:cantSplit/>
          <w:trHeight w:val="255" w:hRule="atLeast"/>
        </w:trPr>
        <w:tc>
          <w:tcPr>
            <w:tcW w:w="3751" w:type="dxa"/>
            <w:tcBorders>
              <w:top w:val="single" w:color="auto" w:sz="4" w:space="0"/>
              <w:left w:val="single" w:color="auto" w:sz="6" w:space="0"/>
              <w:bottom w:val="single" w:color="auto" w:sz="4" w:space="0"/>
            </w:tcBorders>
            <w:noWrap w:val="0"/>
            <w:vAlign w:val="top"/>
          </w:tcPr>
          <w:p w14:paraId="144B0D91">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海拔高度</w:t>
            </w:r>
          </w:p>
        </w:tc>
        <w:tc>
          <w:tcPr>
            <w:tcW w:w="5124" w:type="dxa"/>
            <w:tcBorders>
              <w:left w:val="single" w:color="auto" w:sz="6" w:space="0"/>
              <w:bottom w:val="single" w:color="auto" w:sz="4" w:space="0"/>
              <w:right w:val="single" w:color="auto" w:sz="6" w:space="0"/>
            </w:tcBorders>
            <w:noWrap w:val="0"/>
            <w:vAlign w:val="top"/>
          </w:tcPr>
          <w:p w14:paraId="7597F883">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≤1000 m</w:t>
            </w:r>
          </w:p>
        </w:tc>
      </w:tr>
      <w:tr w14:paraId="466FD428">
        <w:tblPrEx>
          <w:tblCellMar>
            <w:top w:w="0" w:type="dxa"/>
            <w:left w:w="70" w:type="dxa"/>
            <w:bottom w:w="0" w:type="dxa"/>
            <w:right w:w="70" w:type="dxa"/>
          </w:tblCellMar>
        </w:tblPrEx>
        <w:trPr>
          <w:cantSplit/>
          <w:trHeight w:val="215" w:hRule="atLeast"/>
        </w:trPr>
        <w:tc>
          <w:tcPr>
            <w:tcW w:w="3751" w:type="dxa"/>
            <w:tcBorders>
              <w:top w:val="single" w:color="auto" w:sz="4" w:space="0"/>
              <w:left w:val="single" w:color="auto" w:sz="6" w:space="0"/>
              <w:bottom w:val="single" w:color="auto" w:sz="4" w:space="0"/>
            </w:tcBorders>
            <w:noWrap w:val="0"/>
            <w:vAlign w:val="top"/>
          </w:tcPr>
          <w:p w14:paraId="3326DB7E">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相对湿度</w:t>
            </w:r>
          </w:p>
        </w:tc>
        <w:tc>
          <w:tcPr>
            <w:tcW w:w="5124" w:type="dxa"/>
            <w:tcBorders>
              <w:top w:val="single" w:color="auto" w:sz="4" w:space="0"/>
              <w:left w:val="single" w:color="auto" w:sz="6" w:space="0"/>
              <w:bottom w:val="single" w:color="auto" w:sz="4" w:space="0"/>
              <w:right w:val="single" w:color="auto" w:sz="6" w:space="0"/>
            </w:tcBorders>
            <w:noWrap w:val="0"/>
            <w:vAlign w:val="top"/>
          </w:tcPr>
          <w:p w14:paraId="036FF61E">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szCs w:val="21"/>
              </w:rPr>
            </w:pPr>
          </w:p>
        </w:tc>
      </w:tr>
      <w:tr w14:paraId="0C652478">
        <w:tblPrEx>
          <w:tblCellMar>
            <w:top w:w="0" w:type="dxa"/>
            <w:left w:w="70" w:type="dxa"/>
            <w:bottom w:w="0" w:type="dxa"/>
            <w:right w:w="70" w:type="dxa"/>
          </w:tblCellMar>
        </w:tblPrEx>
        <w:trPr>
          <w:cantSplit/>
          <w:trHeight w:val="285" w:hRule="atLeast"/>
        </w:trPr>
        <w:tc>
          <w:tcPr>
            <w:tcW w:w="3751" w:type="dxa"/>
            <w:tcBorders>
              <w:top w:val="single" w:color="auto" w:sz="4" w:space="0"/>
              <w:left w:val="single" w:color="auto" w:sz="6" w:space="0"/>
              <w:bottom w:val="single" w:color="auto" w:sz="4" w:space="0"/>
            </w:tcBorders>
            <w:noWrap w:val="0"/>
            <w:vAlign w:val="top"/>
          </w:tcPr>
          <w:p w14:paraId="1FFE1B6B">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 日平均</w:t>
            </w:r>
          </w:p>
        </w:tc>
        <w:tc>
          <w:tcPr>
            <w:tcW w:w="5124" w:type="dxa"/>
            <w:tcBorders>
              <w:top w:val="single" w:color="auto" w:sz="4" w:space="0"/>
              <w:left w:val="single" w:color="auto" w:sz="6" w:space="0"/>
              <w:bottom w:val="single" w:color="auto" w:sz="4" w:space="0"/>
              <w:right w:val="single" w:color="auto" w:sz="6" w:space="0"/>
            </w:tcBorders>
            <w:noWrap w:val="0"/>
            <w:vAlign w:val="top"/>
          </w:tcPr>
          <w:p w14:paraId="4A9A1FE3">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≤95 %</w:t>
            </w:r>
          </w:p>
        </w:tc>
      </w:tr>
      <w:tr w14:paraId="0EB294FC">
        <w:tblPrEx>
          <w:tblCellMar>
            <w:top w:w="0" w:type="dxa"/>
            <w:left w:w="70" w:type="dxa"/>
            <w:bottom w:w="0" w:type="dxa"/>
            <w:right w:w="70" w:type="dxa"/>
          </w:tblCellMar>
        </w:tblPrEx>
        <w:trPr>
          <w:cantSplit/>
          <w:trHeight w:val="260" w:hRule="atLeast"/>
        </w:trPr>
        <w:tc>
          <w:tcPr>
            <w:tcW w:w="3751" w:type="dxa"/>
            <w:tcBorders>
              <w:top w:val="single" w:color="auto" w:sz="4" w:space="0"/>
              <w:left w:val="single" w:color="auto" w:sz="6" w:space="0"/>
              <w:bottom w:val="single" w:color="auto" w:sz="4" w:space="0"/>
            </w:tcBorders>
            <w:noWrap w:val="0"/>
            <w:vAlign w:val="top"/>
          </w:tcPr>
          <w:p w14:paraId="7C91D16F">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 月平均</w:t>
            </w:r>
          </w:p>
        </w:tc>
        <w:tc>
          <w:tcPr>
            <w:tcW w:w="5124" w:type="dxa"/>
            <w:tcBorders>
              <w:top w:val="single" w:color="auto" w:sz="4" w:space="0"/>
              <w:left w:val="single" w:color="auto" w:sz="6" w:space="0"/>
              <w:bottom w:val="single" w:color="auto" w:sz="4" w:space="0"/>
              <w:right w:val="single" w:color="auto" w:sz="6" w:space="0"/>
            </w:tcBorders>
            <w:noWrap w:val="0"/>
            <w:vAlign w:val="top"/>
          </w:tcPr>
          <w:p w14:paraId="742FAA7C">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 90 %</w:t>
            </w:r>
          </w:p>
        </w:tc>
      </w:tr>
      <w:tr w14:paraId="5CBF6521">
        <w:tblPrEx>
          <w:tblCellMar>
            <w:top w:w="0" w:type="dxa"/>
            <w:left w:w="70" w:type="dxa"/>
            <w:bottom w:w="0" w:type="dxa"/>
            <w:right w:w="70" w:type="dxa"/>
          </w:tblCellMar>
        </w:tblPrEx>
        <w:trPr>
          <w:cantSplit/>
        </w:trPr>
        <w:tc>
          <w:tcPr>
            <w:tcW w:w="3751" w:type="dxa"/>
            <w:tcBorders>
              <w:top w:val="single" w:color="auto" w:sz="4" w:space="0"/>
              <w:left w:val="single" w:color="auto" w:sz="6" w:space="0"/>
              <w:bottom w:val="single" w:color="auto" w:sz="6" w:space="0"/>
            </w:tcBorders>
            <w:noWrap w:val="0"/>
            <w:vAlign w:val="top"/>
          </w:tcPr>
          <w:p w14:paraId="42AA27EE">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地震烈度</w:t>
            </w:r>
          </w:p>
        </w:tc>
        <w:tc>
          <w:tcPr>
            <w:tcW w:w="5124" w:type="dxa"/>
            <w:tcBorders>
              <w:top w:val="single" w:color="auto" w:sz="4" w:space="0"/>
              <w:left w:val="single" w:color="auto" w:sz="6" w:space="0"/>
              <w:bottom w:val="single" w:color="auto" w:sz="6" w:space="0"/>
              <w:right w:val="single" w:color="auto" w:sz="6" w:space="0"/>
            </w:tcBorders>
            <w:noWrap w:val="0"/>
            <w:vAlign w:val="top"/>
          </w:tcPr>
          <w:p w14:paraId="65DA1F36">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8度</w:t>
            </w:r>
          </w:p>
        </w:tc>
      </w:tr>
    </w:tbl>
    <w:p w14:paraId="5BDB5A60">
      <w:pPr>
        <w:keepNext w:val="0"/>
        <w:keepLines w:val="0"/>
        <w:pageBreakBefore w:val="0"/>
        <w:widowControl w:val="0"/>
        <w:kinsoku/>
        <w:wordWrap/>
        <w:overflowPunct/>
        <w:topLinePunct w:val="0"/>
        <w:autoSpaceDE/>
        <w:autoSpaceDN/>
        <w:bidi w:val="0"/>
        <w:adjustRightInd/>
        <w:snapToGrid/>
        <w:spacing w:before="312" w:beforeLines="100"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2</w:t>
      </w:r>
      <w:r>
        <w:rPr>
          <w:rFonts w:hint="eastAsia" w:ascii="仿宋" w:hAnsi="仿宋" w:eastAsia="仿宋" w:cs="仿宋"/>
          <w:b/>
          <w:bCs/>
          <w:sz w:val="28"/>
          <w:szCs w:val="28"/>
        </w:rPr>
        <w:t>.3.2</w:t>
      </w:r>
      <w:r>
        <w:rPr>
          <w:rFonts w:hint="eastAsia" w:ascii="仿宋" w:hAnsi="仿宋" w:eastAsia="仿宋" w:cs="仿宋"/>
          <w:b/>
          <w:bCs/>
          <w:sz w:val="28"/>
          <w:szCs w:val="28"/>
        </w:rPr>
        <w:tab/>
      </w:r>
      <w:r>
        <w:rPr>
          <w:rFonts w:hint="eastAsia" w:ascii="仿宋" w:hAnsi="仿宋" w:eastAsia="仿宋" w:cs="仿宋"/>
          <w:b/>
          <w:bCs/>
          <w:sz w:val="28"/>
          <w:szCs w:val="28"/>
        </w:rPr>
        <w:t xml:space="preserve">  电气特性</w:t>
      </w:r>
    </w:p>
    <w:tbl>
      <w:tblPr>
        <w:tblStyle w:val="9"/>
        <w:tblW w:w="0" w:type="auto"/>
        <w:tblInd w:w="71" w:type="dxa"/>
        <w:tblLayout w:type="fixed"/>
        <w:tblCellMar>
          <w:top w:w="0" w:type="dxa"/>
          <w:left w:w="71" w:type="dxa"/>
          <w:bottom w:w="0" w:type="dxa"/>
          <w:right w:w="71" w:type="dxa"/>
        </w:tblCellMar>
      </w:tblPr>
      <w:tblGrid>
        <w:gridCol w:w="4624"/>
        <w:gridCol w:w="956"/>
        <w:gridCol w:w="3420"/>
      </w:tblGrid>
      <w:tr w14:paraId="3CD35E6C">
        <w:tblPrEx>
          <w:tblCellMar>
            <w:top w:w="0" w:type="dxa"/>
            <w:left w:w="71" w:type="dxa"/>
            <w:bottom w:w="0" w:type="dxa"/>
            <w:right w:w="71" w:type="dxa"/>
          </w:tblCellMar>
        </w:tblPrEx>
        <w:trPr>
          <w:cantSplit/>
        </w:trPr>
        <w:tc>
          <w:tcPr>
            <w:tcW w:w="4624" w:type="dxa"/>
            <w:tcBorders>
              <w:top w:val="single" w:color="auto" w:sz="6" w:space="0"/>
              <w:left w:val="single" w:color="auto" w:sz="6" w:space="0"/>
              <w:bottom w:val="single" w:color="auto" w:sz="6" w:space="0"/>
              <w:right w:val="single" w:color="auto" w:sz="4" w:space="0"/>
            </w:tcBorders>
            <w:noWrap w:val="0"/>
            <w:vAlign w:val="top"/>
          </w:tcPr>
          <w:p w14:paraId="6BC0B8A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b/>
                <w:bCs/>
                <w:szCs w:val="21"/>
              </w:rPr>
              <w:t>开关柜</w:t>
            </w:r>
          </w:p>
        </w:tc>
        <w:tc>
          <w:tcPr>
            <w:tcW w:w="956" w:type="dxa"/>
            <w:tcBorders>
              <w:top w:val="single" w:color="auto" w:sz="6" w:space="0"/>
              <w:left w:val="single" w:color="auto" w:sz="4" w:space="0"/>
              <w:bottom w:val="single" w:color="auto" w:sz="6" w:space="0"/>
              <w:right w:val="single" w:color="auto" w:sz="6" w:space="0"/>
            </w:tcBorders>
            <w:noWrap w:val="0"/>
            <w:vAlign w:val="top"/>
          </w:tcPr>
          <w:p w14:paraId="5CA6F35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p>
        </w:tc>
        <w:tc>
          <w:tcPr>
            <w:tcW w:w="3420" w:type="dxa"/>
            <w:tcBorders>
              <w:top w:val="single" w:color="auto" w:sz="6" w:space="0"/>
              <w:bottom w:val="single" w:color="auto" w:sz="6" w:space="0"/>
              <w:right w:val="single" w:color="auto" w:sz="6" w:space="0"/>
            </w:tcBorders>
            <w:noWrap w:val="0"/>
            <w:vAlign w:val="top"/>
          </w:tcPr>
          <w:p w14:paraId="187A887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p>
        </w:tc>
      </w:tr>
      <w:tr w14:paraId="66E67FC5">
        <w:tblPrEx>
          <w:tblCellMar>
            <w:top w:w="0" w:type="dxa"/>
            <w:left w:w="71" w:type="dxa"/>
            <w:bottom w:w="0" w:type="dxa"/>
            <w:right w:w="71" w:type="dxa"/>
          </w:tblCellMar>
        </w:tblPrEx>
        <w:trPr>
          <w:cantSplit/>
        </w:trPr>
        <w:tc>
          <w:tcPr>
            <w:tcW w:w="4624" w:type="dxa"/>
            <w:tcBorders>
              <w:left w:val="single" w:color="auto" w:sz="6" w:space="0"/>
              <w:bottom w:val="single" w:color="auto" w:sz="4" w:space="0"/>
              <w:right w:val="single" w:color="auto" w:sz="4" w:space="0"/>
            </w:tcBorders>
            <w:noWrap w:val="0"/>
            <w:vAlign w:val="top"/>
          </w:tcPr>
          <w:p w14:paraId="200AEFE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工作/额定电压</w:t>
            </w:r>
          </w:p>
        </w:tc>
        <w:tc>
          <w:tcPr>
            <w:tcW w:w="956" w:type="dxa"/>
            <w:tcBorders>
              <w:left w:val="single" w:color="auto" w:sz="4" w:space="0"/>
              <w:bottom w:val="single" w:color="auto" w:sz="4" w:space="0"/>
              <w:right w:val="single" w:color="auto" w:sz="6" w:space="0"/>
            </w:tcBorders>
            <w:noWrap w:val="0"/>
            <w:vAlign w:val="top"/>
          </w:tcPr>
          <w:p w14:paraId="5ACDC52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kV</w:t>
            </w:r>
          </w:p>
        </w:tc>
        <w:tc>
          <w:tcPr>
            <w:tcW w:w="3420" w:type="dxa"/>
            <w:tcBorders>
              <w:bottom w:val="single" w:color="auto" w:sz="4" w:space="0"/>
              <w:right w:val="single" w:color="auto" w:sz="6" w:space="0"/>
            </w:tcBorders>
            <w:noWrap w:val="0"/>
            <w:vAlign w:val="top"/>
          </w:tcPr>
          <w:p w14:paraId="57778A1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10/12</w:t>
            </w:r>
          </w:p>
        </w:tc>
      </w:tr>
      <w:tr w14:paraId="44E0264E">
        <w:tblPrEx>
          <w:tblCellMar>
            <w:top w:w="0" w:type="dxa"/>
            <w:left w:w="71" w:type="dxa"/>
            <w:bottom w:w="0" w:type="dxa"/>
            <w:right w:w="71" w:type="dxa"/>
          </w:tblCellMar>
        </w:tblPrEx>
        <w:trPr>
          <w:cantSplit/>
        </w:trPr>
        <w:tc>
          <w:tcPr>
            <w:tcW w:w="4624" w:type="dxa"/>
            <w:tcBorders>
              <w:top w:val="single" w:color="auto" w:sz="4" w:space="0"/>
              <w:left w:val="single" w:color="auto" w:sz="6" w:space="0"/>
              <w:bottom w:val="single" w:color="auto" w:sz="4" w:space="0"/>
              <w:right w:val="single" w:color="auto" w:sz="4" w:space="0"/>
            </w:tcBorders>
            <w:noWrap w:val="0"/>
            <w:vAlign w:val="top"/>
          </w:tcPr>
          <w:p w14:paraId="06DB037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绝缘水平</w:t>
            </w:r>
          </w:p>
        </w:tc>
        <w:tc>
          <w:tcPr>
            <w:tcW w:w="956" w:type="dxa"/>
            <w:tcBorders>
              <w:top w:val="single" w:color="auto" w:sz="4" w:space="0"/>
              <w:left w:val="single" w:color="auto" w:sz="4" w:space="0"/>
              <w:bottom w:val="single" w:color="auto" w:sz="4" w:space="0"/>
              <w:right w:val="single" w:color="auto" w:sz="6" w:space="0"/>
            </w:tcBorders>
            <w:noWrap w:val="0"/>
            <w:vAlign w:val="top"/>
          </w:tcPr>
          <w:p w14:paraId="659DFAD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p>
        </w:tc>
        <w:tc>
          <w:tcPr>
            <w:tcW w:w="3420" w:type="dxa"/>
            <w:tcBorders>
              <w:top w:val="single" w:color="auto" w:sz="4" w:space="0"/>
              <w:bottom w:val="single" w:color="auto" w:sz="4" w:space="0"/>
              <w:right w:val="single" w:color="auto" w:sz="6" w:space="0"/>
            </w:tcBorders>
            <w:noWrap w:val="0"/>
            <w:vAlign w:val="top"/>
          </w:tcPr>
          <w:p w14:paraId="6FD9A6E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p>
        </w:tc>
      </w:tr>
      <w:tr w14:paraId="221CDB6A">
        <w:tblPrEx>
          <w:tblCellMar>
            <w:top w:w="0" w:type="dxa"/>
            <w:left w:w="71" w:type="dxa"/>
            <w:bottom w:w="0" w:type="dxa"/>
            <w:right w:w="71" w:type="dxa"/>
          </w:tblCellMar>
        </w:tblPrEx>
        <w:trPr>
          <w:cantSplit/>
        </w:trPr>
        <w:tc>
          <w:tcPr>
            <w:tcW w:w="4624" w:type="dxa"/>
            <w:tcBorders>
              <w:top w:val="single" w:color="auto" w:sz="4" w:space="0"/>
              <w:left w:val="single" w:color="auto" w:sz="6" w:space="0"/>
              <w:bottom w:val="single" w:color="auto" w:sz="4" w:space="0"/>
              <w:right w:val="single" w:color="auto" w:sz="4" w:space="0"/>
            </w:tcBorders>
            <w:noWrap w:val="0"/>
            <w:vAlign w:val="top"/>
          </w:tcPr>
          <w:p w14:paraId="4D182A6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 工频耐压（相对地及相间 / 隔离断口间）</w:t>
            </w:r>
          </w:p>
        </w:tc>
        <w:tc>
          <w:tcPr>
            <w:tcW w:w="956" w:type="dxa"/>
            <w:tcBorders>
              <w:top w:val="single" w:color="auto" w:sz="4" w:space="0"/>
              <w:left w:val="single" w:color="auto" w:sz="4" w:space="0"/>
              <w:bottom w:val="single" w:color="auto" w:sz="4" w:space="0"/>
              <w:right w:val="single" w:color="auto" w:sz="6" w:space="0"/>
            </w:tcBorders>
            <w:noWrap w:val="0"/>
            <w:vAlign w:val="top"/>
          </w:tcPr>
          <w:p w14:paraId="3EC2CFE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kV</w:t>
            </w:r>
          </w:p>
        </w:tc>
        <w:tc>
          <w:tcPr>
            <w:tcW w:w="3420" w:type="dxa"/>
            <w:tcBorders>
              <w:top w:val="single" w:color="auto" w:sz="4" w:space="0"/>
              <w:bottom w:val="single" w:color="auto" w:sz="4" w:space="0"/>
              <w:right w:val="single" w:color="auto" w:sz="6" w:space="0"/>
            </w:tcBorders>
            <w:noWrap w:val="0"/>
            <w:vAlign w:val="top"/>
          </w:tcPr>
          <w:p w14:paraId="3ED48C7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42/48</w:t>
            </w:r>
          </w:p>
        </w:tc>
      </w:tr>
      <w:tr w14:paraId="66A352F1">
        <w:tblPrEx>
          <w:tblCellMar>
            <w:top w:w="0" w:type="dxa"/>
            <w:left w:w="71" w:type="dxa"/>
            <w:bottom w:w="0" w:type="dxa"/>
            <w:right w:w="71" w:type="dxa"/>
          </w:tblCellMar>
        </w:tblPrEx>
        <w:trPr>
          <w:cantSplit/>
        </w:trPr>
        <w:tc>
          <w:tcPr>
            <w:tcW w:w="4624" w:type="dxa"/>
            <w:tcBorders>
              <w:top w:val="single" w:color="auto" w:sz="4" w:space="0"/>
              <w:left w:val="single" w:color="auto" w:sz="6" w:space="0"/>
              <w:bottom w:val="single" w:color="auto" w:sz="4" w:space="0"/>
              <w:right w:val="single" w:color="auto" w:sz="4" w:space="0"/>
            </w:tcBorders>
            <w:noWrap w:val="0"/>
            <w:vAlign w:val="top"/>
          </w:tcPr>
          <w:p w14:paraId="23F3B0F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 冲击耐压（相对地及相间 / 隔离断口间）</w:t>
            </w:r>
          </w:p>
        </w:tc>
        <w:tc>
          <w:tcPr>
            <w:tcW w:w="956" w:type="dxa"/>
            <w:tcBorders>
              <w:top w:val="single" w:color="auto" w:sz="4" w:space="0"/>
              <w:left w:val="single" w:color="auto" w:sz="4" w:space="0"/>
              <w:bottom w:val="single" w:color="auto" w:sz="4" w:space="0"/>
              <w:right w:val="single" w:color="auto" w:sz="6" w:space="0"/>
            </w:tcBorders>
            <w:noWrap w:val="0"/>
            <w:vAlign w:val="top"/>
          </w:tcPr>
          <w:p w14:paraId="169DC3A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kV</w:t>
            </w:r>
          </w:p>
        </w:tc>
        <w:tc>
          <w:tcPr>
            <w:tcW w:w="3420" w:type="dxa"/>
            <w:tcBorders>
              <w:top w:val="single" w:color="auto" w:sz="4" w:space="0"/>
              <w:bottom w:val="single" w:color="auto" w:sz="4" w:space="0"/>
              <w:right w:val="single" w:color="auto" w:sz="6" w:space="0"/>
            </w:tcBorders>
            <w:noWrap w:val="0"/>
            <w:vAlign w:val="top"/>
          </w:tcPr>
          <w:p w14:paraId="33CE23E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75/85</w:t>
            </w:r>
          </w:p>
        </w:tc>
      </w:tr>
      <w:tr w14:paraId="0A6AD89F">
        <w:tblPrEx>
          <w:tblCellMar>
            <w:top w:w="0" w:type="dxa"/>
            <w:left w:w="71" w:type="dxa"/>
            <w:bottom w:w="0" w:type="dxa"/>
            <w:right w:w="71" w:type="dxa"/>
          </w:tblCellMar>
        </w:tblPrEx>
        <w:trPr>
          <w:cantSplit/>
        </w:trPr>
        <w:tc>
          <w:tcPr>
            <w:tcW w:w="4624" w:type="dxa"/>
            <w:tcBorders>
              <w:top w:val="single" w:color="auto" w:sz="4" w:space="0"/>
              <w:left w:val="single" w:color="auto" w:sz="6" w:space="0"/>
              <w:bottom w:val="single" w:color="auto" w:sz="4" w:space="0"/>
              <w:right w:val="single" w:color="auto" w:sz="4" w:space="0"/>
            </w:tcBorders>
            <w:noWrap w:val="0"/>
            <w:vAlign w:val="top"/>
          </w:tcPr>
          <w:p w14:paraId="4A07506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额定频率</w:t>
            </w:r>
          </w:p>
        </w:tc>
        <w:tc>
          <w:tcPr>
            <w:tcW w:w="956" w:type="dxa"/>
            <w:tcBorders>
              <w:top w:val="single" w:color="auto" w:sz="4" w:space="0"/>
              <w:left w:val="single" w:color="auto" w:sz="4" w:space="0"/>
              <w:bottom w:val="single" w:color="auto" w:sz="4" w:space="0"/>
              <w:right w:val="single" w:color="auto" w:sz="6" w:space="0"/>
            </w:tcBorders>
            <w:noWrap w:val="0"/>
            <w:vAlign w:val="top"/>
          </w:tcPr>
          <w:p w14:paraId="4456889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Hz</w:t>
            </w:r>
          </w:p>
        </w:tc>
        <w:tc>
          <w:tcPr>
            <w:tcW w:w="3420" w:type="dxa"/>
            <w:tcBorders>
              <w:top w:val="single" w:color="auto" w:sz="4" w:space="0"/>
              <w:bottom w:val="single" w:color="auto" w:sz="4" w:space="0"/>
              <w:right w:val="single" w:color="auto" w:sz="6" w:space="0"/>
            </w:tcBorders>
            <w:noWrap w:val="0"/>
            <w:vAlign w:val="top"/>
          </w:tcPr>
          <w:p w14:paraId="3A76ECE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50</w:t>
            </w:r>
          </w:p>
        </w:tc>
      </w:tr>
      <w:tr w14:paraId="25943830">
        <w:tblPrEx>
          <w:tblCellMar>
            <w:top w:w="0" w:type="dxa"/>
            <w:left w:w="71" w:type="dxa"/>
            <w:bottom w:w="0" w:type="dxa"/>
            <w:right w:w="71" w:type="dxa"/>
          </w:tblCellMar>
        </w:tblPrEx>
        <w:trPr>
          <w:cantSplit/>
        </w:trPr>
        <w:tc>
          <w:tcPr>
            <w:tcW w:w="4624" w:type="dxa"/>
            <w:tcBorders>
              <w:top w:val="single" w:color="auto" w:sz="4" w:space="0"/>
              <w:left w:val="single" w:color="auto" w:sz="6" w:space="0"/>
              <w:bottom w:val="single" w:color="auto" w:sz="4" w:space="0"/>
              <w:right w:val="single" w:color="auto" w:sz="4" w:space="0"/>
            </w:tcBorders>
            <w:noWrap w:val="0"/>
            <w:vAlign w:val="top"/>
          </w:tcPr>
          <w:p w14:paraId="7EFC4022">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短时耐受电流（4秒）</w:t>
            </w:r>
          </w:p>
        </w:tc>
        <w:tc>
          <w:tcPr>
            <w:tcW w:w="956" w:type="dxa"/>
            <w:tcBorders>
              <w:top w:val="single" w:color="auto" w:sz="4" w:space="0"/>
              <w:left w:val="single" w:color="auto" w:sz="4" w:space="0"/>
              <w:bottom w:val="single" w:color="auto" w:sz="4" w:space="0"/>
              <w:right w:val="single" w:color="auto" w:sz="6" w:space="0"/>
            </w:tcBorders>
            <w:noWrap w:val="0"/>
            <w:vAlign w:val="top"/>
          </w:tcPr>
          <w:p w14:paraId="459252F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kA</w:t>
            </w:r>
          </w:p>
        </w:tc>
        <w:tc>
          <w:tcPr>
            <w:tcW w:w="3420" w:type="dxa"/>
            <w:tcBorders>
              <w:top w:val="single" w:color="auto" w:sz="4" w:space="0"/>
              <w:bottom w:val="single" w:color="auto" w:sz="4" w:space="0"/>
              <w:right w:val="single" w:color="auto" w:sz="6" w:space="0"/>
            </w:tcBorders>
            <w:noWrap w:val="0"/>
            <w:vAlign w:val="top"/>
          </w:tcPr>
          <w:p w14:paraId="15D90F0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31.5-40</w:t>
            </w:r>
          </w:p>
        </w:tc>
      </w:tr>
      <w:tr w14:paraId="38724E5A">
        <w:tblPrEx>
          <w:tblCellMar>
            <w:top w:w="0" w:type="dxa"/>
            <w:left w:w="71" w:type="dxa"/>
            <w:bottom w:w="0" w:type="dxa"/>
            <w:right w:w="71" w:type="dxa"/>
          </w:tblCellMar>
        </w:tblPrEx>
        <w:trPr>
          <w:cantSplit/>
        </w:trPr>
        <w:tc>
          <w:tcPr>
            <w:tcW w:w="4624" w:type="dxa"/>
            <w:tcBorders>
              <w:top w:val="single" w:color="auto" w:sz="4" w:space="0"/>
              <w:left w:val="single" w:color="auto" w:sz="6" w:space="0"/>
              <w:bottom w:val="single" w:color="auto" w:sz="4" w:space="0"/>
              <w:right w:val="single" w:color="auto" w:sz="4" w:space="0"/>
            </w:tcBorders>
            <w:noWrap w:val="0"/>
            <w:vAlign w:val="top"/>
          </w:tcPr>
          <w:p w14:paraId="4789A45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峰值耐受电流</w:t>
            </w:r>
          </w:p>
        </w:tc>
        <w:tc>
          <w:tcPr>
            <w:tcW w:w="956" w:type="dxa"/>
            <w:tcBorders>
              <w:top w:val="single" w:color="auto" w:sz="4" w:space="0"/>
              <w:left w:val="single" w:color="auto" w:sz="4" w:space="0"/>
              <w:bottom w:val="single" w:color="auto" w:sz="4" w:space="0"/>
              <w:right w:val="single" w:color="auto" w:sz="6" w:space="0"/>
            </w:tcBorders>
            <w:noWrap w:val="0"/>
            <w:vAlign w:val="top"/>
          </w:tcPr>
          <w:p w14:paraId="7A31623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kA</w:t>
            </w:r>
          </w:p>
        </w:tc>
        <w:tc>
          <w:tcPr>
            <w:tcW w:w="3420" w:type="dxa"/>
            <w:tcBorders>
              <w:top w:val="single" w:color="auto" w:sz="4" w:space="0"/>
              <w:bottom w:val="single" w:color="auto" w:sz="4" w:space="0"/>
              <w:right w:val="single" w:color="auto" w:sz="6" w:space="0"/>
            </w:tcBorders>
            <w:noWrap w:val="0"/>
            <w:vAlign w:val="top"/>
          </w:tcPr>
          <w:p w14:paraId="2016C62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63-80-100</w:t>
            </w:r>
          </w:p>
        </w:tc>
      </w:tr>
      <w:tr w14:paraId="6D12EE93">
        <w:tblPrEx>
          <w:tblCellMar>
            <w:top w:w="0" w:type="dxa"/>
            <w:left w:w="71" w:type="dxa"/>
            <w:bottom w:w="0" w:type="dxa"/>
            <w:right w:w="71" w:type="dxa"/>
          </w:tblCellMar>
        </w:tblPrEx>
        <w:trPr>
          <w:cantSplit/>
        </w:trPr>
        <w:tc>
          <w:tcPr>
            <w:tcW w:w="4624" w:type="dxa"/>
            <w:tcBorders>
              <w:top w:val="single" w:color="auto" w:sz="4" w:space="0"/>
              <w:left w:val="single" w:color="auto" w:sz="6" w:space="0"/>
              <w:bottom w:val="single" w:color="auto" w:sz="6" w:space="0"/>
              <w:right w:val="single" w:color="auto" w:sz="4" w:space="0"/>
            </w:tcBorders>
            <w:noWrap w:val="0"/>
            <w:vAlign w:val="top"/>
          </w:tcPr>
          <w:p w14:paraId="037104C2">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母排额定电流</w:t>
            </w:r>
          </w:p>
        </w:tc>
        <w:tc>
          <w:tcPr>
            <w:tcW w:w="956" w:type="dxa"/>
            <w:tcBorders>
              <w:top w:val="single" w:color="auto" w:sz="4" w:space="0"/>
              <w:left w:val="single" w:color="auto" w:sz="4" w:space="0"/>
              <w:bottom w:val="single" w:color="auto" w:sz="6" w:space="0"/>
              <w:right w:val="single" w:color="auto" w:sz="6" w:space="0"/>
            </w:tcBorders>
            <w:noWrap w:val="0"/>
            <w:vAlign w:val="top"/>
          </w:tcPr>
          <w:p w14:paraId="5737462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A</w:t>
            </w:r>
          </w:p>
        </w:tc>
        <w:tc>
          <w:tcPr>
            <w:tcW w:w="3420" w:type="dxa"/>
            <w:tcBorders>
              <w:top w:val="single" w:color="auto" w:sz="4" w:space="0"/>
              <w:bottom w:val="single" w:color="auto" w:sz="6" w:space="0"/>
              <w:right w:val="single" w:color="auto" w:sz="6" w:space="0"/>
            </w:tcBorders>
            <w:noWrap w:val="0"/>
            <w:vAlign w:val="top"/>
          </w:tcPr>
          <w:p w14:paraId="17E5A172">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1250</w:t>
            </w:r>
          </w:p>
        </w:tc>
      </w:tr>
      <w:tr w14:paraId="25D40B63">
        <w:tblPrEx>
          <w:tblCellMar>
            <w:top w:w="0" w:type="dxa"/>
            <w:left w:w="71" w:type="dxa"/>
            <w:bottom w:w="0" w:type="dxa"/>
            <w:right w:w="71" w:type="dxa"/>
          </w:tblCellMar>
        </w:tblPrEx>
        <w:trPr>
          <w:cantSplit/>
        </w:trPr>
        <w:tc>
          <w:tcPr>
            <w:tcW w:w="4624" w:type="dxa"/>
            <w:tcBorders>
              <w:top w:val="single" w:color="auto" w:sz="6" w:space="0"/>
              <w:left w:val="single" w:color="auto" w:sz="6" w:space="0"/>
              <w:bottom w:val="single" w:color="auto" w:sz="6" w:space="0"/>
              <w:right w:val="single" w:color="auto" w:sz="4" w:space="0"/>
            </w:tcBorders>
            <w:shd w:val="clear" w:color="FFFFFF" w:fill="FFFFFF"/>
            <w:noWrap w:val="0"/>
            <w:vAlign w:val="top"/>
          </w:tcPr>
          <w:p w14:paraId="402B343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bCs/>
                <w:szCs w:val="21"/>
              </w:rPr>
            </w:pPr>
            <w:r>
              <w:rPr>
                <w:rFonts w:hint="eastAsia" w:ascii="仿宋" w:hAnsi="仿宋" w:eastAsia="仿宋" w:cs="仿宋"/>
                <w:b/>
                <w:bCs/>
                <w:szCs w:val="21"/>
              </w:rPr>
              <w:t xml:space="preserve">           断路器型号</w:t>
            </w:r>
          </w:p>
        </w:tc>
        <w:tc>
          <w:tcPr>
            <w:tcW w:w="956" w:type="dxa"/>
            <w:tcBorders>
              <w:top w:val="single" w:color="auto" w:sz="6" w:space="0"/>
              <w:left w:val="single" w:color="auto" w:sz="4" w:space="0"/>
              <w:bottom w:val="single" w:color="auto" w:sz="6" w:space="0"/>
              <w:right w:val="single" w:color="auto" w:sz="6" w:space="0"/>
            </w:tcBorders>
            <w:shd w:val="clear" w:color="FFFFFF" w:fill="FFFFFF"/>
            <w:noWrap w:val="0"/>
            <w:vAlign w:val="top"/>
          </w:tcPr>
          <w:p w14:paraId="5536255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bCs/>
                <w:szCs w:val="21"/>
              </w:rPr>
            </w:pPr>
          </w:p>
        </w:tc>
        <w:tc>
          <w:tcPr>
            <w:tcW w:w="3420" w:type="dxa"/>
            <w:tcBorders>
              <w:top w:val="single" w:color="auto" w:sz="6" w:space="0"/>
              <w:bottom w:val="single" w:color="auto" w:sz="6" w:space="0"/>
              <w:right w:val="single" w:color="auto" w:sz="6" w:space="0"/>
            </w:tcBorders>
            <w:shd w:val="clear" w:color="FFFFFF" w:fill="FFFFFF"/>
            <w:noWrap w:val="0"/>
            <w:vAlign w:val="top"/>
          </w:tcPr>
          <w:p w14:paraId="60D3C17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bCs/>
                <w:szCs w:val="21"/>
                <w:lang w:eastAsia="zh-CN"/>
              </w:rPr>
            </w:pPr>
            <w:r>
              <w:rPr>
                <w:rFonts w:hint="eastAsia" w:ascii="仿宋" w:hAnsi="仿宋" w:eastAsia="仿宋" w:cs="仿宋"/>
                <w:i w:val="0"/>
                <w:iCs w:val="0"/>
                <w:color w:val="000000"/>
                <w:kern w:val="0"/>
                <w:sz w:val="21"/>
                <w:szCs w:val="21"/>
                <w:u w:val="none"/>
                <w:lang w:val="en-US" w:eastAsia="zh-CN" w:bidi="ar"/>
              </w:rPr>
              <w:t>VJ12 1250A 手车式</w:t>
            </w:r>
          </w:p>
        </w:tc>
      </w:tr>
      <w:tr w14:paraId="0B84C231">
        <w:tblPrEx>
          <w:tblCellMar>
            <w:top w:w="0" w:type="dxa"/>
            <w:left w:w="71" w:type="dxa"/>
            <w:bottom w:w="0" w:type="dxa"/>
            <w:right w:w="71" w:type="dxa"/>
          </w:tblCellMar>
        </w:tblPrEx>
        <w:trPr>
          <w:cantSplit/>
        </w:trPr>
        <w:tc>
          <w:tcPr>
            <w:tcW w:w="4624" w:type="dxa"/>
            <w:tcBorders>
              <w:left w:val="single" w:color="auto" w:sz="6" w:space="0"/>
              <w:bottom w:val="single" w:color="auto" w:sz="4" w:space="0"/>
              <w:right w:val="single" w:color="auto" w:sz="4" w:space="0"/>
            </w:tcBorders>
            <w:noWrap w:val="0"/>
            <w:vAlign w:val="top"/>
          </w:tcPr>
          <w:p w14:paraId="675694D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工作/额定电压</w:t>
            </w:r>
          </w:p>
        </w:tc>
        <w:tc>
          <w:tcPr>
            <w:tcW w:w="956" w:type="dxa"/>
            <w:tcBorders>
              <w:left w:val="single" w:color="auto" w:sz="4" w:space="0"/>
              <w:bottom w:val="single" w:color="auto" w:sz="4" w:space="0"/>
              <w:right w:val="single" w:color="auto" w:sz="6" w:space="0"/>
            </w:tcBorders>
            <w:noWrap w:val="0"/>
            <w:vAlign w:val="top"/>
          </w:tcPr>
          <w:p w14:paraId="6014E95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kV</w:t>
            </w:r>
          </w:p>
        </w:tc>
        <w:tc>
          <w:tcPr>
            <w:tcW w:w="3420" w:type="dxa"/>
            <w:tcBorders>
              <w:bottom w:val="single" w:color="auto" w:sz="4" w:space="0"/>
              <w:right w:val="single" w:color="auto" w:sz="6" w:space="0"/>
            </w:tcBorders>
            <w:noWrap w:val="0"/>
            <w:vAlign w:val="top"/>
          </w:tcPr>
          <w:p w14:paraId="2ADE611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10/12</w:t>
            </w:r>
          </w:p>
        </w:tc>
      </w:tr>
      <w:tr w14:paraId="4DAE01F7">
        <w:tblPrEx>
          <w:tblCellMar>
            <w:top w:w="0" w:type="dxa"/>
            <w:left w:w="71" w:type="dxa"/>
            <w:bottom w:w="0" w:type="dxa"/>
            <w:right w:w="71" w:type="dxa"/>
          </w:tblCellMar>
        </w:tblPrEx>
        <w:trPr>
          <w:cantSplit/>
        </w:trPr>
        <w:tc>
          <w:tcPr>
            <w:tcW w:w="4624" w:type="dxa"/>
            <w:tcBorders>
              <w:top w:val="single" w:color="auto" w:sz="4" w:space="0"/>
              <w:left w:val="single" w:color="auto" w:sz="6" w:space="0"/>
              <w:bottom w:val="single" w:color="auto" w:sz="4" w:space="0"/>
              <w:right w:val="single" w:color="auto" w:sz="4" w:space="0"/>
            </w:tcBorders>
            <w:noWrap w:val="0"/>
            <w:vAlign w:val="top"/>
          </w:tcPr>
          <w:p w14:paraId="11D1959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额定频率</w:t>
            </w:r>
          </w:p>
        </w:tc>
        <w:tc>
          <w:tcPr>
            <w:tcW w:w="956" w:type="dxa"/>
            <w:tcBorders>
              <w:top w:val="single" w:color="auto" w:sz="4" w:space="0"/>
              <w:left w:val="single" w:color="auto" w:sz="4" w:space="0"/>
              <w:bottom w:val="single" w:color="auto" w:sz="4" w:space="0"/>
              <w:right w:val="single" w:color="auto" w:sz="6" w:space="0"/>
            </w:tcBorders>
            <w:noWrap w:val="0"/>
            <w:vAlign w:val="top"/>
          </w:tcPr>
          <w:p w14:paraId="60753D4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Hz</w:t>
            </w:r>
          </w:p>
        </w:tc>
        <w:tc>
          <w:tcPr>
            <w:tcW w:w="3420" w:type="dxa"/>
            <w:tcBorders>
              <w:top w:val="single" w:color="auto" w:sz="4" w:space="0"/>
              <w:bottom w:val="single" w:color="auto" w:sz="4" w:space="0"/>
              <w:right w:val="single" w:color="auto" w:sz="6" w:space="0"/>
            </w:tcBorders>
            <w:noWrap w:val="0"/>
            <w:vAlign w:val="top"/>
          </w:tcPr>
          <w:p w14:paraId="1A274E5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50</w:t>
            </w:r>
          </w:p>
        </w:tc>
      </w:tr>
      <w:tr w14:paraId="65D31669">
        <w:tblPrEx>
          <w:tblCellMar>
            <w:top w:w="0" w:type="dxa"/>
            <w:left w:w="71" w:type="dxa"/>
            <w:bottom w:w="0" w:type="dxa"/>
            <w:right w:w="71" w:type="dxa"/>
          </w:tblCellMar>
        </w:tblPrEx>
        <w:trPr>
          <w:cantSplit/>
        </w:trPr>
        <w:tc>
          <w:tcPr>
            <w:tcW w:w="4624" w:type="dxa"/>
            <w:tcBorders>
              <w:top w:val="single" w:color="auto" w:sz="4" w:space="0"/>
              <w:left w:val="single" w:color="auto" w:sz="6" w:space="0"/>
              <w:bottom w:val="single" w:color="auto" w:sz="4" w:space="0"/>
              <w:right w:val="single" w:color="auto" w:sz="4" w:space="0"/>
            </w:tcBorders>
            <w:noWrap w:val="0"/>
            <w:vAlign w:val="top"/>
          </w:tcPr>
          <w:p w14:paraId="0962CDD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额定电流</w:t>
            </w:r>
          </w:p>
        </w:tc>
        <w:tc>
          <w:tcPr>
            <w:tcW w:w="956" w:type="dxa"/>
            <w:tcBorders>
              <w:top w:val="single" w:color="auto" w:sz="4" w:space="0"/>
              <w:left w:val="single" w:color="auto" w:sz="4" w:space="0"/>
              <w:bottom w:val="single" w:color="auto" w:sz="4" w:space="0"/>
              <w:right w:val="single" w:color="auto" w:sz="6" w:space="0"/>
            </w:tcBorders>
            <w:noWrap w:val="0"/>
            <w:vAlign w:val="top"/>
          </w:tcPr>
          <w:p w14:paraId="6397415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A</w:t>
            </w:r>
          </w:p>
        </w:tc>
        <w:tc>
          <w:tcPr>
            <w:tcW w:w="3420" w:type="dxa"/>
            <w:tcBorders>
              <w:top w:val="single" w:color="auto" w:sz="4" w:space="0"/>
              <w:bottom w:val="single" w:color="auto" w:sz="4" w:space="0"/>
              <w:right w:val="single" w:color="auto" w:sz="6" w:space="0"/>
            </w:tcBorders>
            <w:noWrap w:val="0"/>
            <w:vAlign w:val="top"/>
          </w:tcPr>
          <w:p w14:paraId="7F797842">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1250</w:t>
            </w:r>
          </w:p>
        </w:tc>
      </w:tr>
      <w:tr w14:paraId="7E3AF68D">
        <w:tblPrEx>
          <w:tblCellMar>
            <w:top w:w="0" w:type="dxa"/>
            <w:left w:w="71" w:type="dxa"/>
            <w:bottom w:w="0" w:type="dxa"/>
            <w:right w:w="71" w:type="dxa"/>
          </w:tblCellMar>
        </w:tblPrEx>
        <w:trPr>
          <w:cantSplit/>
        </w:trPr>
        <w:tc>
          <w:tcPr>
            <w:tcW w:w="4624" w:type="dxa"/>
            <w:tcBorders>
              <w:top w:val="single" w:color="auto" w:sz="4" w:space="0"/>
              <w:left w:val="single" w:color="auto" w:sz="6" w:space="0"/>
              <w:bottom w:val="single" w:color="auto" w:sz="4" w:space="0"/>
              <w:right w:val="single" w:color="auto" w:sz="4" w:space="0"/>
            </w:tcBorders>
            <w:noWrap w:val="0"/>
            <w:vAlign w:val="top"/>
          </w:tcPr>
          <w:p w14:paraId="025A3D6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额定短路开断电流</w:t>
            </w:r>
          </w:p>
        </w:tc>
        <w:tc>
          <w:tcPr>
            <w:tcW w:w="956" w:type="dxa"/>
            <w:tcBorders>
              <w:top w:val="single" w:color="auto" w:sz="4" w:space="0"/>
              <w:left w:val="single" w:color="auto" w:sz="4" w:space="0"/>
              <w:bottom w:val="single" w:color="auto" w:sz="4" w:space="0"/>
              <w:right w:val="single" w:color="auto" w:sz="6" w:space="0"/>
            </w:tcBorders>
            <w:noWrap w:val="0"/>
            <w:vAlign w:val="top"/>
          </w:tcPr>
          <w:p w14:paraId="6FA9BF6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kA</w:t>
            </w:r>
          </w:p>
        </w:tc>
        <w:tc>
          <w:tcPr>
            <w:tcW w:w="3420" w:type="dxa"/>
            <w:tcBorders>
              <w:top w:val="single" w:color="auto" w:sz="4" w:space="0"/>
              <w:bottom w:val="single" w:color="auto" w:sz="4" w:space="0"/>
              <w:right w:val="single" w:color="auto" w:sz="6" w:space="0"/>
            </w:tcBorders>
            <w:noWrap w:val="0"/>
            <w:vAlign w:val="top"/>
          </w:tcPr>
          <w:p w14:paraId="28F85E6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31.5-40</w:t>
            </w:r>
          </w:p>
        </w:tc>
      </w:tr>
      <w:tr w14:paraId="0523BEA8">
        <w:tblPrEx>
          <w:tblCellMar>
            <w:top w:w="0" w:type="dxa"/>
            <w:left w:w="71" w:type="dxa"/>
            <w:bottom w:w="0" w:type="dxa"/>
            <w:right w:w="71" w:type="dxa"/>
          </w:tblCellMar>
        </w:tblPrEx>
        <w:trPr>
          <w:cantSplit/>
        </w:trPr>
        <w:tc>
          <w:tcPr>
            <w:tcW w:w="4624" w:type="dxa"/>
            <w:tcBorders>
              <w:top w:val="single" w:color="auto" w:sz="4" w:space="0"/>
              <w:left w:val="single" w:color="auto" w:sz="6" w:space="0"/>
              <w:bottom w:val="single" w:color="auto" w:sz="4" w:space="0"/>
              <w:right w:val="single" w:color="auto" w:sz="4" w:space="0"/>
            </w:tcBorders>
            <w:noWrap w:val="0"/>
            <w:vAlign w:val="top"/>
          </w:tcPr>
          <w:p w14:paraId="3FD2313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4s热稳定电流</w:t>
            </w:r>
          </w:p>
        </w:tc>
        <w:tc>
          <w:tcPr>
            <w:tcW w:w="956" w:type="dxa"/>
            <w:tcBorders>
              <w:top w:val="single" w:color="auto" w:sz="4" w:space="0"/>
              <w:left w:val="single" w:color="auto" w:sz="4" w:space="0"/>
              <w:bottom w:val="single" w:color="auto" w:sz="4" w:space="0"/>
              <w:right w:val="single" w:color="auto" w:sz="6" w:space="0"/>
            </w:tcBorders>
            <w:noWrap w:val="0"/>
            <w:vAlign w:val="top"/>
          </w:tcPr>
          <w:p w14:paraId="362C2A5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kA</w:t>
            </w:r>
          </w:p>
        </w:tc>
        <w:tc>
          <w:tcPr>
            <w:tcW w:w="3420" w:type="dxa"/>
            <w:tcBorders>
              <w:top w:val="single" w:color="auto" w:sz="4" w:space="0"/>
              <w:bottom w:val="single" w:color="auto" w:sz="4" w:space="0"/>
              <w:right w:val="single" w:color="auto" w:sz="6" w:space="0"/>
            </w:tcBorders>
            <w:noWrap w:val="0"/>
            <w:vAlign w:val="top"/>
          </w:tcPr>
          <w:p w14:paraId="320EF71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31.5-40</w:t>
            </w:r>
          </w:p>
        </w:tc>
      </w:tr>
      <w:tr w14:paraId="6838E8BE">
        <w:tblPrEx>
          <w:tblCellMar>
            <w:top w:w="0" w:type="dxa"/>
            <w:left w:w="71" w:type="dxa"/>
            <w:bottom w:w="0" w:type="dxa"/>
            <w:right w:w="71" w:type="dxa"/>
          </w:tblCellMar>
        </w:tblPrEx>
        <w:trPr>
          <w:cantSplit/>
        </w:trPr>
        <w:tc>
          <w:tcPr>
            <w:tcW w:w="4624" w:type="dxa"/>
            <w:tcBorders>
              <w:top w:val="single" w:color="auto" w:sz="4" w:space="0"/>
              <w:left w:val="single" w:color="auto" w:sz="6" w:space="0"/>
              <w:bottom w:val="single" w:color="auto" w:sz="4" w:space="0"/>
              <w:right w:val="single" w:color="auto" w:sz="4" w:space="0"/>
            </w:tcBorders>
            <w:noWrap w:val="0"/>
            <w:vAlign w:val="top"/>
          </w:tcPr>
          <w:p w14:paraId="490AF6C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额定短路关合电流（峰值）</w:t>
            </w:r>
          </w:p>
        </w:tc>
        <w:tc>
          <w:tcPr>
            <w:tcW w:w="956" w:type="dxa"/>
            <w:tcBorders>
              <w:top w:val="single" w:color="auto" w:sz="4" w:space="0"/>
              <w:left w:val="single" w:color="auto" w:sz="4" w:space="0"/>
              <w:bottom w:val="single" w:color="auto" w:sz="4" w:space="0"/>
              <w:right w:val="single" w:color="auto" w:sz="6" w:space="0"/>
            </w:tcBorders>
            <w:noWrap w:val="0"/>
            <w:vAlign w:val="top"/>
          </w:tcPr>
          <w:p w14:paraId="0E216B6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kA</w:t>
            </w:r>
          </w:p>
        </w:tc>
        <w:tc>
          <w:tcPr>
            <w:tcW w:w="3420" w:type="dxa"/>
            <w:tcBorders>
              <w:top w:val="single" w:color="auto" w:sz="4" w:space="0"/>
              <w:bottom w:val="single" w:color="auto" w:sz="4" w:space="0"/>
              <w:right w:val="single" w:color="auto" w:sz="6" w:space="0"/>
            </w:tcBorders>
            <w:noWrap w:val="0"/>
            <w:vAlign w:val="top"/>
          </w:tcPr>
          <w:p w14:paraId="26DB86C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80-100</w:t>
            </w:r>
          </w:p>
        </w:tc>
      </w:tr>
      <w:tr w14:paraId="14F3D87E">
        <w:tblPrEx>
          <w:tblCellMar>
            <w:top w:w="0" w:type="dxa"/>
            <w:left w:w="71" w:type="dxa"/>
            <w:bottom w:w="0" w:type="dxa"/>
            <w:right w:w="71" w:type="dxa"/>
          </w:tblCellMar>
        </w:tblPrEx>
        <w:trPr>
          <w:cantSplit/>
        </w:trPr>
        <w:tc>
          <w:tcPr>
            <w:tcW w:w="4624" w:type="dxa"/>
            <w:tcBorders>
              <w:top w:val="single" w:color="auto" w:sz="4" w:space="0"/>
              <w:left w:val="single" w:color="auto" w:sz="6" w:space="0"/>
              <w:bottom w:val="single" w:color="auto" w:sz="4" w:space="0"/>
              <w:right w:val="single" w:color="auto" w:sz="4" w:space="0"/>
            </w:tcBorders>
            <w:noWrap w:val="0"/>
            <w:vAlign w:val="top"/>
          </w:tcPr>
          <w:p w14:paraId="334A86B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额定动稳定电流（峰值）</w:t>
            </w:r>
          </w:p>
        </w:tc>
        <w:tc>
          <w:tcPr>
            <w:tcW w:w="956" w:type="dxa"/>
            <w:tcBorders>
              <w:top w:val="single" w:color="auto" w:sz="4" w:space="0"/>
              <w:left w:val="single" w:color="auto" w:sz="4" w:space="0"/>
              <w:bottom w:val="single" w:color="auto" w:sz="4" w:space="0"/>
              <w:right w:val="single" w:color="auto" w:sz="6" w:space="0"/>
            </w:tcBorders>
            <w:noWrap w:val="0"/>
            <w:vAlign w:val="top"/>
          </w:tcPr>
          <w:p w14:paraId="60F6C6E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KA</w:t>
            </w:r>
          </w:p>
        </w:tc>
        <w:tc>
          <w:tcPr>
            <w:tcW w:w="3420" w:type="dxa"/>
            <w:tcBorders>
              <w:top w:val="single" w:color="auto" w:sz="4" w:space="0"/>
              <w:bottom w:val="single" w:color="auto" w:sz="4" w:space="0"/>
              <w:right w:val="single" w:color="auto" w:sz="6" w:space="0"/>
            </w:tcBorders>
            <w:noWrap w:val="0"/>
            <w:vAlign w:val="top"/>
          </w:tcPr>
          <w:p w14:paraId="2AC07252">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80-100</w:t>
            </w:r>
          </w:p>
        </w:tc>
      </w:tr>
      <w:tr w14:paraId="55D25A48">
        <w:tblPrEx>
          <w:tblCellMar>
            <w:top w:w="0" w:type="dxa"/>
            <w:left w:w="71" w:type="dxa"/>
            <w:bottom w:w="0" w:type="dxa"/>
            <w:right w:w="71" w:type="dxa"/>
          </w:tblCellMar>
        </w:tblPrEx>
        <w:trPr>
          <w:cantSplit/>
        </w:trPr>
        <w:tc>
          <w:tcPr>
            <w:tcW w:w="4624" w:type="dxa"/>
            <w:tcBorders>
              <w:top w:val="single" w:color="auto" w:sz="4" w:space="0"/>
              <w:left w:val="single" w:color="auto" w:sz="6" w:space="0"/>
              <w:bottom w:val="single" w:color="auto" w:sz="4" w:space="0"/>
              <w:right w:val="single" w:color="auto" w:sz="4" w:space="0"/>
            </w:tcBorders>
            <w:noWrap w:val="0"/>
            <w:vAlign w:val="top"/>
          </w:tcPr>
          <w:p w14:paraId="38694C1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爬电比距</w:t>
            </w:r>
          </w:p>
        </w:tc>
        <w:tc>
          <w:tcPr>
            <w:tcW w:w="956" w:type="dxa"/>
            <w:tcBorders>
              <w:top w:val="single" w:color="auto" w:sz="4" w:space="0"/>
              <w:left w:val="single" w:color="auto" w:sz="4" w:space="0"/>
              <w:bottom w:val="single" w:color="auto" w:sz="4" w:space="0"/>
              <w:right w:val="single" w:color="auto" w:sz="6" w:space="0"/>
            </w:tcBorders>
            <w:noWrap w:val="0"/>
            <w:vAlign w:val="top"/>
          </w:tcPr>
          <w:p w14:paraId="2427E53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mm/kV</w:t>
            </w:r>
          </w:p>
        </w:tc>
        <w:tc>
          <w:tcPr>
            <w:tcW w:w="3420" w:type="dxa"/>
            <w:tcBorders>
              <w:top w:val="single" w:color="auto" w:sz="4" w:space="0"/>
              <w:bottom w:val="single" w:color="auto" w:sz="4" w:space="0"/>
              <w:right w:val="single" w:color="auto" w:sz="6" w:space="0"/>
            </w:tcBorders>
            <w:noWrap w:val="0"/>
            <w:vAlign w:val="top"/>
          </w:tcPr>
          <w:p w14:paraId="2FA577E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≥20</w:t>
            </w:r>
          </w:p>
        </w:tc>
      </w:tr>
      <w:tr w14:paraId="4DAAB742">
        <w:tblPrEx>
          <w:tblCellMar>
            <w:top w:w="0" w:type="dxa"/>
            <w:left w:w="71" w:type="dxa"/>
            <w:bottom w:w="0" w:type="dxa"/>
            <w:right w:w="71" w:type="dxa"/>
          </w:tblCellMar>
        </w:tblPrEx>
        <w:trPr>
          <w:cantSplit/>
        </w:trPr>
        <w:tc>
          <w:tcPr>
            <w:tcW w:w="4624" w:type="dxa"/>
            <w:tcBorders>
              <w:top w:val="single" w:color="auto" w:sz="4" w:space="0"/>
              <w:left w:val="single" w:color="auto" w:sz="6" w:space="0"/>
              <w:bottom w:val="single" w:color="auto" w:sz="4" w:space="0"/>
              <w:right w:val="single" w:color="auto" w:sz="4" w:space="0"/>
            </w:tcBorders>
            <w:noWrap w:val="0"/>
            <w:vAlign w:val="top"/>
          </w:tcPr>
          <w:p w14:paraId="1633B6F2">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分闸时间</w:t>
            </w:r>
          </w:p>
        </w:tc>
        <w:tc>
          <w:tcPr>
            <w:tcW w:w="956" w:type="dxa"/>
            <w:tcBorders>
              <w:top w:val="single" w:color="auto" w:sz="4" w:space="0"/>
              <w:left w:val="single" w:color="auto" w:sz="4" w:space="0"/>
              <w:bottom w:val="single" w:color="auto" w:sz="4" w:space="0"/>
              <w:right w:val="single" w:color="auto" w:sz="6" w:space="0"/>
            </w:tcBorders>
            <w:noWrap w:val="0"/>
            <w:vAlign w:val="top"/>
          </w:tcPr>
          <w:p w14:paraId="0733B44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mS</w:t>
            </w:r>
          </w:p>
        </w:tc>
        <w:tc>
          <w:tcPr>
            <w:tcW w:w="3420" w:type="dxa"/>
            <w:tcBorders>
              <w:top w:val="single" w:color="auto" w:sz="4" w:space="0"/>
              <w:bottom w:val="single" w:color="auto" w:sz="4" w:space="0"/>
              <w:right w:val="single" w:color="auto" w:sz="6" w:space="0"/>
            </w:tcBorders>
            <w:noWrap w:val="0"/>
            <w:vAlign w:val="top"/>
          </w:tcPr>
          <w:p w14:paraId="3BC38FE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≤50</w:t>
            </w:r>
          </w:p>
        </w:tc>
      </w:tr>
      <w:tr w14:paraId="5513FB05">
        <w:tblPrEx>
          <w:tblCellMar>
            <w:top w:w="0" w:type="dxa"/>
            <w:left w:w="71" w:type="dxa"/>
            <w:bottom w:w="0" w:type="dxa"/>
            <w:right w:w="71" w:type="dxa"/>
          </w:tblCellMar>
        </w:tblPrEx>
        <w:trPr>
          <w:cantSplit/>
          <w:trHeight w:val="200" w:hRule="atLeast"/>
        </w:trPr>
        <w:tc>
          <w:tcPr>
            <w:tcW w:w="4624" w:type="dxa"/>
            <w:tcBorders>
              <w:top w:val="single" w:color="auto" w:sz="4" w:space="0"/>
              <w:left w:val="single" w:color="auto" w:sz="6" w:space="0"/>
              <w:bottom w:val="single" w:color="auto" w:sz="4" w:space="0"/>
              <w:right w:val="single" w:color="auto" w:sz="4" w:space="0"/>
            </w:tcBorders>
            <w:noWrap w:val="0"/>
            <w:vAlign w:val="top"/>
          </w:tcPr>
          <w:p w14:paraId="47C82A4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合闸时间</w:t>
            </w:r>
          </w:p>
        </w:tc>
        <w:tc>
          <w:tcPr>
            <w:tcW w:w="956" w:type="dxa"/>
            <w:tcBorders>
              <w:top w:val="single" w:color="auto" w:sz="4" w:space="0"/>
              <w:left w:val="single" w:color="auto" w:sz="4" w:space="0"/>
              <w:bottom w:val="single" w:color="auto" w:sz="4" w:space="0"/>
              <w:right w:val="single" w:color="auto" w:sz="6" w:space="0"/>
            </w:tcBorders>
            <w:noWrap w:val="0"/>
            <w:vAlign w:val="top"/>
          </w:tcPr>
          <w:p w14:paraId="111F6C8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ms</w:t>
            </w:r>
          </w:p>
        </w:tc>
        <w:tc>
          <w:tcPr>
            <w:tcW w:w="3420" w:type="dxa"/>
            <w:tcBorders>
              <w:top w:val="single" w:color="auto" w:sz="4" w:space="0"/>
              <w:bottom w:val="single" w:color="auto" w:sz="4" w:space="0"/>
              <w:right w:val="single" w:color="auto" w:sz="6" w:space="0"/>
            </w:tcBorders>
            <w:noWrap w:val="0"/>
            <w:vAlign w:val="top"/>
          </w:tcPr>
          <w:p w14:paraId="6B3E90B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≤100</w:t>
            </w:r>
          </w:p>
        </w:tc>
      </w:tr>
      <w:tr w14:paraId="5CFFEE60">
        <w:tblPrEx>
          <w:tblCellMar>
            <w:top w:w="0" w:type="dxa"/>
            <w:left w:w="71" w:type="dxa"/>
            <w:bottom w:w="0" w:type="dxa"/>
            <w:right w:w="71" w:type="dxa"/>
          </w:tblCellMar>
        </w:tblPrEx>
        <w:trPr>
          <w:cantSplit/>
        </w:trPr>
        <w:tc>
          <w:tcPr>
            <w:tcW w:w="4624" w:type="dxa"/>
            <w:tcBorders>
              <w:top w:val="single" w:color="auto" w:sz="4" w:space="0"/>
              <w:left w:val="single" w:color="auto" w:sz="6" w:space="0"/>
              <w:bottom w:val="single" w:color="auto" w:sz="4" w:space="0"/>
              <w:right w:val="single" w:color="auto" w:sz="4" w:space="0"/>
            </w:tcBorders>
            <w:noWrap w:val="0"/>
            <w:vAlign w:val="top"/>
          </w:tcPr>
          <w:p w14:paraId="303620F2">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燃弧时间</w:t>
            </w:r>
          </w:p>
        </w:tc>
        <w:tc>
          <w:tcPr>
            <w:tcW w:w="956" w:type="dxa"/>
            <w:tcBorders>
              <w:top w:val="single" w:color="auto" w:sz="4" w:space="0"/>
              <w:left w:val="single" w:color="auto" w:sz="4" w:space="0"/>
              <w:bottom w:val="single" w:color="auto" w:sz="4" w:space="0"/>
              <w:right w:val="single" w:color="auto" w:sz="6" w:space="0"/>
            </w:tcBorders>
            <w:noWrap w:val="0"/>
            <w:vAlign w:val="top"/>
          </w:tcPr>
          <w:p w14:paraId="56C4DB1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ms</w:t>
            </w:r>
          </w:p>
        </w:tc>
        <w:tc>
          <w:tcPr>
            <w:tcW w:w="3420" w:type="dxa"/>
            <w:tcBorders>
              <w:top w:val="single" w:color="auto" w:sz="4" w:space="0"/>
              <w:bottom w:val="single" w:color="auto" w:sz="4" w:space="0"/>
              <w:right w:val="single" w:color="auto" w:sz="6" w:space="0"/>
            </w:tcBorders>
            <w:noWrap w:val="0"/>
            <w:vAlign w:val="top"/>
          </w:tcPr>
          <w:p w14:paraId="609AA0A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≤15</w:t>
            </w:r>
          </w:p>
        </w:tc>
      </w:tr>
      <w:tr w14:paraId="0512047F">
        <w:tblPrEx>
          <w:tblCellMar>
            <w:top w:w="0" w:type="dxa"/>
            <w:left w:w="71" w:type="dxa"/>
            <w:bottom w:w="0" w:type="dxa"/>
            <w:right w:w="71" w:type="dxa"/>
          </w:tblCellMar>
        </w:tblPrEx>
        <w:trPr>
          <w:cantSplit/>
        </w:trPr>
        <w:tc>
          <w:tcPr>
            <w:tcW w:w="4624" w:type="dxa"/>
            <w:tcBorders>
              <w:top w:val="single" w:color="auto" w:sz="4" w:space="0"/>
              <w:left w:val="single" w:color="auto" w:sz="6" w:space="0"/>
              <w:bottom w:val="single" w:color="auto" w:sz="4" w:space="0"/>
              <w:right w:val="single" w:color="auto" w:sz="4" w:space="0"/>
            </w:tcBorders>
            <w:noWrap w:val="0"/>
            <w:vAlign w:val="top"/>
          </w:tcPr>
          <w:p w14:paraId="785EA8D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额定短路开断电流开断次数</w:t>
            </w:r>
          </w:p>
        </w:tc>
        <w:tc>
          <w:tcPr>
            <w:tcW w:w="956" w:type="dxa"/>
            <w:tcBorders>
              <w:top w:val="single" w:color="auto" w:sz="4" w:space="0"/>
              <w:left w:val="single" w:color="auto" w:sz="4" w:space="0"/>
              <w:bottom w:val="single" w:color="auto" w:sz="4" w:space="0"/>
              <w:right w:val="single" w:color="auto" w:sz="6" w:space="0"/>
            </w:tcBorders>
            <w:noWrap w:val="0"/>
            <w:vAlign w:val="top"/>
          </w:tcPr>
          <w:p w14:paraId="5954B84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次</w:t>
            </w:r>
          </w:p>
        </w:tc>
        <w:tc>
          <w:tcPr>
            <w:tcW w:w="3420" w:type="dxa"/>
            <w:tcBorders>
              <w:top w:val="single" w:color="auto" w:sz="4" w:space="0"/>
              <w:bottom w:val="single" w:color="auto" w:sz="4" w:space="0"/>
              <w:right w:val="single" w:color="auto" w:sz="6" w:space="0"/>
            </w:tcBorders>
            <w:noWrap w:val="0"/>
            <w:vAlign w:val="top"/>
          </w:tcPr>
          <w:p w14:paraId="5FDA727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50（30）</w:t>
            </w:r>
          </w:p>
        </w:tc>
      </w:tr>
      <w:tr w14:paraId="41E14DEA">
        <w:tblPrEx>
          <w:tblCellMar>
            <w:top w:w="0" w:type="dxa"/>
            <w:left w:w="71" w:type="dxa"/>
            <w:bottom w:w="0" w:type="dxa"/>
            <w:right w:w="71" w:type="dxa"/>
          </w:tblCellMar>
        </w:tblPrEx>
        <w:trPr>
          <w:cantSplit/>
        </w:trPr>
        <w:tc>
          <w:tcPr>
            <w:tcW w:w="4624" w:type="dxa"/>
            <w:tcBorders>
              <w:top w:val="single" w:color="auto" w:sz="4" w:space="0"/>
              <w:left w:val="single" w:color="auto" w:sz="6" w:space="0"/>
              <w:bottom w:val="single" w:color="auto" w:sz="4" w:space="0"/>
              <w:right w:val="single" w:color="auto" w:sz="4" w:space="0"/>
            </w:tcBorders>
            <w:noWrap w:val="0"/>
            <w:vAlign w:val="top"/>
          </w:tcPr>
          <w:p w14:paraId="1958BF4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机械寿命</w:t>
            </w:r>
          </w:p>
        </w:tc>
        <w:tc>
          <w:tcPr>
            <w:tcW w:w="956" w:type="dxa"/>
            <w:tcBorders>
              <w:top w:val="single" w:color="auto" w:sz="4" w:space="0"/>
              <w:left w:val="single" w:color="auto" w:sz="4" w:space="0"/>
              <w:bottom w:val="single" w:color="auto" w:sz="4" w:space="0"/>
              <w:right w:val="single" w:color="auto" w:sz="6" w:space="0"/>
            </w:tcBorders>
            <w:noWrap w:val="0"/>
            <w:vAlign w:val="top"/>
          </w:tcPr>
          <w:p w14:paraId="18D6870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次</w:t>
            </w:r>
          </w:p>
        </w:tc>
        <w:tc>
          <w:tcPr>
            <w:tcW w:w="3420" w:type="dxa"/>
            <w:tcBorders>
              <w:top w:val="single" w:color="auto" w:sz="4" w:space="0"/>
              <w:bottom w:val="single" w:color="auto" w:sz="4" w:space="0"/>
              <w:right w:val="single" w:color="auto" w:sz="6" w:space="0"/>
            </w:tcBorders>
            <w:noWrap w:val="0"/>
            <w:vAlign w:val="top"/>
          </w:tcPr>
          <w:p w14:paraId="263E29D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20000</w:t>
            </w:r>
          </w:p>
        </w:tc>
      </w:tr>
      <w:tr w14:paraId="0247030B">
        <w:tblPrEx>
          <w:tblCellMar>
            <w:top w:w="0" w:type="dxa"/>
            <w:left w:w="71" w:type="dxa"/>
            <w:bottom w:w="0" w:type="dxa"/>
            <w:right w:w="71" w:type="dxa"/>
          </w:tblCellMar>
        </w:tblPrEx>
        <w:trPr>
          <w:cantSplit/>
        </w:trPr>
        <w:tc>
          <w:tcPr>
            <w:tcW w:w="4624" w:type="dxa"/>
            <w:tcBorders>
              <w:top w:val="single" w:color="auto" w:sz="4" w:space="0"/>
              <w:left w:val="single" w:color="auto" w:sz="6" w:space="0"/>
              <w:bottom w:val="single" w:color="auto" w:sz="4" w:space="0"/>
              <w:right w:val="single" w:color="auto" w:sz="4" w:space="0"/>
            </w:tcBorders>
            <w:noWrap w:val="0"/>
            <w:vAlign w:val="top"/>
          </w:tcPr>
          <w:p w14:paraId="6797382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额定操作顺序</w:t>
            </w:r>
          </w:p>
        </w:tc>
        <w:tc>
          <w:tcPr>
            <w:tcW w:w="956" w:type="dxa"/>
            <w:tcBorders>
              <w:top w:val="single" w:color="auto" w:sz="4" w:space="0"/>
              <w:left w:val="single" w:color="auto" w:sz="4" w:space="0"/>
              <w:bottom w:val="single" w:color="auto" w:sz="4" w:space="0"/>
              <w:right w:val="single" w:color="auto" w:sz="6" w:space="0"/>
            </w:tcBorders>
            <w:noWrap w:val="0"/>
            <w:vAlign w:val="top"/>
          </w:tcPr>
          <w:p w14:paraId="5169AE4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p>
        </w:tc>
        <w:tc>
          <w:tcPr>
            <w:tcW w:w="3420" w:type="dxa"/>
            <w:tcBorders>
              <w:top w:val="single" w:color="auto" w:sz="4" w:space="0"/>
              <w:bottom w:val="single" w:color="auto" w:sz="4" w:space="0"/>
              <w:right w:val="single" w:color="auto" w:sz="6" w:space="0"/>
            </w:tcBorders>
            <w:noWrap w:val="0"/>
            <w:vAlign w:val="top"/>
          </w:tcPr>
          <w:p w14:paraId="083BB3F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分-180s-合分-180s-合分</w:t>
            </w:r>
          </w:p>
        </w:tc>
      </w:tr>
      <w:tr w14:paraId="788C5FBC">
        <w:tblPrEx>
          <w:tblCellMar>
            <w:top w:w="0" w:type="dxa"/>
            <w:left w:w="71" w:type="dxa"/>
            <w:bottom w:w="0" w:type="dxa"/>
            <w:right w:w="71" w:type="dxa"/>
          </w:tblCellMar>
        </w:tblPrEx>
        <w:trPr>
          <w:cantSplit/>
          <w:trHeight w:val="299" w:hRule="atLeast"/>
        </w:trPr>
        <w:tc>
          <w:tcPr>
            <w:tcW w:w="4624" w:type="dxa"/>
            <w:tcBorders>
              <w:top w:val="single" w:color="auto" w:sz="4" w:space="0"/>
              <w:left w:val="single" w:color="auto" w:sz="6" w:space="0"/>
              <w:bottom w:val="single" w:color="auto" w:sz="6" w:space="0"/>
              <w:right w:val="single" w:color="auto" w:sz="4" w:space="0"/>
            </w:tcBorders>
            <w:noWrap w:val="0"/>
            <w:vAlign w:val="top"/>
          </w:tcPr>
          <w:p w14:paraId="22FD76D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自动重合闸操作顺序</w:t>
            </w:r>
          </w:p>
        </w:tc>
        <w:tc>
          <w:tcPr>
            <w:tcW w:w="956" w:type="dxa"/>
            <w:tcBorders>
              <w:top w:val="single" w:color="auto" w:sz="4" w:space="0"/>
              <w:left w:val="single" w:color="auto" w:sz="4" w:space="0"/>
              <w:bottom w:val="single" w:color="auto" w:sz="6" w:space="0"/>
              <w:right w:val="single" w:color="auto" w:sz="4" w:space="0"/>
            </w:tcBorders>
            <w:noWrap w:val="0"/>
            <w:vAlign w:val="top"/>
          </w:tcPr>
          <w:p w14:paraId="03837A1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p>
        </w:tc>
        <w:tc>
          <w:tcPr>
            <w:tcW w:w="3420" w:type="dxa"/>
            <w:tcBorders>
              <w:top w:val="single" w:color="auto" w:sz="4" w:space="0"/>
              <w:left w:val="single" w:color="auto" w:sz="4" w:space="0"/>
              <w:bottom w:val="single" w:color="auto" w:sz="6" w:space="0"/>
              <w:right w:val="single" w:color="auto" w:sz="6" w:space="0"/>
            </w:tcBorders>
            <w:noWrap w:val="0"/>
            <w:vAlign w:val="top"/>
          </w:tcPr>
          <w:p w14:paraId="2813F72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分-0.3s-合分-180s-合分</w:t>
            </w:r>
          </w:p>
        </w:tc>
      </w:tr>
    </w:tbl>
    <w:p w14:paraId="3CEFDE09">
      <w:pPr>
        <w:keepNext w:val="0"/>
        <w:keepLines w:val="0"/>
        <w:pageBreakBefore w:val="0"/>
        <w:widowControl w:val="0"/>
        <w:kinsoku/>
        <w:wordWrap/>
        <w:overflowPunct/>
        <w:topLinePunct w:val="0"/>
        <w:autoSpaceDE/>
        <w:autoSpaceDN/>
        <w:bidi w:val="0"/>
        <w:adjustRightInd/>
        <w:snapToGrid/>
        <w:spacing w:before="157" w:beforeLines="50"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2</w:t>
      </w:r>
      <w:r>
        <w:rPr>
          <w:rFonts w:hint="eastAsia" w:ascii="仿宋" w:hAnsi="仿宋" w:eastAsia="仿宋" w:cs="仿宋"/>
          <w:b/>
          <w:bCs/>
          <w:sz w:val="28"/>
          <w:szCs w:val="28"/>
        </w:rPr>
        <w:t xml:space="preserve">.3.3二次辅助电源 </w:t>
      </w:r>
    </w:p>
    <w:tbl>
      <w:tblPr>
        <w:tblStyle w:val="9"/>
        <w:tblpPr w:leftFromText="180" w:rightFromText="180" w:vertAnchor="text" w:horzAnchor="margin" w:tblpY="358"/>
        <w:tblW w:w="0" w:type="auto"/>
        <w:tblInd w:w="0" w:type="dxa"/>
        <w:tblLayout w:type="fixed"/>
        <w:tblCellMar>
          <w:top w:w="0" w:type="dxa"/>
          <w:left w:w="70" w:type="dxa"/>
          <w:bottom w:w="0" w:type="dxa"/>
          <w:right w:w="70" w:type="dxa"/>
        </w:tblCellMar>
      </w:tblPr>
      <w:tblGrid>
        <w:gridCol w:w="4070"/>
        <w:gridCol w:w="4985"/>
      </w:tblGrid>
      <w:tr w14:paraId="14BFDCFB">
        <w:trPr>
          <w:cantSplit/>
        </w:trPr>
        <w:tc>
          <w:tcPr>
            <w:tcW w:w="4070" w:type="dxa"/>
            <w:tcBorders>
              <w:top w:val="single" w:color="auto" w:sz="6" w:space="0"/>
              <w:left w:val="single" w:color="auto" w:sz="6" w:space="0"/>
              <w:bottom w:val="single" w:color="auto" w:sz="4" w:space="0"/>
            </w:tcBorders>
            <w:noWrap w:val="0"/>
            <w:vAlign w:val="top"/>
          </w:tcPr>
          <w:p w14:paraId="6DB4F66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部   件</w:t>
            </w:r>
          </w:p>
        </w:tc>
        <w:tc>
          <w:tcPr>
            <w:tcW w:w="4985" w:type="dxa"/>
            <w:tcBorders>
              <w:top w:val="single" w:color="auto" w:sz="6" w:space="0"/>
              <w:left w:val="single" w:color="auto" w:sz="6" w:space="0"/>
              <w:bottom w:val="single" w:color="auto" w:sz="4" w:space="0"/>
              <w:right w:val="single" w:color="auto" w:sz="6" w:space="0"/>
            </w:tcBorders>
            <w:noWrap w:val="0"/>
            <w:vAlign w:val="center"/>
          </w:tcPr>
          <w:p w14:paraId="2FB8B20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二次辅助电压</w:t>
            </w:r>
          </w:p>
        </w:tc>
      </w:tr>
      <w:tr w14:paraId="09B36F1E">
        <w:tblPrEx>
          <w:tblCellMar>
            <w:top w:w="0" w:type="dxa"/>
            <w:left w:w="70" w:type="dxa"/>
            <w:bottom w:w="0" w:type="dxa"/>
            <w:right w:w="70" w:type="dxa"/>
          </w:tblCellMar>
        </w:tblPrEx>
        <w:trPr>
          <w:cantSplit/>
        </w:trPr>
        <w:tc>
          <w:tcPr>
            <w:tcW w:w="4070" w:type="dxa"/>
            <w:tcBorders>
              <w:top w:val="single" w:color="auto" w:sz="6" w:space="0"/>
              <w:left w:val="single" w:color="auto" w:sz="6" w:space="0"/>
              <w:bottom w:val="single" w:color="auto" w:sz="4" w:space="0"/>
            </w:tcBorders>
            <w:noWrap w:val="0"/>
            <w:vAlign w:val="top"/>
          </w:tcPr>
          <w:p w14:paraId="32405FB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断路器储能马达</w:t>
            </w:r>
          </w:p>
        </w:tc>
        <w:tc>
          <w:tcPr>
            <w:tcW w:w="4985" w:type="dxa"/>
            <w:tcBorders>
              <w:top w:val="single" w:color="auto" w:sz="6" w:space="0"/>
              <w:left w:val="single" w:color="auto" w:sz="6" w:space="0"/>
              <w:bottom w:val="single" w:color="auto" w:sz="4" w:space="0"/>
              <w:right w:val="single" w:color="auto" w:sz="6" w:space="0"/>
            </w:tcBorders>
            <w:noWrap w:val="0"/>
            <w:vAlign w:val="center"/>
          </w:tcPr>
          <w:p w14:paraId="6ABA43C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DC220，</w:t>
            </w:r>
          </w:p>
        </w:tc>
      </w:tr>
      <w:tr w14:paraId="09D05DF8">
        <w:tblPrEx>
          <w:tblCellMar>
            <w:top w:w="0" w:type="dxa"/>
            <w:left w:w="70" w:type="dxa"/>
            <w:bottom w:w="0" w:type="dxa"/>
            <w:right w:w="70" w:type="dxa"/>
          </w:tblCellMar>
        </w:tblPrEx>
        <w:trPr>
          <w:cantSplit/>
        </w:trPr>
        <w:tc>
          <w:tcPr>
            <w:tcW w:w="4070" w:type="dxa"/>
            <w:tcBorders>
              <w:top w:val="single" w:color="auto" w:sz="4" w:space="0"/>
              <w:left w:val="single" w:color="auto" w:sz="6" w:space="0"/>
              <w:bottom w:val="single" w:color="auto" w:sz="4" w:space="0"/>
            </w:tcBorders>
            <w:noWrap w:val="0"/>
            <w:vAlign w:val="top"/>
          </w:tcPr>
          <w:p w14:paraId="12A82EE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断路器分闸线圈</w:t>
            </w:r>
          </w:p>
        </w:tc>
        <w:tc>
          <w:tcPr>
            <w:tcW w:w="4985" w:type="dxa"/>
            <w:tcBorders>
              <w:top w:val="single" w:color="auto" w:sz="4" w:space="0"/>
              <w:left w:val="single" w:color="auto" w:sz="6" w:space="0"/>
              <w:bottom w:val="single" w:color="auto" w:sz="4" w:space="0"/>
              <w:right w:val="single" w:color="auto" w:sz="6" w:space="0"/>
            </w:tcBorders>
            <w:noWrap w:val="0"/>
            <w:vAlign w:val="center"/>
          </w:tcPr>
          <w:p w14:paraId="0BFE283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DC220，</w:t>
            </w:r>
          </w:p>
        </w:tc>
      </w:tr>
      <w:tr w14:paraId="49D3F0A3">
        <w:tblPrEx>
          <w:tblCellMar>
            <w:top w:w="0" w:type="dxa"/>
            <w:left w:w="70" w:type="dxa"/>
            <w:bottom w:w="0" w:type="dxa"/>
            <w:right w:w="70" w:type="dxa"/>
          </w:tblCellMar>
        </w:tblPrEx>
        <w:trPr>
          <w:cantSplit/>
        </w:trPr>
        <w:tc>
          <w:tcPr>
            <w:tcW w:w="4070" w:type="dxa"/>
            <w:tcBorders>
              <w:top w:val="single" w:color="auto" w:sz="4" w:space="0"/>
              <w:left w:val="single" w:color="auto" w:sz="6" w:space="0"/>
              <w:bottom w:val="single" w:color="auto" w:sz="4" w:space="0"/>
            </w:tcBorders>
            <w:noWrap w:val="0"/>
            <w:vAlign w:val="top"/>
          </w:tcPr>
          <w:p w14:paraId="2BE91CA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断路器合闸线圈</w:t>
            </w:r>
          </w:p>
        </w:tc>
        <w:tc>
          <w:tcPr>
            <w:tcW w:w="4985" w:type="dxa"/>
            <w:tcBorders>
              <w:top w:val="single" w:color="auto" w:sz="4" w:space="0"/>
              <w:left w:val="single" w:color="auto" w:sz="6" w:space="0"/>
              <w:bottom w:val="single" w:color="auto" w:sz="4" w:space="0"/>
              <w:right w:val="single" w:color="auto" w:sz="6" w:space="0"/>
            </w:tcBorders>
            <w:noWrap w:val="0"/>
            <w:vAlign w:val="center"/>
          </w:tcPr>
          <w:p w14:paraId="34E2EEF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 xml:space="preserve">DC220，               </w:t>
            </w:r>
          </w:p>
        </w:tc>
      </w:tr>
    </w:tbl>
    <w:p w14:paraId="720FCA08">
      <w:pPr>
        <w:keepNext w:val="0"/>
        <w:keepLines w:val="0"/>
        <w:pageBreakBefore w:val="0"/>
        <w:widowControl w:val="0"/>
        <w:kinsoku/>
        <w:wordWrap/>
        <w:overflowPunct/>
        <w:topLinePunct w:val="0"/>
        <w:autoSpaceDE/>
        <w:autoSpaceDN/>
        <w:bidi w:val="0"/>
        <w:adjustRightInd/>
        <w:snapToGrid/>
        <w:spacing w:before="157" w:beforeLines="50"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2</w:t>
      </w:r>
      <w:r>
        <w:rPr>
          <w:rFonts w:hint="eastAsia" w:ascii="仿宋" w:hAnsi="仿宋" w:eastAsia="仿宋" w:cs="仿宋"/>
          <w:b/>
          <w:bCs/>
          <w:sz w:val="28"/>
          <w:szCs w:val="28"/>
        </w:rPr>
        <w:t>.3.4外形尺寸及重量</w:t>
      </w:r>
    </w:p>
    <w:p w14:paraId="4CE1D25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设备尺寸重量图纸确认时提供。</w:t>
      </w:r>
    </w:p>
    <w:tbl>
      <w:tblPr>
        <w:tblStyle w:val="9"/>
        <w:tblW w:w="0" w:type="auto"/>
        <w:tblInd w:w="-7" w:type="dxa"/>
        <w:tblLayout w:type="fixed"/>
        <w:tblCellMar>
          <w:top w:w="0" w:type="dxa"/>
          <w:left w:w="70" w:type="dxa"/>
          <w:bottom w:w="0" w:type="dxa"/>
          <w:right w:w="70" w:type="dxa"/>
        </w:tblCellMar>
      </w:tblPr>
      <w:tblGrid>
        <w:gridCol w:w="4409"/>
        <w:gridCol w:w="4641"/>
      </w:tblGrid>
      <w:tr w14:paraId="578ECB29">
        <w:tblPrEx>
          <w:tblCellMar>
            <w:top w:w="0" w:type="dxa"/>
            <w:left w:w="70" w:type="dxa"/>
            <w:bottom w:w="0" w:type="dxa"/>
            <w:right w:w="70" w:type="dxa"/>
          </w:tblCellMar>
        </w:tblPrEx>
        <w:trPr>
          <w:cantSplit/>
        </w:trPr>
        <w:tc>
          <w:tcPr>
            <w:tcW w:w="4409" w:type="dxa"/>
            <w:tcBorders>
              <w:top w:val="single" w:color="auto" w:sz="6" w:space="0"/>
              <w:left w:val="single" w:color="auto" w:sz="6" w:space="0"/>
              <w:bottom w:val="single" w:color="auto" w:sz="6" w:space="0"/>
            </w:tcBorders>
            <w:shd w:val="clear" w:color="auto" w:fill="FFFFFF"/>
            <w:noWrap w:val="0"/>
            <w:vAlign w:val="top"/>
          </w:tcPr>
          <w:p w14:paraId="16C4E27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额定电流</w:t>
            </w:r>
          </w:p>
        </w:tc>
        <w:tc>
          <w:tcPr>
            <w:tcW w:w="4641" w:type="dxa"/>
            <w:tcBorders>
              <w:top w:val="single" w:color="auto" w:sz="6" w:space="0"/>
              <w:left w:val="single" w:color="auto" w:sz="6" w:space="0"/>
              <w:bottom w:val="single" w:color="auto" w:sz="6" w:space="0"/>
              <w:right w:val="single" w:color="auto" w:sz="6" w:space="0"/>
            </w:tcBorders>
            <w:shd w:val="clear" w:color="auto" w:fill="FFFFFF"/>
            <w:noWrap w:val="0"/>
            <w:vAlign w:val="top"/>
          </w:tcPr>
          <w:p w14:paraId="5F411C6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lang w:val="en-US" w:eastAsia="zh-CN"/>
              </w:rPr>
              <w:t>125</w:t>
            </w:r>
            <w:r>
              <w:rPr>
                <w:rFonts w:hint="eastAsia" w:ascii="仿宋" w:hAnsi="仿宋" w:eastAsia="仿宋" w:cs="仿宋"/>
                <w:szCs w:val="21"/>
              </w:rPr>
              <w:t>0A</w:t>
            </w:r>
          </w:p>
        </w:tc>
      </w:tr>
      <w:tr w14:paraId="56BC82E5">
        <w:tblPrEx>
          <w:tblCellMar>
            <w:top w:w="0" w:type="dxa"/>
            <w:left w:w="70" w:type="dxa"/>
            <w:bottom w:w="0" w:type="dxa"/>
            <w:right w:w="70" w:type="dxa"/>
          </w:tblCellMar>
        </w:tblPrEx>
        <w:trPr>
          <w:cantSplit/>
        </w:trPr>
        <w:tc>
          <w:tcPr>
            <w:tcW w:w="4409" w:type="dxa"/>
            <w:tcBorders>
              <w:top w:val="single" w:color="auto" w:sz="6" w:space="0"/>
              <w:left w:val="single" w:color="auto" w:sz="6" w:space="0"/>
              <w:bottom w:val="single" w:color="auto" w:sz="4" w:space="0"/>
            </w:tcBorders>
            <w:noWrap w:val="0"/>
            <w:vAlign w:val="top"/>
          </w:tcPr>
          <w:p w14:paraId="1A7B0E2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宽 (mm)</w:t>
            </w:r>
          </w:p>
        </w:tc>
        <w:tc>
          <w:tcPr>
            <w:tcW w:w="4641" w:type="dxa"/>
            <w:tcBorders>
              <w:top w:val="single" w:color="auto" w:sz="6" w:space="0"/>
              <w:left w:val="single" w:color="auto" w:sz="6" w:space="0"/>
              <w:bottom w:val="single" w:color="auto" w:sz="4" w:space="0"/>
              <w:right w:val="single" w:color="auto" w:sz="6" w:space="0"/>
            </w:tcBorders>
            <w:noWrap w:val="0"/>
            <w:vAlign w:val="top"/>
          </w:tcPr>
          <w:p w14:paraId="569D025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800</w:t>
            </w:r>
          </w:p>
        </w:tc>
      </w:tr>
      <w:tr w14:paraId="252B64A4">
        <w:tblPrEx>
          <w:tblCellMar>
            <w:top w:w="0" w:type="dxa"/>
            <w:left w:w="70" w:type="dxa"/>
            <w:bottom w:w="0" w:type="dxa"/>
            <w:right w:w="70" w:type="dxa"/>
          </w:tblCellMar>
        </w:tblPrEx>
        <w:trPr>
          <w:cantSplit/>
        </w:trPr>
        <w:tc>
          <w:tcPr>
            <w:tcW w:w="4409" w:type="dxa"/>
            <w:tcBorders>
              <w:top w:val="single" w:color="auto" w:sz="4" w:space="0"/>
              <w:left w:val="single" w:color="auto" w:sz="6" w:space="0"/>
              <w:bottom w:val="single" w:color="auto" w:sz="4" w:space="0"/>
            </w:tcBorders>
            <w:noWrap w:val="0"/>
            <w:vAlign w:val="top"/>
          </w:tcPr>
          <w:p w14:paraId="783BAF82">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高 (mm)</w:t>
            </w:r>
          </w:p>
        </w:tc>
        <w:tc>
          <w:tcPr>
            <w:tcW w:w="4641" w:type="dxa"/>
            <w:tcBorders>
              <w:top w:val="single" w:color="auto" w:sz="4" w:space="0"/>
              <w:left w:val="single" w:color="auto" w:sz="6" w:space="0"/>
              <w:bottom w:val="single" w:color="auto" w:sz="4" w:space="0"/>
              <w:right w:val="single" w:color="auto" w:sz="6" w:space="0"/>
            </w:tcBorders>
            <w:noWrap w:val="0"/>
            <w:vAlign w:val="top"/>
          </w:tcPr>
          <w:p w14:paraId="1FC1DA1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2200</w:t>
            </w:r>
          </w:p>
        </w:tc>
      </w:tr>
      <w:tr w14:paraId="4FDFD0BA">
        <w:tblPrEx>
          <w:tblCellMar>
            <w:top w:w="0" w:type="dxa"/>
            <w:left w:w="70" w:type="dxa"/>
            <w:bottom w:w="0" w:type="dxa"/>
            <w:right w:w="70" w:type="dxa"/>
          </w:tblCellMar>
        </w:tblPrEx>
        <w:trPr>
          <w:cantSplit/>
        </w:trPr>
        <w:tc>
          <w:tcPr>
            <w:tcW w:w="4409" w:type="dxa"/>
            <w:tcBorders>
              <w:top w:val="single" w:color="auto" w:sz="4" w:space="0"/>
              <w:left w:val="single" w:color="auto" w:sz="6" w:space="0"/>
              <w:bottom w:val="single" w:color="auto" w:sz="4" w:space="0"/>
            </w:tcBorders>
            <w:noWrap w:val="0"/>
            <w:vAlign w:val="top"/>
          </w:tcPr>
          <w:p w14:paraId="440F9E5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深 (mm)*</w:t>
            </w:r>
          </w:p>
        </w:tc>
        <w:tc>
          <w:tcPr>
            <w:tcW w:w="4641" w:type="dxa"/>
            <w:tcBorders>
              <w:top w:val="single" w:color="auto" w:sz="4" w:space="0"/>
              <w:left w:val="single" w:color="auto" w:sz="6" w:space="0"/>
              <w:bottom w:val="single" w:color="auto" w:sz="4" w:space="0"/>
              <w:right w:val="single" w:color="auto" w:sz="6" w:space="0"/>
            </w:tcBorders>
            <w:noWrap w:val="0"/>
            <w:vAlign w:val="top"/>
          </w:tcPr>
          <w:p w14:paraId="652A684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lang w:val="en-US" w:eastAsia="zh-CN"/>
              </w:rPr>
            </w:pPr>
            <w:r>
              <w:rPr>
                <w:rFonts w:hint="eastAsia" w:ascii="仿宋" w:hAnsi="仿宋" w:eastAsia="仿宋" w:cs="仿宋"/>
                <w:szCs w:val="21"/>
              </w:rPr>
              <w:t>15</w:t>
            </w:r>
            <w:r>
              <w:rPr>
                <w:rFonts w:hint="eastAsia" w:ascii="仿宋" w:hAnsi="仿宋" w:eastAsia="仿宋" w:cs="仿宋"/>
                <w:szCs w:val="21"/>
                <w:lang w:val="en-US" w:eastAsia="zh-CN"/>
              </w:rPr>
              <w:t>60</w:t>
            </w:r>
          </w:p>
        </w:tc>
      </w:tr>
      <w:tr w14:paraId="2B83676C">
        <w:tblPrEx>
          <w:tblCellMar>
            <w:top w:w="0" w:type="dxa"/>
            <w:left w:w="70" w:type="dxa"/>
            <w:bottom w:w="0" w:type="dxa"/>
            <w:right w:w="70" w:type="dxa"/>
          </w:tblCellMar>
        </w:tblPrEx>
        <w:trPr>
          <w:cantSplit/>
        </w:trPr>
        <w:tc>
          <w:tcPr>
            <w:tcW w:w="4409" w:type="dxa"/>
            <w:tcBorders>
              <w:top w:val="single" w:color="auto" w:sz="4" w:space="0"/>
              <w:left w:val="single" w:color="auto" w:sz="6" w:space="0"/>
              <w:bottom w:val="single" w:color="auto" w:sz="4" w:space="0"/>
            </w:tcBorders>
            <w:noWrap w:val="0"/>
            <w:vAlign w:val="top"/>
          </w:tcPr>
          <w:p w14:paraId="2646DF8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开关柜总重量 (kg)</w:t>
            </w:r>
          </w:p>
        </w:tc>
        <w:tc>
          <w:tcPr>
            <w:tcW w:w="4641" w:type="dxa"/>
            <w:tcBorders>
              <w:top w:val="single" w:color="auto" w:sz="4" w:space="0"/>
              <w:left w:val="single" w:color="auto" w:sz="6" w:space="0"/>
              <w:bottom w:val="single" w:color="auto" w:sz="4" w:space="0"/>
              <w:right w:val="single" w:color="auto" w:sz="6" w:space="0"/>
            </w:tcBorders>
            <w:noWrap w:val="0"/>
            <w:vAlign w:val="top"/>
          </w:tcPr>
          <w:p w14:paraId="56D95F8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800～1200</w:t>
            </w:r>
          </w:p>
        </w:tc>
      </w:tr>
      <w:tr w14:paraId="07F04C3F">
        <w:tblPrEx>
          <w:tblCellMar>
            <w:top w:w="0" w:type="dxa"/>
            <w:left w:w="70" w:type="dxa"/>
            <w:bottom w:w="0" w:type="dxa"/>
            <w:right w:w="70" w:type="dxa"/>
          </w:tblCellMar>
        </w:tblPrEx>
        <w:trPr>
          <w:cantSplit/>
        </w:trPr>
        <w:tc>
          <w:tcPr>
            <w:tcW w:w="4409" w:type="dxa"/>
            <w:tcBorders>
              <w:top w:val="single" w:color="auto" w:sz="4" w:space="0"/>
              <w:left w:val="single" w:color="auto" w:sz="6" w:space="0"/>
              <w:bottom w:val="single" w:color="auto" w:sz="6" w:space="0"/>
            </w:tcBorders>
            <w:noWrap w:val="0"/>
            <w:vAlign w:val="top"/>
          </w:tcPr>
          <w:p w14:paraId="24AFD7B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断路器重量 (kg)</w:t>
            </w:r>
          </w:p>
        </w:tc>
        <w:tc>
          <w:tcPr>
            <w:tcW w:w="4641" w:type="dxa"/>
            <w:tcBorders>
              <w:top w:val="single" w:color="auto" w:sz="4" w:space="0"/>
              <w:left w:val="single" w:color="auto" w:sz="6" w:space="0"/>
              <w:bottom w:val="single" w:color="auto" w:sz="6" w:space="0"/>
              <w:right w:val="single" w:color="auto" w:sz="6" w:space="0"/>
            </w:tcBorders>
            <w:noWrap w:val="0"/>
            <w:vAlign w:val="top"/>
          </w:tcPr>
          <w:p w14:paraId="001A3D3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100</w:t>
            </w:r>
          </w:p>
        </w:tc>
      </w:tr>
    </w:tbl>
    <w:p w14:paraId="2C130F5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sz w:val="24"/>
          <w:szCs w:val="24"/>
        </w:rPr>
      </w:pPr>
      <w:r>
        <w:rPr>
          <w:rFonts w:hint="eastAsia" w:ascii="仿宋" w:hAnsi="仿宋" w:eastAsia="仿宋" w:cs="仿宋"/>
          <w:szCs w:val="21"/>
        </w:rPr>
        <w:tab/>
      </w:r>
      <w:r>
        <w:rPr>
          <w:rFonts w:hint="eastAsia" w:ascii="仿宋" w:hAnsi="仿宋" w:eastAsia="仿宋" w:cs="仿宋"/>
          <w:sz w:val="24"/>
          <w:szCs w:val="24"/>
        </w:rPr>
        <w:t>* 注：此为标准深度，若有后附柜配置则深度为1800mm</w:t>
      </w:r>
    </w:p>
    <w:p w14:paraId="3C7AD6FF">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2</w:t>
      </w:r>
      <w:r>
        <w:rPr>
          <w:rFonts w:hint="eastAsia" w:ascii="仿宋" w:hAnsi="仿宋" w:eastAsia="仿宋" w:cs="仿宋"/>
          <w:b/>
          <w:bCs/>
          <w:sz w:val="28"/>
          <w:szCs w:val="28"/>
        </w:rPr>
        <w:t>.3.5性能参数</w:t>
      </w:r>
    </w:p>
    <w:p w14:paraId="743DAE0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① 型式：金属铠装式开关柜，中置移开式断路器，断路器手车具有良好的互换性。</w:t>
      </w:r>
    </w:p>
    <w:p w14:paraId="3AAA1BA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② 防护等级：柜体 IP4X,  隔室间 IP2X</w:t>
      </w:r>
    </w:p>
    <w:p w14:paraId="0284630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③ 开关柜内裸导体相间及相对地空气净距 </w:t>
      </w:r>
      <w:r>
        <w:rPr>
          <w:rFonts w:hint="eastAsia" w:ascii="仿宋" w:hAnsi="仿宋" w:eastAsia="仿宋" w:cs="仿宋"/>
          <w:sz w:val="28"/>
          <w:szCs w:val="28"/>
        </w:rPr>
        <w:sym w:font="Symbol" w:char="F0B3"/>
      </w:r>
      <w:r>
        <w:rPr>
          <w:rFonts w:hint="eastAsia" w:ascii="仿宋" w:hAnsi="仿宋" w:eastAsia="仿宋" w:cs="仿宋"/>
          <w:sz w:val="28"/>
          <w:szCs w:val="28"/>
        </w:rPr>
        <w:t>125mm。</w:t>
      </w:r>
    </w:p>
    <w:p w14:paraId="0E15906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④ 开关柜的绝缘件最小爬电距离为240mm。</w:t>
      </w:r>
    </w:p>
    <w:p w14:paraId="343E923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⑤ 电缆室的底板采用开孔的钢板，并有橡胶护套防护。 每相最多可连接接3根240mm2的三芯电缆或1根630mm2的单芯电缆。电缆接线端距地高度为650mm。</w:t>
      </w:r>
    </w:p>
    <w:p w14:paraId="7E7AEE5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⑥ 接地母排截面为</w:t>
      </w:r>
      <w:r>
        <w:rPr>
          <w:rFonts w:hint="eastAsia" w:ascii="仿宋" w:hAnsi="仿宋" w:eastAsia="仿宋" w:cs="仿宋"/>
          <w:b/>
          <w:bCs/>
          <w:color w:val="auto"/>
          <w:sz w:val="28"/>
          <w:szCs w:val="28"/>
        </w:rPr>
        <w:t>400</w:t>
      </w:r>
      <w:r>
        <w:rPr>
          <w:rFonts w:hint="eastAsia" w:ascii="仿宋" w:hAnsi="仿宋" w:eastAsia="仿宋" w:cs="仿宋"/>
          <w:sz w:val="28"/>
          <w:szCs w:val="28"/>
        </w:rPr>
        <w:t>mm2 (</w:t>
      </w:r>
      <w:r>
        <w:rPr>
          <w:rFonts w:hint="eastAsia" w:ascii="仿宋" w:hAnsi="仿宋" w:eastAsia="仿宋" w:cs="仿宋"/>
          <w:sz w:val="28"/>
          <w:szCs w:val="28"/>
          <w:lang w:val="en-US" w:eastAsia="zh-CN"/>
        </w:rPr>
        <w:t>即：40mm*10mm</w:t>
      </w:r>
      <w:r>
        <w:rPr>
          <w:rFonts w:hint="eastAsia" w:ascii="仿宋" w:hAnsi="仿宋" w:eastAsia="仿宋" w:cs="仿宋"/>
          <w:sz w:val="28"/>
          <w:szCs w:val="28"/>
        </w:rPr>
        <w:t>) 。</w:t>
      </w:r>
    </w:p>
    <w:p w14:paraId="1D434254">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2</w:t>
      </w:r>
      <w:r>
        <w:rPr>
          <w:rFonts w:hint="eastAsia" w:ascii="仿宋" w:hAnsi="仿宋" w:eastAsia="仿宋" w:cs="仿宋"/>
          <w:b/>
          <w:bCs/>
          <w:sz w:val="28"/>
          <w:szCs w:val="28"/>
        </w:rPr>
        <w:t>.3.6联锁</w:t>
      </w:r>
    </w:p>
    <w:p w14:paraId="020A061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KYN28</w:t>
      </w:r>
      <w:r>
        <w:rPr>
          <w:rFonts w:hint="eastAsia" w:ascii="仿宋" w:hAnsi="仿宋" w:eastAsia="仿宋" w:cs="仿宋"/>
          <w:sz w:val="28"/>
          <w:szCs w:val="28"/>
          <w:lang w:val="en-US" w:eastAsia="zh-CN"/>
        </w:rPr>
        <w:t>-12</w:t>
      </w:r>
      <w:r>
        <w:rPr>
          <w:rFonts w:hint="eastAsia" w:ascii="仿宋" w:hAnsi="仿宋" w:eastAsia="仿宋" w:cs="仿宋"/>
          <w:sz w:val="28"/>
          <w:szCs w:val="28"/>
        </w:rPr>
        <w:t>开关柜</w:t>
      </w:r>
      <w:r>
        <w:rPr>
          <w:rFonts w:hint="eastAsia" w:ascii="仿宋" w:hAnsi="仿宋" w:eastAsia="仿宋" w:cs="仿宋"/>
          <w:sz w:val="28"/>
          <w:szCs w:val="28"/>
          <w:lang w:val="en-US" w:eastAsia="zh-CN"/>
        </w:rPr>
        <w:t>应</w:t>
      </w:r>
      <w:r>
        <w:rPr>
          <w:rFonts w:hint="eastAsia" w:ascii="仿宋" w:hAnsi="仿宋" w:eastAsia="仿宋" w:cs="仿宋"/>
          <w:sz w:val="28"/>
          <w:szCs w:val="28"/>
        </w:rPr>
        <w:t>提供下列机械联锁：</w:t>
      </w:r>
    </w:p>
    <w:p w14:paraId="5C81258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① 断路器手车在运行位置时，禁止接地开关关合。 反之，接地开关处于闭合位置时，断路器手车禁止推入至运行位置。</w:t>
      </w:r>
    </w:p>
    <w:p w14:paraId="4691FEE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② 断路器手车在推入及抽出行程中，禁止断路器合闸及关合接地开关。（如断路器已合闸则自动分断。）</w:t>
      </w:r>
    </w:p>
    <w:p w14:paraId="0077C1D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③  断路器转移小车未到位时，防止抽出断路器手车。</w:t>
      </w:r>
    </w:p>
    <w:p w14:paraId="3DA1149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④ 断路器手车在运行位时，二次插头被锁定不能拔除。</w:t>
      </w:r>
    </w:p>
    <w:p w14:paraId="04A39FF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⑤  接地开关闭合后，才能打开电缆室前后门。</w:t>
      </w:r>
    </w:p>
    <w:p w14:paraId="7B831A1C">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2</w:t>
      </w:r>
      <w:r>
        <w:rPr>
          <w:rFonts w:hint="eastAsia" w:ascii="仿宋" w:hAnsi="仿宋" w:eastAsia="仿宋" w:cs="仿宋"/>
          <w:b/>
          <w:bCs/>
          <w:sz w:val="28"/>
          <w:szCs w:val="28"/>
        </w:rPr>
        <w:t>.4 KYN28Z开关柜的主要元部件</w:t>
      </w:r>
    </w:p>
    <w:p w14:paraId="7D1A0685">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eastAsia="zh-CN"/>
        </w:rPr>
        <w:t>2</w:t>
      </w:r>
      <w:r>
        <w:rPr>
          <w:rFonts w:hint="eastAsia" w:ascii="仿宋" w:hAnsi="仿宋" w:eastAsia="仿宋" w:cs="仿宋"/>
          <w:b/>
          <w:bCs/>
          <w:sz w:val="28"/>
          <w:szCs w:val="28"/>
        </w:rPr>
        <w:t>.4.1 断路器</w:t>
      </w:r>
      <w:r>
        <w:rPr>
          <w:rFonts w:hint="eastAsia" w:ascii="仿宋" w:hAnsi="仿宋" w:eastAsia="仿宋" w:cs="仿宋"/>
          <w:b/>
          <w:bCs/>
          <w:sz w:val="28"/>
          <w:szCs w:val="28"/>
          <w:lang w:eastAsia="zh-CN"/>
        </w:rPr>
        <w:t>：</w:t>
      </w:r>
      <w:r>
        <w:rPr>
          <w:rFonts w:hint="eastAsia" w:ascii="仿宋" w:hAnsi="仿宋" w:eastAsia="仿宋" w:cs="仿宋"/>
          <w:sz w:val="28"/>
          <w:szCs w:val="28"/>
        </w:rPr>
        <w:t>见真空断路器技术规范</w:t>
      </w:r>
    </w:p>
    <w:p w14:paraId="1009E1DA">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2</w:t>
      </w:r>
      <w:r>
        <w:rPr>
          <w:rFonts w:hint="eastAsia" w:ascii="仿宋" w:hAnsi="仿宋" w:eastAsia="仿宋" w:cs="仿宋"/>
          <w:b/>
          <w:bCs/>
          <w:sz w:val="28"/>
          <w:szCs w:val="28"/>
        </w:rPr>
        <w:t>.4.2 接地开关</w:t>
      </w:r>
    </w:p>
    <w:p w14:paraId="3B2012D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① 型式：JN15-12</w:t>
      </w:r>
    </w:p>
    <w:p w14:paraId="24341EF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② 额定电压12kV</w:t>
      </w:r>
    </w:p>
    <w:p w14:paraId="0E5B882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③ 具有80kA的关合能力。短时耐受电流31.5kA,4s。  </w:t>
      </w:r>
    </w:p>
    <w:p w14:paraId="6457961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④ 机械操作次数： 2000次</w:t>
      </w:r>
    </w:p>
    <w:p w14:paraId="356AF961">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2</w:t>
      </w:r>
      <w:r>
        <w:rPr>
          <w:rFonts w:hint="eastAsia" w:ascii="仿宋" w:hAnsi="仿宋" w:eastAsia="仿宋" w:cs="仿宋"/>
          <w:b/>
          <w:bCs/>
          <w:sz w:val="28"/>
          <w:szCs w:val="28"/>
        </w:rPr>
        <w:t xml:space="preserve">.4.3  电流互感器 </w:t>
      </w:r>
    </w:p>
    <w:p w14:paraId="5D20D58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型式：LZZBJ9-10型</w:t>
      </w:r>
    </w:p>
    <w:p w14:paraId="6A621B59">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2</w:t>
      </w:r>
      <w:r>
        <w:rPr>
          <w:rFonts w:hint="eastAsia" w:ascii="仿宋" w:hAnsi="仿宋" w:eastAsia="仿宋" w:cs="仿宋"/>
          <w:b/>
          <w:bCs/>
          <w:sz w:val="28"/>
          <w:szCs w:val="28"/>
        </w:rPr>
        <w:t xml:space="preserve">.4.4  </w:t>
      </w:r>
      <w:r>
        <w:rPr>
          <w:rFonts w:hint="eastAsia" w:ascii="仿宋" w:hAnsi="仿宋" w:eastAsia="仿宋" w:cs="仿宋"/>
          <w:b/>
          <w:bCs/>
          <w:sz w:val="28"/>
          <w:szCs w:val="28"/>
          <w:lang w:val="en-US" w:eastAsia="zh-CN"/>
        </w:rPr>
        <w:t>过电压保护器</w:t>
      </w:r>
      <w:r>
        <w:rPr>
          <w:rFonts w:hint="eastAsia" w:ascii="仿宋" w:hAnsi="仿宋" w:eastAsia="仿宋" w:cs="仿宋"/>
          <w:b/>
          <w:bCs/>
          <w:sz w:val="28"/>
          <w:szCs w:val="28"/>
        </w:rPr>
        <w:t xml:space="preserve"> </w:t>
      </w:r>
    </w:p>
    <w:p w14:paraId="7F751C8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型</w:t>
      </w:r>
      <w:r>
        <w:rPr>
          <w:rFonts w:hint="eastAsia" w:ascii="仿宋" w:hAnsi="仿宋" w:eastAsia="仿宋" w:cs="仿宋"/>
          <w:sz w:val="28"/>
          <w:szCs w:val="28"/>
          <w:lang w:val="en-US" w:eastAsia="zh-CN"/>
        </w:rPr>
        <w:t>号</w:t>
      </w:r>
      <w:r>
        <w:rPr>
          <w:rFonts w:hint="eastAsia" w:ascii="仿宋" w:hAnsi="仿宋" w:eastAsia="仿宋" w:cs="仿宋"/>
          <w:sz w:val="28"/>
          <w:szCs w:val="28"/>
        </w:rPr>
        <w:t>：</w:t>
      </w:r>
      <w:r>
        <w:rPr>
          <w:rFonts w:hint="eastAsia" w:ascii="仿宋" w:hAnsi="仿宋" w:eastAsia="仿宋" w:cs="仿宋"/>
          <w:color w:val="auto"/>
          <w:sz w:val="28"/>
          <w:szCs w:val="28"/>
          <w:highlight w:val="none"/>
        </w:rPr>
        <w:t>TBP</w:t>
      </w:r>
      <w:r>
        <w:rPr>
          <w:rFonts w:hint="eastAsia" w:ascii="仿宋" w:hAnsi="仿宋" w:eastAsia="仿宋" w:cs="仿宋"/>
          <w:color w:val="auto"/>
          <w:sz w:val="28"/>
          <w:szCs w:val="28"/>
          <w:highlight w:val="none"/>
        </w:rPr>
        <w:softHyphen/>
      </w:r>
      <w:r>
        <w:rPr>
          <w:rFonts w:hint="eastAsia" w:ascii="仿宋" w:hAnsi="仿宋" w:eastAsia="仿宋" w:cs="仿宋"/>
          <w:color w:val="auto"/>
          <w:sz w:val="28"/>
          <w:szCs w:val="28"/>
          <w:highlight w:val="none"/>
        </w:rPr>
        <w:t>-B-12.7/131</w:t>
      </w:r>
    </w:p>
    <w:p w14:paraId="0BB8744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20" w:left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（2）额定电压：12.7kV</w:t>
      </w:r>
    </w:p>
    <w:p w14:paraId="3B1F8AB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（3）最大工作电压：15kV</w:t>
      </w:r>
    </w:p>
    <w:p w14:paraId="5A8A839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（4）额定频率：50Hz/60Hz</w:t>
      </w:r>
    </w:p>
    <w:p w14:paraId="00CC8C8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（5）触发电压：≤1.2Un</w:t>
      </w:r>
    </w:p>
    <w:p w14:paraId="55CC6E8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（6）阻尼比：≥20%</w:t>
      </w:r>
    </w:p>
    <w:p w14:paraId="2CBE83D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（7）动作时间：≤25ms</w:t>
      </w:r>
    </w:p>
    <w:p w14:paraId="21934F5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rPr>
      </w:pPr>
      <w:r>
        <w:rPr>
          <w:rFonts w:hint="eastAsia" w:ascii="仿宋" w:hAnsi="仿宋" w:eastAsia="仿宋" w:cs="仿宋"/>
          <w:sz w:val="28"/>
          <w:szCs w:val="28"/>
          <w:lang w:eastAsia="zh-CN"/>
        </w:rPr>
        <w:t>2</w:t>
      </w:r>
      <w:r>
        <w:rPr>
          <w:rFonts w:hint="eastAsia" w:ascii="仿宋" w:hAnsi="仿宋" w:eastAsia="仿宋" w:cs="仿宋"/>
          <w:b/>
          <w:bCs/>
          <w:sz w:val="28"/>
          <w:szCs w:val="28"/>
        </w:rPr>
        <w:t>.4.5  主母排</w:t>
      </w:r>
    </w:p>
    <w:p w14:paraId="1EA7549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主母排及分支母排采用矩形铜材外镀锡</w:t>
      </w:r>
    </w:p>
    <w:p w14:paraId="14DA3E69">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2</w:t>
      </w:r>
      <w:r>
        <w:rPr>
          <w:rFonts w:hint="eastAsia" w:ascii="仿宋" w:hAnsi="仿宋" w:eastAsia="仿宋" w:cs="仿宋"/>
          <w:b/>
          <w:bCs/>
          <w:sz w:val="28"/>
          <w:szCs w:val="28"/>
        </w:rPr>
        <w:t>.5 出厂试验:</w:t>
      </w:r>
    </w:p>
    <w:p w14:paraId="315E270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设备出厂时，将按照国家GB标准，进行下列试验:</w:t>
      </w:r>
    </w:p>
    <w:p w14:paraId="27522FD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.5.1 结构检查</w:t>
      </w:r>
    </w:p>
    <w:p w14:paraId="167056F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 xml:space="preserve">.5.2 机械特性检查 </w:t>
      </w:r>
    </w:p>
    <w:p w14:paraId="1E023E6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.5.3 接线正确性的检查</w:t>
      </w:r>
    </w:p>
    <w:p w14:paraId="3577A1C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.5.4 主回路工频耐压试验</w:t>
      </w:r>
    </w:p>
    <w:p w14:paraId="5F2E39E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.5.5 二次回路工频耐压试验</w:t>
      </w:r>
    </w:p>
    <w:p w14:paraId="17E6CF6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.5.6 主回路电阻测量</w:t>
      </w:r>
    </w:p>
    <w:p w14:paraId="243C5CA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.5.7 局部放电测量</w:t>
      </w:r>
    </w:p>
    <w:p w14:paraId="189A94A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.5.8 联锁及机械操作</w:t>
      </w:r>
    </w:p>
    <w:p w14:paraId="71C8E01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.5.9 断路器手车的互换性试验</w:t>
      </w:r>
    </w:p>
    <w:p w14:paraId="2BF339A6">
      <w:pPr>
        <w:keepNext w:val="0"/>
        <w:keepLines w:val="0"/>
        <w:pageBreakBefore w:val="0"/>
        <w:widowControl w:val="0"/>
        <w:kinsoku/>
        <w:wordWrap/>
        <w:overflowPunct/>
        <w:topLinePunct w:val="0"/>
        <w:autoSpaceDE/>
        <w:autoSpaceDN/>
        <w:bidi w:val="0"/>
        <w:adjustRightInd/>
        <w:snapToGrid/>
        <w:spacing w:before="156" w:beforeLines="50"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 xml:space="preserve"> 真空断路器技术规范</w:t>
      </w:r>
    </w:p>
    <w:p w14:paraId="180E74E6">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1 符合技术标准</w:t>
      </w:r>
    </w:p>
    <w:p w14:paraId="0680B88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真空</w:t>
      </w:r>
      <w:r>
        <w:rPr>
          <w:rFonts w:hint="eastAsia" w:ascii="仿宋" w:hAnsi="仿宋" w:eastAsia="仿宋" w:cs="仿宋"/>
          <w:sz w:val="28"/>
          <w:szCs w:val="28"/>
        </w:rPr>
        <w:t>断路器符合下列国家标准的最新版本：</w:t>
      </w:r>
    </w:p>
    <w:p w14:paraId="4E096B1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IEC 60056      《交流高压断路器》</w:t>
      </w:r>
    </w:p>
    <w:p w14:paraId="3E213F8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GB311.1～311.    《高压输变电设备的绝缘配合、高电压试验技术》                   </w:t>
      </w:r>
    </w:p>
    <w:p w14:paraId="711B044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GB1984        《交流高压断路器》</w:t>
      </w:r>
    </w:p>
    <w:p w14:paraId="51BB5BC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DL 402-99        《交流高压断路器订货技术条件》</w:t>
      </w:r>
    </w:p>
    <w:p w14:paraId="1B932C1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DL403-91      《10-35kV户内高压真空断路器订货条件》</w:t>
      </w:r>
    </w:p>
    <w:p w14:paraId="20F86BA8">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3</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2 技术性能</w:t>
      </w:r>
    </w:p>
    <w:p w14:paraId="4945C4F7">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3</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2.1 一般使用条件</w:t>
      </w:r>
    </w:p>
    <w:p w14:paraId="6876C99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正常运行条件：户内型设备</w:t>
      </w:r>
    </w:p>
    <w:p w14:paraId="17AE83E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环境空气温度：-30℃ ～ +40℃</w:t>
      </w:r>
    </w:p>
    <w:p w14:paraId="28F05A0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相对湿度：日平均值  ≤ 95 %</w:t>
      </w:r>
    </w:p>
    <w:p w14:paraId="723290D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 xml:space="preserve">         月平均值    ≤ 90 %</w:t>
      </w:r>
    </w:p>
    <w:p w14:paraId="506B3FE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地震烈度：低于8级</w:t>
      </w:r>
    </w:p>
    <w:p w14:paraId="68DC6E3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海拔高度：1000米以下</w:t>
      </w:r>
    </w:p>
    <w:p w14:paraId="061C573B">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3</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2.2 电气性能</w:t>
      </w:r>
    </w:p>
    <w:p w14:paraId="4381304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系统电压：10kV</w:t>
      </w:r>
    </w:p>
    <w:p w14:paraId="6622211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额定电压：12kV</w:t>
      </w:r>
    </w:p>
    <w:p w14:paraId="6F58A85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额定频率：50Hz</w:t>
      </w:r>
    </w:p>
    <w:p w14:paraId="345BBD3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额定电流：1250</w:t>
      </w:r>
      <w:r>
        <w:rPr>
          <w:rFonts w:hint="eastAsia" w:ascii="仿宋" w:hAnsi="仿宋" w:eastAsia="仿宋" w:cs="仿宋"/>
          <w:sz w:val="28"/>
          <w:szCs w:val="28"/>
          <w:lang w:val="en-US" w:eastAsia="zh-CN"/>
        </w:rPr>
        <w:t>A</w:t>
      </w:r>
    </w:p>
    <w:p w14:paraId="0357947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额定短时耐受电流及时间31.5- 40kA, 4S</w:t>
      </w:r>
    </w:p>
    <w:p w14:paraId="0C5D521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额定峰值耐受电流：  80-100 kA</w:t>
      </w:r>
    </w:p>
    <w:p w14:paraId="6AEE803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额定绝缘水平：</w:t>
      </w:r>
    </w:p>
    <w:p w14:paraId="246C9D6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工频耐压（50Hz, 1min）：42kV, 1min，</w:t>
      </w:r>
    </w:p>
    <w:p w14:paraId="0A07ACD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雷电冲击耐压： 75kV，</w:t>
      </w:r>
    </w:p>
    <w:p w14:paraId="57093A5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rPr>
      </w:pPr>
      <w:r>
        <w:rPr>
          <w:rFonts w:hint="eastAsia" w:ascii="仿宋" w:hAnsi="仿宋" w:eastAsia="仿宋" w:cs="仿宋"/>
          <w:sz w:val="28"/>
          <w:szCs w:val="28"/>
          <w:lang w:val="en-US" w:eastAsia="zh-CN"/>
        </w:rPr>
        <w:t>3</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2.3 操作顺序与辅助电压</w:t>
      </w:r>
    </w:p>
    <w:p w14:paraId="569D43E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trike/>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操作顺序：O- 0.3s - CO - 180s-CO           </w:t>
      </w:r>
    </w:p>
    <w:p w14:paraId="6F1B5F4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辅助电压：合分闸线圈：  110/220V DC or AC</w:t>
      </w:r>
    </w:p>
    <w:p w14:paraId="56CB0BD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储能电机：</w:t>
      </w:r>
      <w:r>
        <w:rPr>
          <w:rFonts w:hint="eastAsia" w:ascii="仿宋" w:hAnsi="仿宋" w:eastAsia="仿宋" w:cs="仿宋"/>
          <w:sz w:val="28"/>
          <w:szCs w:val="28"/>
        </w:rPr>
        <w:tab/>
      </w:r>
      <w:r>
        <w:rPr>
          <w:rFonts w:hint="eastAsia" w:ascii="仿宋" w:hAnsi="仿宋" w:eastAsia="仿宋" w:cs="仿宋"/>
          <w:sz w:val="28"/>
          <w:szCs w:val="28"/>
        </w:rPr>
        <w:t xml:space="preserve">  110/220V DC                                  </w:t>
      </w:r>
    </w:p>
    <w:p w14:paraId="4E4632C5">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2.4 安全距离</w:t>
      </w:r>
    </w:p>
    <w:p w14:paraId="2FB3FEC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相间距（中心距）：</w:t>
      </w:r>
      <w:r>
        <w:rPr>
          <w:rFonts w:hint="eastAsia" w:ascii="仿宋" w:hAnsi="仿宋" w:eastAsia="仿宋" w:cs="仿宋"/>
          <w:sz w:val="28"/>
          <w:szCs w:val="28"/>
        </w:rPr>
        <w:tab/>
      </w:r>
      <w:r>
        <w:rPr>
          <w:rFonts w:hint="eastAsia" w:ascii="仿宋" w:hAnsi="仿宋" w:eastAsia="仿宋" w:cs="仿宋"/>
          <w:sz w:val="28"/>
          <w:szCs w:val="28"/>
        </w:rPr>
        <w:t xml:space="preserve"> </w:t>
      </w:r>
      <w:r>
        <w:rPr>
          <w:rFonts w:hint="eastAsia" w:ascii="仿宋" w:hAnsi="仿宋" w:eastAsia="仿宋" w:cs="仿宋"/>
          <w:sz w:val="28"/>
          <w:szCs w:val="28"/>
          <w:lang w:eastAsia="zh-CN"/>
        </w:rPr>
        <w:t>（报价单位填写）</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p w14:paraId="52512FF2">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裸导体相间及对地空气距离：</w:t>
      </w:r>
      <w:r>
        <w:rPr>
          <w:rFonts w:hint="eastAsia" w:ascii="仿宋" w:hAnsi="仿宋" w:eastAsia="仿宋" w:cs="仿宋"/>
          <w:sz w:val="28"/>
          <w:szCs w:val="28"/>
          <w:lang w:eastAsia="zh-CN"/>
        </w:rPr>
        <w:t>（报价单位填写）</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p w14:paraId="242F86D2">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爬电距离：</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r>
        <w:rPr>
          <w:rFonts w:hint="eastAsia" w:ascii="仿宋" w:hAnsi="仿宋" w:eastAsia="仿宋" w:cs="仿宋"/>
          <w:sz w:val="28"/>
          <w:szCs w:val="28"/>
          <w:lang w:eastAsia="zh-CN"/>
        </w:rPr>
        <w:t>（报价单位填写）</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p w14:paraId="7E3A0AA8">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3.3</w:t>
      </w:r>
      <w:r>
        <w:rPr>
          <w:rFonts w:hint="eastAsia" w:ascii="仿宋" w:hAnsi="仿宋" w:eastAsia="仿宋" w:cs="仿宋"/>
          <w:b/>
          <w:bCs/>
          <w:sz w:val="28"/>
          <w:szCs w:val="28"/>
        </w:rPr>
        <w:t xml:space="preserve"> 详细技术参数</w:t>
      </w:r>
    </w:p>
    <w:tbl>
      <w:tblPr>
        <w:tblStyle w:val="9"/>
        <w:tblW w:w="0" w:type="auto"/>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4140"/>
        <w:gridCol w:w="4320"/>
      </w:tblGrid>
      <w:tr w14:paraId="260142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140" w:type="dxa"/>
            <w:tcBorders>
              <w:top w:val="single" w:color="auto" w:sz="4" w:space="0"/>
              <w:left w:val="single" w:color="auto" w:sz="4" w:space="0"/>
            </w:tcBorders>
            <w:noWrap w:val="0"/>
            <w:vAlign w:val="top"/>
          </w:tcPr>
          <w:p w14:paraId="5FCC4AF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 xml:space="preserve">    项  目</w:t>
            </w:r>
          </w:p>
        </w:tc>
        <w:tc>
          <w:tcPr>
            <w:tcW w:w="4320" w:type="dxa"/>
            <w:tcBorders>
              <w:top w:val="single" w:color="auto" w:sz="4" w:space="0"/>
              <w:right w:val="single" w:color="auto" w:sz="4" w:space="0"/>
            </w:tcBorders>
            <w:noWrap w:val="0"/>
            <w:vAlign w:val="top"/>
          </w:tcPr>
          <w:p w14:paraId="7C298B4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技术数据</w:t>
            </w:r>
          </w:p>
        </w:tc>
      </w:tr>
      <w:tr w14:paraId="0872DE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140" w:type="dxa"/>
            <w:tcBorders>
              <w:left w:val="single" w:color="auto" w:sz="4" w:space="0"/>
            </w:tcBorders>
            <w:noWrap w:val="0"/>
            <w:vAlign w:val="top"/>
          </w:tcPr>
          <w:p w14:paraId="676BA2C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灭弧室材料</w:t>
            </w:r>
          </w:p>
        </w:tc>
        <w:tc>
          <w:tcPr>
            <w:tcW w:w="4320" w:type="dxa"/>
            <w:tcBorders>
              <w:right w:val="single" w:color="auto" w:sz="4" w:space="0"/>
            </w:tcBorders>
            <w:noWrap w:val="0"/>
            <w:vAlign w:val="top"/>
          </w:tcPr>
          <w:p w14:paraId="7FF3B6E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陶瓷</w:t>
            </w:r>
          </w:p>
        </w:tc>
      </w:tr>
      <w:tr w14:paraId="387074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55" w:hRule="atLeast"/>
        </w:trPr>
        <w:tc>
          <w:tcPr>
            <w:tcW w:w="4140" w:type="dxa"/>
            <w:tcBorders>
              <w:left w:val="single" w:color="auto" w:sz="4" w:space="0"/>
              <w:bottom w:val="single" w:color="auto" w:sz="4" w:space="0"/>
            </w:tcBorders>
            <w:noWrap w:val="0"/>
            <w:vAlign w:val="top"/>
          </w:tcPr>
          <w:p w14:paraId="1DC5A57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触头间开距</w:t>
            </w:r>
          </w:p>
        </w:tc>
        <w:tc>
          <w:tcPr>
            <w:tcW w:w="4320" w:type="dxa"/>
            <w:tcBorders>
              <w:bottom w:val="single" w:color="auto" w:sz="4" w:space="0"/>
              <w:right w:val="single" w:color="auto" w:sz="4" w:space="0"/>
            </w:tcBorders>
            <w:noWrap w:val="0"/>
            <w:vAlign w:val="top"/>
          </w:tcPr>
          <w:p w14:paraId="199A71B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11+-1 mm</w:t>
            </w:r>
          </w:p>
        </w:tc>
      </w:tr>
      <w:tr w14:paraId="2B2BBA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25" w:hRule="atLeast"/>
        </w:trPr>
        <w:tc>
          <w:tcPr>
            <w:tcW w:w="4140" w:type="dxa"/>
            <w:tcBorders>
              <w:top w:val="single" w:color="auto" w:sz="4" w:space="0"/>
              <w:left w:val="single" w:color="auto" w:sz="4" w:space="0"/>
              <w:bottom w:val="single" w:color="auto" w:sz="4" w:space="0"/>
            </w:tcBorders>
            <w:noWrap w:val="0"/>
            <w:vAlign w:val="top"/>
          </w:tcPr>
          <w:p w14:paraId="7588954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开断时间</w:t>
            </w:r>
          </w:p>
        </w:tc>
        <w:tc>
          <w:tcPr>
            <w:tcW w:w="4320" w:type="dxa"/>
            <w:tcBorders>
              <w:top w:val="single" w:color="auto" w:sz="4" w:space="0"/>
              <w:bottom w:val="single" w:color="auto" w:sz="4" w:space="0"/>
              <w:right w:val="single" w:color="auto" w:sz="4" w:space="0"/>
            </w:tcBorders>
            <w:noWrap w:val="0"/>
            <w:vAlign w:val="top"/>
          </w:tcPr>
          <w:p w14:paraId="4751AFA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≤60ms</w:t>
            </w:r>
          </w:p>
        </w:tc>
      </w:tr>
      <w:tr w14:paraId="385A0B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39" w:hRule="atLeast"/>
        </w:trPr>
        <w:tc>
          <w:tcPr>
            <w:tcW w:w="4140" w:type="dxa"/>
            <w:tcBorders>
              <w:top w:val="nil"/>
              <w:left w:val="single" w:color="auto" w:sz="4" w:space="0"/>
              <w:bottom w:val="single" w:color="auto" w:sz="4" w:space="0"/>
            </w:tcBorders>
            <w:noWrap w:val="0"/>
            <w:vAlign w:val="top"/>
          </w:tcPr>
          <w:p w14:paraId="7F7D1C4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分闸时间</w:t>
            </w:r>
          </w:p>
        </w:tc>
        <w:tc>
          <w:tcPr>
            <w:tcW w:w="4320" w:type="dxa"/>
            <w:tcBorders>
              <w:top w:val="single" w:color="auto" w:sz="4" w:space="0"/>
              <w:bottom w:val="single" w:color="auto" w:sz="4" w:space="0"/>
              <w:right w:val="single" w:color="auto" w:sz="4" w:space="0"/>
            </w:tcBorders>
            <w:noWrap w:val="0"/>
            <w:vAlign w:val="top"/>
          </w:tcPr>
          <w:p w14:paraId="761EB92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≤45ms</w:t>
            </w:r>
          </w:p>
        </w:tc>
      </w:tr>
      <w:tr w14:paraId="7E152B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Pr>
        <w:tc>
          <w:tcPr>
            <w:tcW w:w="4140" w:type="dxa"/>
            <w:tcBorders>
              <w:top w:val="nil"/>
              <w:left w:val="single" w:color="auto" w:sz="4" w:space="0"/>
            </w:tcBorders>
            <w:noWrap w:val="0"/>
            <w:vAlign w:val="top"/>
          </w:tcPr>
          <w:p w14:paraId="2F06C7B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合闸时间</w:t>
            </w:r>
          </w:p>
        </w:tc>
        <w:tc>
          <w:tcPr>
            <w:tcW w:w="4320" w:type="dxa"/>
            <w:tcBorders>
              <w:top w:val="single" w:color="auto" w:sz="4" w:space="0"/>
              <w:right w:val="single" w:color="auto" w:sz="4" w:space="0"/>
            </w:tcBorders>
            <w:noWrap w:val="0"/>
            <w:vAlign w:val="top"/>
          </w:tcPr>
          <w:p w14:paraId="687B690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≤70ms</w:t>
            </w:r>
          </w:p>
        </w:tc>
      </w:tr>
      <w:tr w14:paraId="4F5E15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Pr>
        <w:tc>
          <w:tcPr>
            <w:tcW w:w="4140" w:type="dxa"/>
            <w:tcBorders>
              <w:top w:val="single" w:color="auto" w:sz="4" w:space="0"/>
              <w:left w:val="single" w:color="auto" w:sz="4" w:space="0"/>
            </w:tcBorders>
            <w:noWrap w:val="0"/>
            <w:vAlign w:val="top"/>
          </w:tcPr>
          <w:p w14:paraId="1114603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燃弧时间</w:t>
            </w:r>
          </w:p>
        </w:tc>
        <w:tc>
          <w:tcPr>
            <w:tcW w:w="4320" w:type="dxa"/>
            <w:tcBorders>
              <w:right w:val="single" w:color="auto" w:sz="4" w:space="0"/>
            </w:tcBorders>
            <w:noWrap w:val="0"/>
            <w:vAlign w:val="top"/>
          </w:tcPr>
          <w:p w14:paraId="5291010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≤15ms</w:t>
            </w:r>
          </w:p>
        </w:tc>
      </w:tr>
      <w:tr w14:paraId="3C03BC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140" w:type="dxa"/>
            <w:tcBorders>
              <w:left w:val="single" w:color="auto" w:sz="4" w:space="0"/>
            </w:tcBorders>
            <w:noWrap w:val="0"/>
            <w:vAlign w:val="top"/>
          </w:tcPr>
          <w:p w14:paraId="136CFAB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弹跳时间</w:t>
            </w:r>
          </w:p>
        </w:tc>
        <w:tc>
          <w:tcPr>
            <w:tcW w:w="4320" w:type="dxa"/>
            <w:tcBorders>
              <w:right w:val="single" w:color="auto" w:sz="4" w:space="0"/>
            </w:tcBorders>
            <w:noWrap w:val="0"/>
            <w:vAlign w:val="top"/>
          </w:tcPr>
          <w:p w14:paraId="3C834D6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≤2ms</w:t>
            </w:r>
          </w:p>
        </w:tc>
      </w:tr>
      <w:tr w14:paraId="00C525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140" w:type="dxa"/>
            <w:tcBorders>
              <w:left w:val="single" w:color="auto" w:sz="4" w:space="0"/>
            </w:tcBorders>
            <w:noWrap w:val="0"/>
            <w:vAlign w:val="top"/>
          </w:tcPr>
          <w:p w14:paraId="09C8D81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合分闸不同期最大时间</w:t>
            </w:r>
          </w:p>
        </w:tc>
        <w:tc>
          <w:tcPr>
            <w:tcW w:w="4320" w:type="dxa"/>
            <w:tcBorders>
              <w:right w:val="single" w:color="auto" w:sz="4" w:space="0"/>
            </w:tcBorders>
            <w:noWrap w:val="0"/>
            <w:vAlign w:val="top"/>
          </w:tcPr>
          <w:p w14:paraId="7B10C23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≤2ms</w:t>
            </w:r>
          </w:p>
        </w:tc>
      </w:tr>
      <w:tr w14:paraId="01D243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140" w:type="dxa"/>
            <w:tcBorders>
              <w:top w:val="single" w:color="auto" w:sz="4" w:space="0"/>
              <w:left w:val="single" w:color="auto" w:sz="4" w:space="0"/>
            </w:tcBorders>
            <w:noWrap w:val="0"/>
            <w:vAlign w:val="top"/>
          </w:tcPr>
          <w:p w14:paraId="7094FE9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额定单个电容器组开断电流</w:t>
            </w:r>
          </w:p>
        </w:tc>
        <w:tc>
          <w:tcPr>
            <w:tcW w:w="4320" w:type="dxa"/>
            <w:tcBorders>
              <w:top w:val="single" w:color="auto" w:sz="4" w:space="0"/>
              <w:right w:val="single" w:color="auto" w:sz="4" w:space="0"/>
            </w:tcBorders>
            <w:noWrap w:val="0"/>
            <w:vAlign w:val="top"/>
          </w:tcPr>
          <w:p w14:paraId="53941C6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630A</w:t>
            </w:r>
          </w:p>
        </w:tc>
      </w:tr>
      <w:tr w14:paraId="2EC5ED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140" w:type="dxa"/>
            <w:tcBorders>
              <w:top w:val="single" w:color="auto" w:sz="4" w:space="0"/>
              <w:left w:val="single" w:color="auto" w:sz="4" w:space="0"/>
            </w:tcBorders>
            <w:noWrap w:val="0"/>
            <w:vAlign w:val="top"/>
          </w:tcPr>
          <w:p w14:paraId="56D6301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额定背对背电容器组开断电流</w:t>
            </w:r>
          </w:p>
        </w:tc>
        <w:tc>
          <w:tcPr>
            <w:tcW w:w="4320" w:type="dxa"/>
            <w:tcBorders>
              <w:top w:val="single" w:color="auto" w:sz="4" w:space="0"/>
              <w:right w:val="single" w:color="auto" w:sz="4" w:space="0"/>
            </w:tcBorders>
            <w:noWrap w:val="0"/>
            <w:vAlign w:val="top"/>
          </w:tcPr>
          <w:p w14:paraId="22270EB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400A</w:t>
            </w:r>
          </w:p>
        </w:tc>
      </w:tr>
      <w:tr w14:paraId="410BA6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140" w:type="dxa"/>
            <w:tcBorders>
              <w:left w:val="single" w:color="auto" w:sz="4" w:space="0"/>
            </w:tcBorders>
            <w:noWrap w:val="0"/>
            <w:vAlign w:val="top"/>
          </w:tcPr>
          <w:p w14:paraId="352B430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储能电机功率</w:t>
            </w:r>
          </w:p>
        </w:tc>
        <w:tc>
          <w:tcPr>
            <w:tcW w:w="4320" w:type="dxa"/>
            <w:tcBorders>
              <w:right w:val="single" w:color="auto" w:sz="4" w:space="0"/>
            </w:tcBorders>
            <w:noWrap w:val="0"/>
            <w:vAlign w:val="top"/>
          </w:tcPr>
          <w:p w14:paraId="6CE9553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75W</w:t>
            </w:r>
          </w:p>
        </w:tc>
      </w:tr>
      <w:tr w14:paraId="0BD20F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0" w:hRule="atLeast"/>
        </w:trPr>
        <w:tc>
          <w:tcPr>
            <w:tcW w:w="4140" w:type="dxa"/>
            <w:tcBorders>
              <w:top w:val="single" w:color="auto" w:sz="4" w:space="0"/>
              <w:left w:val="single" w:color="auto" w:sz="4" w:space="0"/>
              <w:bottom w:val="single" w:color="auto" w:sz="4" w:space="0"/>
            </w:tcBorders>
            <w:noWrap w:val="0"/>
            <w:vAlign w:val="top"/>
          </w:tcPr>
          <w:p w14:paraId="3BB9FDB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合闸线圈操作电压范围</w:t>
            </w:r>
          </w:p>
        </w:tc>
        <w:tc>
          <w:tcPr>
            <w:tcW w:w="4320" w:type="dxa"/>
            <w:tcBorders>
              <w:top w:val="single" w:color="auto" w:sz="4" w:space="0"/>
              <w:bottom w:val="single" w:color="auto" w:sz="4" w:space="0"/>
              <w:right w:val="single" w:color="auto" w:sz="4" w:space="0"/>
            </w:tcBorders>
            <w:noWrap w:val="0"/>
            <w:vAlign w:val="top"/>
          </w:tcPr>
          <w:p w14:paraId="5CECA9E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85%～110%</w:t>
            </w:r>
          </w:p>
        </w:tc>
      </w:tr>
      <w:tr w14:paraId="1C0E64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0" w:hRule="atLeast"/>
        </w:trPr>
        <w:tc>
          <w:tcPr>
            <w:tcW w:w="4140" w:type="dxa"/>
            <w:tcBorders>
              <w:top w:val="single" w:color="auto" w:sz="4" w:space="0"/>
              <w:left w:val="single" w:color="auto" w:sz="4" w:space="0"/>
              <w:bottom w:val="single" w:color="auto" w:sz="4" w:space="0"/>
            </w:tcBorders>
            <w:noWrap w:val="0"/>
            <w:vAlign w:val="top"/>
          </w:tcPr>
          <w:p w14:paraId="01D735B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分闸线圈操作电压范围</w:t>
            </w:r>
          </w:p>
        </w:tc>
        <w:tc>
          <w:tcPr>
            <w:tcW w:w="4320" w:type="dxa"/>
            <w:tcBorders>
              <w:top w:val="single" w:color="auto" w:sz="4" w:space="0"/>
              <w:bottom w:val="single" w:color="auto" w:sz="4" w:space="0"/>
              <w:right w:val="single" w:color="auto" w:sz="4" w:space="0"/>
            </w:tcBorders>
            <w:noWrap w:val="0"/>
            <w:vAlign w:val="top"/>
          </w:tcPr>
          <w:p w14:paraId="1156794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65%～120%</w:t>
            </w:r>
          </w:p>
        </w:tc>
      </w:tr>
      <w:tr w14:paraId="7A84B8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Pr>
        <w:tc>
          <w:tcPr>
            <w:tcW w:w="4140" w:type="dxa"/>
            <w:tcBorders>
              <w:top w:val="nil"/>
              <w:left w:val="single" w:color="auto" w:sz="4" w:space="0"/>
            </w:tcBorders>
            <w:noWrap w:val="0"/>
            <w:vAlign w:val="top"/>
          </w:tcPr>
          <w:p w14:paraId="1E4674D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额定电流开断次数</w:t>
            </w:r>
          </w:p>
        </w:tc>
        <w:tc>
          <w:tcPr>
            <w:tcW w:w="4320" w:type="dxa"/>
            <w:tcBorders>
              <w:top w:val="single" w:color="auto" w:sz="4" w:space="0"/>
              <w:right w:val="single" w:color="auto" w:sz="4" w:space="0"/>
            </w:tcBorders>
            <w:noWrap w:val="0"/>
            <w:vAlign w:val="top"/>
          </w:tcPr>
          <w:p w14:paraId="0F55272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10000  6000次</w:t>
            </w:r>
          </w:p>
        </w:tc>
      </w:tr>
      <w:tr w14:paraId="0B25B4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140" w:type="dxa"/>
            <w:tcBorders>
              <w:left w:val="single" w:color="auto" w:sz="4" w:space="0"/>
            </w:tcBorders>
            <w:noWrap w:val="0"/>
            <w:vAlign w:val="top"/>
          </w:tcPr>
          <w:p w14:paraId="536C819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额定短路电流开断次数</w:t>
            </w:r>
          </w:p>
        </w:tc>
        <w:tc>
          <w:tcPr>
            <w:tcW w:w="4320" w:type="dxa"/>
            <w:tcBorders>
              <w:right w:val="single" w:color="auto" w:sz="4" w:space="0"/>
            </w:tcBorders>
            <w:noWrap w:val="0"/>
            <w:vAlign w:val="top"/>
          </w:tcPr>
          <w:p w14:paraId="126E298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50（30）次</w:t>
            </w:r>
          </w:p>
        </w:tc>
      </w:tr>
      <w:tr w14:paraId="614D20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28" w:hRule="atLeast"/>
        </w:trPr>
        <w:tc>
          <w:tcPr>
            <w:tcW w:w="4140" w:type="dxa"/>
            <w:tcBorders>
              <w:left w:val="single" w:color="auto" w:sz="4" w:space="0"/>
              <w:bottom w:val="single" w:color="auto" w:sz="4" w:space="0"/>
            </w:tcBorders>
            <w:noWrap w:val="0"/>
            <w:vAlign w:val="top"/>
          </w:tcPr>
          <w:p w14:paraId="1151CD0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机械寿命</w:t>
            </w:r>
          </w:p>
        </w:tc>
        <w:tc>
          <w:tcPr>
            <w:tcW w:w="4320" w:type="dxa"/>
            <w:tcBorders>
              <w:bottom w:val="single" w:color="auto" w:sz="4" w:space="0"/>
              <w:right w:val="single" w:color="auto" w:sz="4" w:space="0"/>
            </w:tcBorders>
            <w:noWrap w:val="0"/>
            <w:vAlign w:val="top"/>
          </w:tcPr>
          <w:p w14:paraId="0B62209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20000 次</w:t>
            </w:r>
          </w:p>
        </w:tc>
      </w:tr>
    </w:tbl>
    <w:p w14:paraId="5D5AB3D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注：括号中数值为储能式脱扣器分闸时的参数</w:t>
      </w:r>
    </w:p>
    <w:p w14:paraId="5EB1243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操动机构的技术数据</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9"/>
        <w:gridCol w:w="1613"/>
        <w:gridCol w:w="1433"/>
        <w:gridCol w:w="3225"/>
      </w:tblGrid>
      <w:tr w14:paraId="238C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62" w:type="dxa"/>
            <w:gridSpan w:val="2"/>
            <w:noWrap w:val="0"/>
            <w:vAlign w:val="top"/>
          </w:tcPr>
          <w:p w14:paraId="6D98FCD8">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szCs w:val="21"/>
              </w:rPr>
            </w:pPr>
            <w:r>
              <w:rPr>
                <w:rFonts w:hint="eastAsia" w:ascii="仿宋" w:hAnsi="仿宋" w:eastAsia="仿宋" w:cs="仿宋"/>
                <w:szCs w:val="21"/>
              </w:rPr>
              <w:t>项          目</w:t>
            </w:r>
          </w:p>
        </w:tc>
        <w:tc>
          <w:tcPr>
            <w:tcW w:w="1433" w:type="dxa"/>
            <w:noWrap w:val="0"/>
            <w:vAlign w:val="top"/>
          </w:tcPr>
          <w:p w14:paraId="1464FAF4">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szCs w:val="21"/>
              </w:rPr>
            </w:pPr>
            <w:r>
              <w:rPr>
                <w:rFonts w:hint="eastAsia" w:ascii="仿宋" w:hAnsi="仿宋" w:eastAsia="仿宋" w:cs="仿宋"/>
                <w:szCs w:val="21"/>
              </w:rPr>
              <w:t>单 位</w:t>
            </w:r>
          </w:p>
        </w:tc>
        <w:tc>
          <w:tcPr>
            <w:tcW w:w="3225" w:type="dxa"/>
            <w:noWrap w:val="0"/>
            <w:vAlign w:val="top"/>
          </w:tcPr>
          <w:p w14:paraId="5E45FFD7">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szCs w:val="21"/>
              </w:rPr>
            </w:pPr>
            <w:r>
              <w:rPr>
                <w:rFonts w:hint="eastAsia" w:ascii="仿宋" w:hAnsi="仿宋" w:eastAsia="仿宋" w:cs="仿宋"/>
                <w:szCs w:val="21"/>
              </w:rPr>
              <w:t>参      数</w:t>
            </w:r>
          </w:p>
        </w:tc>
      </w:tr>
      <w:tr w14:paraId="37FC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49" w:type="dxa"/>
            <w:vMerge w:val="restart"/>
            <w:noWrap w:val="0"/>
            <w:vAlign w:val="center"/>
          </w:tcPr>
          <w:p w14:paraId="772CC8F5">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仿宋" w:hAnsi="仿宋" w:eastAsia="仿宋" w:cs="仿宋"/>
                <w:szCs w:val="21"/>
              </w:rPr>
            </w:pPr>
            <w:r>
              <w:rPr>
                <w:rFonts w:hint="eastAsia" w:ascii="仿宋" w:hAnsi="仿宋" w:eastAsia="仿宋" w:cs="仿宋"/>
                <w:szCs w:val="21"/>
              </w:rPr>
              <w:t>额定操作电压</w:t>
            </w:r>
          </w:p>
        </w:tc>
        <w:tc>
          <w:tcPr>
            <w:tcW w:w="1613" w:type="dxa"/>
            <w:noWrap w:val="0"/>
            <w:vAlign w:val="top"/>
          </w:tcPr>
          <w:p w14:paraId="4781B83E">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szCs w:val="21"/>
              </w:rPr>
            </w:pPr>
            <w:r>
              <w:rPr>
                <w:rFonts w:hint="eastAsia" w:ascii="仿宋" w:hAnsi="仿宋" w:eastAsia="仿宋" w:cs="仿宋"/>
                <w:szCs w:val="21"/>
              </w:rPr>
              <w:t>合闸线圈</w:t>
            </w:r>
          </w:p>
        </w:tc>
        <w:tc>
          <w:tcPr>
            <w:tcW w:w="1433" w:type="dxa"/>
            <w:noWrap w:val="0"/>
            <w:vAlign w:val="top"/>
          </w:tcPr>
          <w:p w14:paraId="488740EE">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szCs w:val="21"/>
              </w:rPr>
            </w:pPr>
            <w:r>
              <w:rPr>
                <w:rFonts w:hint="eastAsia" w:ascii="仿宋" w:hAnsi="仿宋" w:eastAsia="仿宋" w:cs="仿宋"/>
                <w:szCs w:val="21"/>
              </w:rPr>
              <w:t>V</w:t>
            </w:r>
          </w:p>
        </w:tc>
        <w:tc>
          <w:tcPr>
            <w:tcW w:w="3225" w:type="dxa"/>
            <w:vMerge w:val="restart"/>
            <w:noWrap w:val="0"/>
            <w:vAlign w:val="top"/>
          </w:tcPr>
          <w:p w14:paraId="16F09F49">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仿宋" w:hAnsi="仿宋" w:eastAsia="仿宋" w:cs="仿宋"/>
                <w:szCs w:val="21"/>
              </w:rPr>
            </w:pPr>
            <w:r>
              <w:rPr>
                <w:rFonts w:hint="eastAsia" w:ascii="仿宋" w:hAnsi="仿宋" w:eastAsia="仿宋" w:cs="仿宋"/>
                <w:szCs w:val="21"/>
              </w:rPr>
              <w:t>DC220，110</w:t>
            </w:r>
          </w:p>
          <w:p w14:paraId="205A86AF">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仿宋" w:hAnsi="仿宋" w:eastAsia="仿宋" w:cs="仿宋"/>
                <w:szCs w:val="21"/>
              </w:rPr>
            </w:pPr>
            <w:r>
              <w:rPr>
                <w:rFonts w:hint="eastAsia" w:ascii="仿宋" w:hAnsi="仿宋" w:eastAsia="仿宋" w:cs="仿宋"/>
                <w:szCs w:val="21"/>
              </w:rPr>
              <w:t>AC220，110</w:t>
            </w:r>
          </w:p>
        </w:tc>
      </w:tr>
      <w:tr w14:paraId="51A9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2149" w:type="dxa"/>
            <w:vMerge w:val="continue"/>
            <w:noWrap w:val="0"/>
            <w:vAlign w:val="top"/>
          </w:tcPr>
          <w:p w14:paraId="534281D2">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仿宋" w:hAnsi="仿宋" w:eastAsia="仿宋" w:cs="仿宋"/>
                <w:szCs w:val="21"/>
              </w:rPr>
            </w:pPr>
          </w:p>
        </w:tc>
        <w:tc>
          <w:tcPr>
            <w:tcW w:w="1613" w:type="dxa"/>
            <w:noWrap w:val="0"/>
            <w:vAlign w:val="top"/>
          </w:tcPr>
          <w:p w14:paraId="2E5204AB">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szCs w:val="21"/>
              </w:rPr>
            </w:pPr>
            <w:r>
              <w:rPr>
                <w:rFonts w:hint="eastAsia" w:ascii="仿宋" w:hAnsi="仿宋" w:eastAsia="仿宋" w:cs="仿宋"/>
                <w:szCs w:val="21"/>
              </w:rPr>
              <w:t>分闸线圈</w:t>
            </w:r>
          </w:p>
        </w:tc>
        <w:tc>
          <w:tcPr>
            <w:tcW w:w="1433" w:type="dxa"/>
            <w:noWrap w:val="0"/>
            <w:vAlign w:val="top"/>
          </w:tcPr>
          <w:p w14:paraId="5289164A">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szCs w:val="21"/>
              </w:rPr>
            </w:pPr>
            <w:r>
              <w:rPr>
                <w:rFonts w:hint="eastAsia" w:ascii="仿宋" w:hAnsi="仿宋" w:eastAsia="仿宋" w:cs="仿宋"/>
                <w:szCs w:val="21"/>
              </w:rPr>
              <w:t>V</w:t>
            </w:r>
          </w:p>
        </w:tc>
        <w:tc>
          <w:tcPr>
            <w:tcW w:w="3225" w:type="dxa"/>
            <w:vMerge w:val="continue"/>
            <w:noWrap w:val="0"/>
            <w:vAlign w:val="top"/>
          </w:tcPr>
          <w:p w14:paraId="4495EE4E">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仿宋" w:hAnsi="仿宋" w:eastAsia="仿宋" w:cs="仿宋"/>
                <w:szCs w:val="21"/>
              </w:rPr>
            </w:pPr>
          </w:p>
        </w:tc>
      </w:tr>
      <w:tr w14:paraId="2756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49" w:type="dxa"/>
            <w:vMerge w:val="restart"/>
            <w:noWrap w:val="0"/>
            <w:vAlign w:val="center"/>
          </w:tcPr>
          <w:p w14:paraId="4FB39B8A">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仿宋" w:hAnsi="仿宋" w:eastAsia="仿宋" w:cs="仿宋"/>
                <w:szCs w:val="21"/>
              </w:rPr>
            </w:pPr>
            <w:r>
              <w:rPr>
                <w:rFonts w:hint="eastAsia" w:ascii="仿宋" w:hAnsi="仿宋" w:eastAsia="仿宋" w:cs="仿宋"/>
                <w:szCs w:val="21"/>
              </w:rPr>
              <w:t>线圈功率</w:t>
            </w:r>
          </w:p>
        </w:tc>
        <w:tc>
          <w:tcPr>
            <w:tcW w:w="1613" w:type="dxa"/>
            <w:noWrap w:val="0"/>
            <w:vAlign w:val="top"/>
          </w:tcPr>
          <w:p w14:paraId="40093851">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szCs w:val="21"/>
              </w:rPr>
            </w:pPr>
            <w:r>
              <w:rPr>
                <w:rFonts w:hint="eastAsia" w:ascii="仿宋" w:hAnsi="仿宋" w:eastAsia="仿宋" w:cs="仿宋"/>
                <w:szCs w:val="21"/>
              </w:rPr>
              <w:t>合闸线圈</w:t>
            </w:r>
          </w:p>
        </w:tc>
        <w:tc>
          <w:tcPr>
            <w:tcW w:w="1433" w:type="dxa"/>
            <w:noWrap w:val="0"/>
            <w:vAlign w:val="top"/>
          </w:tcPr>
          <w:p w14:paraId="3789E36F">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szCs w:val="21"/>
              </w:rPr>
            </w:pPr>
            <w:r>
              <w:rPr>
                <w:rFonts w:hint="eastAsia" w:ascii="仿宋" w:hAnsi="仿宋" w:eastAsia="仿宋" w:cs="仿宋"/>
                <w:szCs w:val="21"/>
              </w:rPr>
              <w:t>W</w:t>
            </w:r>
          </w:p>
        </w:tc>
        <w:tc>
          <w:tcPr>
            <w:tcW w:w="3225" w:type="dxa"/>
            <w:vMerge w:val="restart"/>
            <w:noWrap w:val="0"/>
            <w:vAlign w:val="top"/>
          </w:tcPr>
          <w:p w14:paraId="1BB8CE02">
            <w:pPr>
              <w:keepNext w:val="0"/>
              <w:keepLines w:val="0"/>
              <w:pageBreakBefore w:val="0"/>
              <w:widowControl w:val="0"/>
              <w:kinsoku/>
              <w:wordWrap/>
              <w:overflowPunct/>
              <w:topLinePunct w:val="0"/>
              <w:autoSpaceDE/>
              <w:autoSpaceDN/>
              <w:bidi w:val="0"/>
              <w:adjustRightInd/>
              <w:snapToGrid/>
              <w:spacing w:before="156" w:beforeLines="50" w:line="280" w:lineRule="exact"/>
              <w:ind w:firstLine="0" w:firstLineChars="0"/>
              <w:textAlignment w:val="auto"/>
              <w:rPr>
                <w:rFonts w:hint="eastAsia" w:ascii="仿宋" w:hAnsi="仿宋" w:eastAsia="仿宋" w:cs="仿宋"/>
                <w:szCs w:val="21"/>
              </w:rPr>
            </w:pPr>
            <w:r>
              <w:rPr>
                <w:rFonts w:hint="eastAsia" w:ascii="仿宋" w:hAnsi="仿宋" w:eastAsia="仿宋" w:cs="仿宋"/>
                <w:szCs w:val="21"/>
              </w:rPr>
              <w:t xml:space="preserve">       245</w:t>
            </w:r>
          </w:p>
        </w:tc>
      </w:tr>
      <w:tr w14:paraId="6FD78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49" w:type="dxa"/>
            <w:vMerge w:val="continue"/>
            <w:noWrap w:val="0"/>
            <w:vAlign w:val="top"/>
          </w:tcPr>
          <w:p w14:paraId="33B52D6D">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仿宋" w:hAnsi="仿宋" w:eastAsia="仿宋" w:cs="仿宋"/>
                <w:szCs w:val="21"/>
              </w:rPr>
            </w:pPr>
          </w:p>
        </w:tc>
        <w:tc>
          <w:tcPr>
            <w:tcW w:w="1613" w:type="dxa"/>
            <w:noWrap w:val="0"/>
            <w:vAlign w:val="top"/>
          </w:tcPr>
          <w:p w14:paraId="637284BC">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szCs w:val="21"/>
              </w:rPr>
            </w:pPr>
            <w:r>
              <w:rPr>
                <w:rFonts w:hint="eastAsia" w:ascii="仿宋" w:hAnsi="仿宋" w:eastAsia="仿宋" w:cs="仿宋"/>
                <w:szCs w:val="21"/>
              </w:rPr>
              <w:t>分闸线圈</w:t>
            </w:r>
          </w:p>
        </w:tc>
        <w:tc>
          <w:tcPr>
            <w:tcW w:w="1433" w:type="dxa"/>
            <w:noWrap w:val="0"/>
            <w:vAlign w:val="top"/>
          </w:tcPr>
          <w:p w14:paraId="0D4F7876">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szCs w:val="21"/>
              </w:rPr>
            </w:pPr>
            <w:r>
              <w:rPr>
                <w:rFonts w:hint="eastAsia" w:ascii="仿宋" w:hAnsi="仿宋" w:eastAsia="仿宋" w:cs="仿宋"/>
                <w:szCs w:val="21"/>
              </w:rPr>
              <w:t>W</w:t>
            </w:r>
          </w:p>
        </w:tc>
        <w:tc>
          <w:tcPr>
            <w:tcW w:w="3225" w:type="dxa"/>
            <w:vMerge w:val="continue"/>
            <w:noWrap w:val="0"/>
            <w:vAlign w:val="top"/>
          </w:tcPr>
          <w:p w14:paraId="4C619D2A">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仿宋" w:hAnsi="仿宋" w:eastAsia="仿宋" w:cs="仿宋"/>
                <w:szCs w:val="21"/>
              </w:rPr>
            </w:pPr>
          </w:p>
        </w:tc>
      </w:tr>
      <w:tr w14:paraId="7790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gridSpan w:val="2"/>
            <w:noWrap w:val="0"/>
            <w:vAlign w:val="center"/>
          </w:tcPr>
          <w:p w14:paraId="02FA6C8D">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仿宋" w:hAnsi="仿宋" w:eastAsia="仿宋" w:cs="仿宋"/>
                <w:szCs w:val="21"/>
              </w:rPr>
            </w:pPr>
            <w:r>
              <w:rPr>
                <w:rFonts w:hint="eastAsia" w:ascii="仿宋" w:hAnsi="仿宋" w:eastAsia="仿宋" w:cs="仿宋"/>
                <w:szCs w:val="21"/>
              </w:rPr>
              <w:t>储能电机功率</w:t>
            </w:r>
          </w:p>
        </w:tc>
        <w:tc>
          <w:tcPr>
            <w:tcW w:w="1433" w:type="dxa"/>
            <w:noWrap w:val="0"/>
            <w:vAlign w:val="top"/>
          </w:tcPr>
          <w:p w14:paraId="0EE76708">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szCs w:val="21"/>
              </w:rPr>
            </w:pPr>
            <w:r>
              <w:rPr>
                <w:rFonts w:hint="eastAsia" w:ascii="仿宋" w:hAnsi="仿宋" w:eastAsia="仿宋" w:cs="仿宋"/>
                <w:szCs w:val="21"/>
              </w:rPr>
              <w:t>W</w:t>
            </w:r>
          </w:p>
        </w:tc>
        <w:tc>
          <w:tcPr>
            <w:tcW w:w="3225" w:type="dxa"/>
            <w:noWrap w:val="0"/>
            <w:vAlign w:val="top"/>
          </w:tcPr>
          <w:p w14:paraId="408EF15A">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仿宋" w:hAnsi="仿宋" w:eastAsia="仿宋" w:cs="仿宋"/>
                <w:szCs w:val="21"/>
              </w:rPr>
            </w:pPr>
            <w:r>
              <w:rPr>
                <w:rFonts w:hint="eastAsia" w:ascii="仿宋" w:hAnsi="仿宋" w:eastAsia="仿宋" w:cs="仿宋"/>
                <w:szCs w:val="21"/>
              </w:rPr>
              <w:t xml:space="preserve">       70</w:t>
            </w:r>
          </w:p>
        </w:tc>
      </w:tr>
      <w:tr w14:paraId="3BA0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gridSpan w:val="2"/>
            <w:noWrap w:val="0"/>
            <w:vAlign w:val="center"/>
          </w:tcPr>
          <w:p w14:paraId="79A6F9CB">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仿宋" w:hAnsi="仿宋" w:eastAsia="仿宋" w:cs="仿宋"/>
                <w:szCs w:val="21"/>
              </w:rPr>
            </w:pPr>
            <w:r>
              <w:rPr>
                <w:rFonts w:hint="eastAsia" w:ascii="仿宋" w:hAnsi="仿宋" w:eastAsia="仿宋" w:cs="仿宋"/>
                <w:szCs w:val="21"/>
              </w:rPr>
              <w:t>储能电机额定电压</w:t>
            </w:r>
          </w:p>
        </w:tc>
        <w:tc>
          <w:tcPr>
            <w:tcW w:w="1433" w:type="dxa"/>
            <w:noWrap w:val="0"/>
            <w:vAlign w:val="top"/>
          </w:tcPr>
          <w:p w14:paraId="0B910B41">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szCs w:val="21"/>
              </w:rPr>
            </w:pPr>
            <w:r>
              <w:rPr>
                <w:rFonts w:hint="eastAsia" w:ascii="仿宋" w:hAnsi="仿宋" w:eastAsia="仿宋" w:cs="仿宋"/>
                <w:szCs w:val="21"/>
              </w:rPr>
              <w:t>V</w:t>
            </w:r>
          </w:p>
        </w:tc>
        <w:tc>
          <w:tcPr>
            <w:tcW w:w="3225" w:type="dxa"/>
            <w:noWrap w:val="0"/>
            <w:vAlign w:val="top"/>
          </w:tcPr>
          <w:p w14:paraId="1BD36E74">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仿宋" w:hAnsi="仿宋" w:eastAsia="仿宋" w:cs="仿宋"/>
                <w:szCs w:val="21"/>
              </w:rPr>
            </w:pPr>
            <w:r>
              <w:rPr>
                <w:rFonts w:hint="eastAsia" w:ascii="仿宋" w:hAnsi="仿宋" w:eastAsia="仿宋" w:cs="仿宋"/>
                <w:szCs w:val="21"/>
              </w:rPr>
              <w:t>DC220，110</w:t>
            </w:r>
          </w:p>
        </w:tc>
      </w:tr>
      <w:tr w14:paraId="4206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gridSpan w:val="2"/>
            <w:noWrap w:val="0"/>
            <w:vAlign w:val="center"/>
          </w:tcPr>
          <w:p w14:paraId="0F3F1164">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仿宋" w:hAnsi="仿宋" w:eastAsia="仿宋" w:cs="仿宋"/>
                <w:szCs w:val="21"/>
              </w:rPr>
            </w:pPr>
            <w:r>
              <w:rPr>
                <w:rFonts w:hint="eastAsia" w:ascii="仿宋" w:hAnsi="仿宋" w:eastAsia="仿宋" w:cs="仿宋"/>
                <w:szCs w:val="21"/>
              </w:rPr>
              <w:t>储能时间</w:t>
            </w:r>
          </w:p>
        </w:tc>
        <w:tc>
          <w:tcPr>
            <w:tcW w:w="1433" w:type="dxa"/>
            <w:noWrap w:val="0"/>
            <w:vAlign w:val="top"/>
          </w:tcPr>
          <w:p w14:paraId="60884565">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szCs w:val="21"/>
              </w:rPr>
            </w:pPr>
            <w:r>
              <w:rPr>
                <w:rFonts w:hint="eastAsia" w:ascii="仿宋" w:hAnsi="仿宋" w:eastAsia="仿宋" w:cs="仿宋"/>
                <w:szCs w:val="21"/>
              </w:rPr>
              <w:t>s</w:t>
            </w:r>
          </w:p>
        </w:tc>
        <w:tc>
          <w:tcPr>
            <w:tcW w:w="3225" w:type="dxa"/>
            <w:noWrap w:val="0"/>
            <w:vAlign w:val="top"/>
          </w:tcPr>
          <w:p w14:paraId="2FB1785A">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仿宋" w:hAnsi="仿宋" w:eastAsia="仿宋" w:cs="仿宋"/>
                <w:szCs w:val="21"/>
              </w:rPr>
            </w:pPr>
            <w:r>
              <w:rPr>
                <w:rFonts w:hint="eastAsia" w:ascii="仿宋" w:hAnsi="仿宋" w:eastAsia="仿宋" w:cs="仿宋"/>
                <w:szCs w:val="21"/>
              </w:rPr>
              <w:t>≤15</w:t>
            </w:r>
          </w:p>
        </w:tc>
      </w:tr>
    </w:tbl>
    <w:p w14:paraId="3648BA66">
      <w:pPr>
        <w:keepNext w:val="0"/>
        <w:keepLines w:val="0"/>
        <w:pageBreakBefore w:val="0"/>
        <w:widowControl w:val="0"/>
        <w:kinsoku/>
        <w:wordWrap/>
        <w:overflowPunct/>
        <w:topLinePunct w:val="0"/>
        <w:autoSpaceDE/>
        <w:autoSpaceDN/>
        <w:bidi w:val="0"/>
        <w:adjustRightInd/>
        <w:snapToGrid/>
        <w:spacing w:before="157" w:beforeLines="50"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 xml:space="preserve"> 真空断路器构成</w:t>
      </w:r>
    </w:p>
    <w:p w14:paraId="0D0E732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断路器的基本配置由以下部分组成：</w:t>
      </w:r>
    </w:p>
    <w:p w14:paraId="3B000A9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三相独立的中间封接式纵磁场真空灭弧室，真空泡选用陕西宝光产品</w:t>
      </w:r>
    </w:p>
    <w:p w14:paraId="75F6350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电动（手动）弹簧操作机构</w:t>
      </w:r>
    </w:p>
    <w:p w14:paraId="250BCD2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底盘车（包括推进机构、连锁机构、行程开关等）</w:t>
      </w:r>
    </w:p>
    <w:p w14:paraId="12E0C06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一次动插头</w:t>
      </w:r>
    </w:p>
    <w:p w14:paraId="0DEDAE4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分合闸线圈各1支</w:t>
      </w:r>
    </w:p>
    <w:p w14:paraId="033BCA4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4对常开/常闭辅助接点</w:t>
      </w:r>
    </w:p>
    <w:p w14:paraId="2E0884C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手动储能手柄</w:t>
      </w:r>
    </w:p>
    <w:p w14:paraId="36DFE37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操作次数计数器</w:t>
      </w:r>
    </w:p>
    <w:p w14:paraId="4FB964E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6只触臂及6只动触头</w:t>
      </w:r>
    </w:p>
    <w:p w14:paraId="64260CE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低压控制插头</w:t>
      </w:r>
    </w:p>
    <w:p w14:paraId="034321D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用于承载及推进推出断路器的底盘小车</w:t>
      </w:r>
    </w:p>
    <w:p w14:paraId="6C5C7B51">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 xml:space="preserve">  试验</w:t>
      </w:r>
    </w:p>
    <w:p w14:paraId="5DBA174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① 型式试验</w:t>
      </w:r>
    </w:p>
    <w:p w14:paraId="6522732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依据有关国家标准在西安高压电器研究所进行型式试验，并取得试验报告。</w:t>
      </w:r>
    </w:p>
    <w:p w14:paraId="370AB98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② 每台断路器均经包含如下项目的出厂试验：</w:t>
      </w:r>
    </w:p>
    <w:p w14:paraId="285B7F5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结构检查</w:t>
      </w:r>
    </w:p>
    <w:p w14:paraId="79D13CA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真空断口、相间及对地工频耐压试验 </w:t>
      </w:r>
    </w:p>
    <w:p w14:paraId="6C98D04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断路器低电压试验</w:t>
      </w:r>
    </w:p>
    <w:p w14:paraId="299CE84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分合闸时间</w:t>
      </w:r>
    </w:p>
    <w:p w14:paraId="39B6C87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分合闸不同期</w:t>
      </w:r>
    </w:p>
    <w:p w14:paraId="1BF3BAC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弹跳时间</w:t>
      </w:r>
    </w:p>
    <w:p w14:paraId="0CA0EE9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辅助回路耐压试验</w:t>
      </w:r>
    </w:p>
    <w:p w14:paraId="706C246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主回路电阻测量</w:t>
      </w:r>
    </w:p>
    <w:p w14:paraId="61620CC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断路器手车互换性试验</w:t>
      </w:r>
    </w:p>
    <w:p w14:paraId="6984253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SYMBOL 110 \f "Wingdings" \s 11 \h</w:instrText>
      </w:r>
      <w:r>
        <w:rPr>
          <w:rFonts w:hint="eastAsia" w:ascii="仿宋" w:hAnsi="仿宋" w:eastAsia="仿宋" w:cs="仿宋"/>
          <w:sz w:val="28"/>
          <w:szCs w:val="28"/>
        </w:rPr>
        <w:fldChar w:fldCharType="end"/>
      </w:r>
      <w:r>
        <w:rPr>
          <w:rFonts w:hint="eastAsia" w:ascii="仿宋" w:hAnsi="仿宋" w:eastAsia="仿宋" w:cs="仿宋"/>
          <w:sz w:val="28"/>
          <w:szCs w:val="28"/>
        </w:rPr>
        <w:t xml:space="preserve"> 机械特性试验</w:t>
      </w:r>
    </w:p>
    <w:p w14:paraId="745E0631">
      <w:pPr>
        <w:rPr>
          <w:rFonts w:hint="eastAsia" w:ascii="Times New Roman" w:hAnsi="Times New Roman"/>
          <w:color w:val="auto"/>
          <w:kern w:val="0"/>
          <w:lang w:val="en-US" w:eastAsia="zh-CN"/>
        </w:rPr>
      </w:pPr>
    </w:p>
    <w:p w14:paraId="6A966843">
      <w:pPr>
        <w:rPr>
          <w:rFonts w:hint="eastAsia" w:ascii="Times New Roman" w:hAnsi="Times New Roman"/>
          <w:color w:val="auto"/>
          <w:kern w:val="0"/>
          <w:lang w:val="en-US" w:eastAsia="zh-CN"/>
        </w:rPr>
      </w:pPr>
    </w:p>
    <w:p w14:paraId="27842519">
      <w:pPr>
        <w:rPr>
          <w:rFonts w:hint="eastAsia" w:ascii="Times New Roman" w:hAnsi="Times New Roman"/>
          <w:color w:val="auto"/>
          <w:kern w:val="0"/>
          <w:lang w:val="en-US" w:eastAsia="zh-CN"/>
        </w:rPr>
      </w:pPr>
    </w:p>
    <w:p w14:paraId="08B2726B">
      <w:pPr>
        <w:rPr>
          <w:rFonts w:hint="eastAsia" w:ascii="Times New Roman" w:hAnsi="Times New Roman"/>
          <w:color w:val="auto"/>
          <w:kern w:val="0"/>
          <w:lang w:val="en-US" w:eastAsia="zh-CN"/>
        </w:rPr>
      </w:pPr>
    </w:p>
    <w:p w14:paraId="7EB01E27">
      <w:pPr>
        <w:rPr>
          <w:rFonts w:hint="eastAsia" w:ascii="Times New Roman" w:hAnsi="Times New Roman"/>
          <w:color w:val="auto"/>
          <w:kern w:val="0"/>
          <w:lang w:val="en-US" w:eastAsia="zh-CN"/>
        </w:rPr>
      </w:pPr>
      <w:bookmarkStart w:id="207" w:name="_GoBack"/>
      <w:bookmarkEnd w:id="207"/>
    </w:p>
    <w:p w14:paraId="7E2D6D58">
      <w:pPr>
        <w:rPr>
          <w:rFonts w:hint="eastAsia" w:ascii="Times New Roman" w:hAnsi="Times New Roman"/>
          <w:color w:val="auto"/>
          <w:kern w:val="0"/>
          <w:lang w:val="en-US" w:eastAsia="zh-CN"/>
        </w:rPr>
      </w:pPr>
    </w:p>
    <w:p w14:paraId="7BB21BAB">
      <w:pPr>
        <w:rPr>
          <w:rFonts w:hint="eastAsia"/>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504488776"/>
      <w:bookmarkStart w:id="204" w:name="_Toc1390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54E9527B">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5E85DE-33CC-4985-8291-2010816A63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2" w:fontKey="{CBA61407-CD79-4D30-91CF-D2111906A364}"/>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3" w:fontKey="{7FA10DBC-E04B-43FD-B75F-044EC7E01C26}"/>
  </w:font>
  <w:font w:name="方正小标宋简体">
    <w:panose1 w:val="02000000000000000000"/>
    <w:charset w:val="86"/>
    <w:family w:val="auto"/>
    <w:pitch w:val="default"/>
    <w:sig w:usb0="00000001" w:usb1="08000000" w:usb2="00000000" w:usb3="00000000" w:csb0="00040000" w:csb1="00000000"/>
    <w:embedRegular r:id="rId4" w:fontKey="{FAE37737-038C-4D05-8261-9693C011A10D}"/>
  </w:font>
  <w:font w:name="微软雅黑">
    <w:panose1 w:val="020B0503020204020204"/>
    <w:charset w:val="86"/>
    <w:family w:val="auto"/>
    <w:pitch w:val="default"/>
    <w:sig w:usb0="80000287" w:usb1="2ACF3C50" w:usb2="00000016" w:usb3="00000000" w:csb0="0004001F" w:csb1="00000000"/>
    <w:embedRegular r:id="rId5" w:fontKey="{754233FD-2D1E-460A-88CA-CE1EBBD3A582}"/>
  </w:font>
  <w:font w:name="仿宋_GB2312">
    <w:altName w:val="仿宋"/>
    <w:panose1 w:val="02010609030101010101"/>
    <w:charset w:val="86"/>
    <w:family w:val="auto"/>
    <w:pitch w:val="default"/>
    <w:sig w:usb0="00000000" w:usb1="00000000" w:usb2="00000000" w:usb3="00000000" w:csb0="00040000" w:csb1="00000000"/>
    <w:embedRegular r:id="rId6" w:fontKey="{64CC8A89-83D5-4848-BDFC-B56E402B9B47}"/>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CB6297"/>
    <w:rsid w:val="01251650"/>
    <w:rsid w:val="01A67659"/>
    <w:rsid w:val="023E2922"/>
    <w:rsid w:val="026A1189"/>
    <w:rsid w:val="03EB7101"/>
    <w:rsid w:val="051379D8"/>
    <w:rsid w:val="05BE40FB"/>
    <w:rsid w:val="06141C07"/>
    <w:rsid w:val="076A5F83"/>
    <w:rsid w:val="07720B9B"/>
    <w:rsid w:val="0AA3355A"/>
    <w:rsid w:val="0EFB5712"/>
    <w:rsid w:val="102F1EF5"/>
    <w:rsid w:val="114161E7"/>
    <w:rsid w:val="130628D8"/>
    <w:rsid w:val="14F90946"/>
    <w:rsid w:val="14FD19B0"/>
    <w:rsid w:val="15350822"/>
    <w:rsid w:val="17725CE9"/>
    <w:rsid w:val="19B65298"/>
    <w:rsid w:val="19BF0744"/>
    <w:rsid w:val="19BF485E"/>
    <w:rsid w:val="19EF056A"/>
    <w:rsid w:val="1B177D78"/>
    <w:rsid w:val="1DA8115B"/>
    <w:rsid w:val="1DB27CC5"/>
    <w:rsid w:val="1DD30B53"/>
    <w:rsid w:val="1E34479D"/>
    <w:rsid w:val="207E073E"/>
    <w:rsid w:val="21834158"/>
    <w:rsid w:val="220426D8"/>
    <w:rsid w:val="22F5715A"/>
    <w:rsid w:val="241430A6"/>
    <w:rsid w:val="2452597D"/>
    <w:rsid w:val="28FC5319"/>
    <w:rsid w:val="296B5579"/>
    <w:rsid w:val="297D7484"/>
    <w:rsid w:val="2A2E0C3A"/>
    <w:rsid w:val="2A4B3DED"/>
    <w:rsid w:val="2DE05E9B"/>
    <w:rsid w:val="2DF50016"/>
    <w:rsid w:val="2E033918"/>
    <w:rsid w:val="2EA4771D"/>
    <w:rsid w:val="31832E12"/>
    <w:rsid w:val="32B71655"/>
    <w:rsid w:val="33260700"/>
    <w:rsid w:val="333C7F24"/>
    <w:rsid w:val="333D3C9C"/>
    <w:rsid w:val="339B5162"/>
    <w:rsid w:val="34DF16EF"/>
    <w:rsid w:val="358E6037"/>
    <w:rsid w:val="37991DE9"/>
    <w:rsid w:val="38C369F1"/>
    <w:rsid w:val="39974106"/>
    <w:rsid w:val="3A3A65D2"/>
    <w:rsid w:val="3A561988"/>
    <w:rsid w:val="3BFF184D"/>
    <w:rsid w:val="3CB63F34"/>
    <w:rsid w:val="3CFB6595"/>
    <w:rsid w:val="3CFD6BB7"/>
    <w:rsid w:val="3E3C01FF"/>
    <w:rsid w:val="3E416D36"/>
    <w:rsid w:val="3FE9293F"/>
    <w:rsid w:val="405A4224"/>
    <w:rsid w:val="427A5715"/>
    <w:rsid w:val="433C5D1E"/>
    <w:rsid w:val="44107006"/>
    <w:rsid w:val="44920CB0"/>
    <w:rsid w:val="45726E52"/>
    <w:rsid w:val="460F14C8"/>
    <w:rsid w:val="46637C62"/>
    <w:rsid w:val="4B896DF6"/>
    <w:rsid w:val="4CB27A82"/>
    <w:rsid w:val="4D66647C"/>
    <w:rsid w:val="4D7B7211"/>
    <w:rsid w:val="4E6B74B7"/>
    <w:rsid w:val="4F18763F"/>
    <w:rsid w:val="4F2D1733"/>
    <w:rsid w:val="500261D8"/>
    <w:rsid w:val="50610B72"/>
    <w:rsid w:val="509B2FD7"/>
    <w:rsid w:val="51095774"/>
    <w:rsid w:val="51BA0636"/>
    <w:rsid w:val="523676EA"/>
    <w:rsid w:val="524F1A19"/>
    <w:rsid w:val="54004D75"/>
    <w:rsid w:val="55EF7BB3"/>
    <w:rsid w:val="55F20E2B"/>
    <w:rsid w:val="56737851"/>
    <w:rsid w:val="5680683F"/>
    <w:rsid w:val="56F815DC"/>
    <w:rsid w:val="57711FE2"/>
    <w:rsid w:val="59907EED"/>
    <w:rsid w:val="5A715E56"/>
    <w:rsid w:val="5B97061C"/>
    <w:rsid w:val="5C02145B"/>
    <w:rsid w:val="5C2B04AE"/>
    <w:rsid w:val="5D042FB1"/>
    <w:rsid w:val="5DCA09A3"/>
    <w:rsid w:val="5E8D407E"/>
    <w:rsid w:val="5F213A10"/>
    <w:rsid w:val="5F8C5DB5"/>
    <w:rsid w:val="5F9B340E"/>
    <w:rsid w:val="61137C66"/>
    <w:rsid w:val="61483E9A"/>
    <w:rsid w:val="66452F0C"/>
    <w:rsid w:val="671D4BFD"/>
    <w:rsid w:val="67AF051E"/>
    <w:rsid w:val="69E314DA"/>
    <w:rsid w:val="69F446AA"/>
    <w:rsid w:val="6A445335"/>
    <w:rsid w:val="6BD87931"/>
    <w:rsid w:val="6C2347F8"/>
    <w:rsid w:val="6CCD1611"/>
    <w:rsid w:val="6CE26D5D"/>
    <w:rsid w:val="6DB30807"/>
    <w:rsid w:val="6F4D07E7"/>
    <w:rsid w:val="70626755"/>
    <w:rsid w:val="707458D8"/>
    <w:rsid w:val="72E3289C"/>
    <w:rsid w:val="736305DA"/>
    <w:rsid w:val="74F87447"/>
    <w:rsid w:val="74FB2D4D"/>
    <w:rsid w:val="76307735"/>
    <w:rsid w:val="76987E92"/>
    <w:rsid w:val="77FB6984"/>
    <w:rsid w:val="7A6E7EF3"/>
    <w:rsid w:val="7F06435D"/>
    <w:rsid w:val="7F0D7F93"/>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1120</Words>
  <Characters>1702</Characters>
  <Lines>0</Lines>
  <Paragraphs>0</Paragraphs>
  <TotalTime>0</TotalTime>
  <ScaleCrop>false</ScaleCrop>
  <LinksUpToDate>false</LinksUpToDate>
  <CharactersWithSpaces>1857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2025-04-16T06:05:49Z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