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XB20250422-01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2025年4月份 硫酸车间多级泵等采购项目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2025年4月份 计划泵及泵配件采购项目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多级泵等一台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4月份</w:t>
      </w:r>
      <w:r>
        <w:rPr>
          <w:rFonts w:hint="eastAsia" w:ascii="仿宋" w:hAnsi="仿宋" w:eastAsia="仿宋" w:cs="仿宋"/>
          <w:b/>
          <w:bCs/>
          <w:sz w:val="30"/>
          <w:szCs w:val="30"/>
          <w:lang w:val="en-US" w:eastAsia="zh-CN"/>
        </w:rPr>
        <w:t>硫酸车间多级泵等</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2025年5月 22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40"/>
        <w:gridCol w:w="2928"/>
        <w:gridCol w:w="673"/>
        <w:gridCol w:w="664"/>
        <w:gridCol w:w="964"/>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4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2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73"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64"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4"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r>
      <w:tr w14:paraId="7C78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3F446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40" w:type="dxa"/>
            <w:vAlign w:val="center"/>
          </w:tcPr>
          <w:p w14:paraId="19CA195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多级泵</w:t>
            </w:r>
          </w:p>
        </w:tc>
        <w:tc>
          <w:tcPr>
            <w:tcW w:w="2928" w:type="dxa"/>
            <w:vAlign w:val="center"/>
          </w:tcPr>
          <w:p w14:paraId="16BEC9F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DG25-50*11 流量25m3/h 扬程550m 转速2950r/min 进口1.6MPa 带底座 电机能效2级 厂家酉岛泵业</w:t>
            </w:r>
          </w:p>
        </w:tc>
        <w:tc>
          <w:tcPr>
            <w:tcW w:w="673" w:type="dxa"/>
            <w:vAlign w:val="center"/>
          </w:tcPr>
          <w:p w14:paraId="7B18538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664" w:type="dxa"/>
            <w:vAlign w:val="center"/>
          </w:tcPr>
          <w:p w14:paraId="52C22F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4" w:type="dxa"/>
            <w:vAlign w:val="center"/>
          </w:tcPr>
          <w:p w14:paraId="248F85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094" w:type="dxa"/>
            <w:vAlign w:val="center"/>
          </w:tcPr>
          <w:p w14:paraId="686872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Align w:val="center"/>
          </w:tcPr>
          <w:p w14:paraId="040C5D62">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40"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管道过滤器</w:t>
            </w:r>
          </w:p>
        </w:tc>
        <w:tc>
          <w:tcPr>
            <w:tcW w:w="2928" w:type="dxa"/>
            <w:vAlign w:val="center"/>
          </w:tcPr>
          <w:p w14:paraId="61908D6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DN65  1.6MPa 处理量25m3/h 介质锅炉水110℃ 过滤精度2mm 筒体材质碳钢 滤网材质316L 直通法兰连接</w:t>
            </w:r>
          </w:p>
        </w:tc>
        <w:tc>
          <w:tcPr>
            <w:tcW w:w="673" w:type="dxa"/>
            <w:vAlign w:val="center"/>
          </w:tcPr>
          <w:p w14:paraId="789714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64" w:type="dxa"/>
            <w:vAlign w:val="center"/>
          </w:tcPr>
          <w:p w14:paraId="3A3D0E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台</w:t>
            </w:r>
          </w:p>
        </w:tc>
        <w:tc>
          <w:tcPr>
            <w:tcW w:w="964" w:type="dxa"/>
            <w:vAlign w:val="center"/>
          </w:tcPr>
          <w:p w14:paraId="0B7B2E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40"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8"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73"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4"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4"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lang w:val="en-US" w:eastAsia="zh-CN"/>
              </w:rPr>
              <w:t>必须按规定品牌要求报价，以上项必须报全，否则报价无效</w:t>
            </w:r>
            <w:r>
              <w:rPr>
                <w:rFonts w:hint="eastAsia"/>
              </w:rPr>
              <w:t>。</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84308223"/>
      <w:bookmarkStart w:id="14" w:name="_Toc152042318"/>
      <w:bookmarkStart w:id="15" w:name="_Toc361508598"/>
      <w:bookmarkStart w:id="16" w:name="_Toc144974510"/>
      <w:bookmarkStart w:id="17" w:name="_Toc352691486"/>
      <w:bookmarkStart w:id="18" w:name="_Toc247513966"/>
      <w:bookmarkStart w:id="19" w:name="_Toc152045542"/>
      <w:bookmarkStart w:id="20" w:name="_Toc247527567"/>
      <w:bookmarkStart w:id="21" w:name="_Toc369531529"/>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00834964"/>
      <w:bookmarkStart w:id="25" w:name="_Toc247527568"/>
      <w:bookmarkStart w:id="26" w:name="_Toc247513967"/>
      <w:bookmarkStart w:id="27" w:name="_Toc144974511"/>
      <w:bookmarkStart w:id="28" w:name="_Toc152042319"/>
      <w:bookmarkStart w:id="29" w:name="_Toc15242"/>
      <w:bookmarkStart w:id="30" w:name="_Toc369531530"/>
      <w:bookmarkStart w:id="31" w:name="_Toc361508599"/>
      <w:bookmarkStart w:id="32" w:name="_Toc352691487"/>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384308228"/>
      <w:bookmarkStart w:id="41" w:name="_Toc144974514"/>
      <w:bookmarkStart w:id="42" w:name="_Toc352691491"/>
      <w:bookmarkStart w:id="43" w:name="_Toc300834967"/>
      <w:bookmarkStart w:id="44" w:name="_Toc14751"/>
      <w:bookmarkStart w:id="45" w:name="_Toc152042322"/>
      <w:bookmarkStart w:id="46" w:name="_Toc361508603"/>
      <w:bookmarkStart w:id="47" w:name="_Toc152045546"/>
      <w:bookmarkStart w:id="48" w:name="_Toc247513970"/>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247513971"/>
      <w:bookmarkStart w:id="52" w:name="_Toc384308229"/>
      <w:bookmarkStart w:id="53" w:name="_Toc247527572"/>
      <w:bookmarkStart w:id="54" w:name="_Toc152042323"/>
      <w:bookmarkStart w:id="55" w:name="_Toc17952"/>
      <w:bookmarkStart w:id="56" w:name="_Toc369531535"/>
      <w:bookmarkStart w:id="57" w:name="_Toc352691492"/>
      <w:bookmarkStart w:id="58" w:name="_Toc152045547"/>
      <w:bookmarkStart w:id="59" w:name="_Toc144974515"/>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4月 25日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 4 月  25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247514027"/>
      <w:bookmarkStart w:id="67" w:name="_Toc144974570"/>
      <w:bookmarkStart w:id="68" w:name="_Toc2907"/>
      <w:bookmarkStart w:id="69" w:name="_Toc300835013"/>
      <w:bookmarkStart w:id="70" w:name="_Toc152045603"/>
      <w:bookmarkStart w:id="71" w:name="_Toc247527628"/>
      <w:bookmarkStart w:id="72" w:name="_Toc361508651"/>
      <w:bookmarkStart w:id="73" w:name="_Toc152042380"/>
      <w:bookmarkStart w:id="74" w:name="_Toc38430827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00834982"/>
      <w:bookmarkStart w:id="97" w:name="_Toc152045561"/>
      <w:bookmarkStart w:id="98" w:name="_Toc30095"/>
      <w:bookmarkStart w:id="99" w:name="_Toc247513985"/>
      <w:bookmarkStart w:id="100" w:name="_Toc247527586"/>
      <w:bookmarkStart w:id="101" w:name="_Toc152042337"/>
      <w:bookmarkStart w:id="102" w:name="_Toc144974529"/>
      <w:bookmarkStart w:id="103" w:name="_Toc361508618"/>
      <w:bookmarkStart w:id="104" w:name="_Toc369531549"/>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9531550"/>
      <w:bookmarkStart w:id="120" w:name="_Toc384308244"/>
      <w:bookmarkStart w:id="121" w:name="_Toc361508619"/>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247527589"/>
      <w:bookmarkStart w:id="134" w:name="_Toc300834986"/>
      <w:bookmarkStart w:id="135" w:name="_Toc384308247"/>
      <w:bookmarkStart w:id="136" w:name="_Toc4656"/>
      <w:bookmarkStart w:id="137" w:name="_Toc361508622"/>
      <w:bookmarkStart w:id="138" w:name="_Toc152042340"/>
      <w:bookmarkStart w:id="139" w:name="_Toc352691509"/>
      <w:bookmarkStart w:id="140" w:name="_Toc144974532"/>
      <w:bookmarkStart w:id="141" w:name="_Toc369531553"/>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152045565"/>
      <w:bookmarkStart w:id="145" w:name="_Toc144974533"/>
      <w:bookmarkStart w:id="146" w:name="_Toc247513989"/>
      <w:bookmarkStart w:id="147" w:name="_Toc152042341"/>
      <w:bookmarkStart w:id="148" w:name="_Toc384308248"/>
      <w:bookmarkStart w:id="149" w:name="_Toc361508623"/>
      <w:bookmarkStart w:id="150" w:name="_Toc352691510"/>
      <w:bookmarkStart w:id="151" w:name="_Toc18247"/>
      <w:bookmarkStart w:id="152" w:name="_Toc369531554"/>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52042344"/>
      <w:bookmarkStart w:id="159" w:name="_Toc144974536"/>
      <w:bookmarkStart w:id="160" w:name="_Toc300834991"/>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9531559"/>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D00F75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53F5716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52F540B9">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BA592F7">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2025年04月22日</w:t>
      </w:r>
    </w:p>
    <w:p w14:paraId="55F50CE4">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73A64F2">
      <w:pPr>
        <w:rPr>
          <w:rFonts w:hint="eastAsia" w:ascii="仿宋" w:hAnsi="仿宋" w:eastAsia="仿宋" w:cs="仿宋"/>
          <w:color w:val="auto"/>
          <w:sz w:val="32"/>
          <w:szCs w:val="32"/>
          <w:highlight w:val="none"/>
        </w:rPr>
      </w:pPr>
    </w:p>
    <w:p w14:paraId="654F3CAA">
      <w:pPr>
        <w:rPr>
          <w:rFonts w:hint="eastAsia" w:ascii="仿宋" w:hAnsi="仿宋" w:eastAsia="仿宋" w:cs="仿宋"/>
          <w:color w:val="auto"/>
          <w:sz w:val="32"/>
          <w:szCs w:val="32"/>
          <w:highlight w:val="none"/>
        </w:rPr>
      </w:pPr>
    </w:p>
    <w:p w14:paraId="52D17E57">
      <w:pPr>
        <w:rPr>
          <w:rFonts w:hint="eastAsia" w:ascii="仿宋" w:hAnsi="仿宋" w:eastAsia="仿宋" w:cs="仿宋"/>
          <w:color w:val="auto"/>
          <w:sz w:val="32"/>
          <w:szCs w:val="32"/>
          <w:highlight w:val="none"/>
        </w:rPr>
      </w:pPr>
    </w:p>
    <w:p w14:paraId="20CB3ADD">
      <w:pPr>
        <w:rPr>
          <w:rFonts w:hint="eastAsia" w:ascii="仿宋" w:hAnsi="仿宋" w:eastAsia="仿宋" w:cs="仿宋"/>
          <w:color w:val="auto"/>
          <w:sz w:val="32"/>
          <w:szCs w:val="32"/>
          <w:highlight w:val="none"/>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XB20250422-01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2025年4月份 </w:t>
      </w:r>
      <w:r>
        <w:rPr>
          <w:rFonts w:hint="eastAsia" w:ascii="Times New Roman" w:hAnsi="Times New Roman" w:eastAsia="黑体"/>
          <w:color w:val="auto"/>
          <w:sz w:val="44"/>
          <w:szCs w:val="44"/>
          <w:highlight w:val="none"/>
          <w:lang w:val="en-US" w:eastAsia="zh-CN"/>
        </w:rPr>
        <w:t>硫酸车间多级泵等</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144974858"/>
      <w:bookmarkStart w:id="187" w:name="_Toc369531699"/>
      <w:bookmarkStart w:id="188" w:name="_Toc247514248"/>
      <w:bookmarkStart w:id="189" w:name="_Toc247527829"/>
      <w:bookmarkStart w:id="190" w:name="_Toc384308377"/>
      <w:bookmarkStart w:id="191" w:name="_Toc152045789"/>
      <w:bookmarkStart w:id="192" w:name="_Toc300835211"/>
      <w:bookmarkStart w:id="193" w:name="_Toc352691663"/>
      <w:bookmarkStart w:id="194" w:name="_Toc361508754"/>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tbl>
      <w:tblPr>
        <w:tblStyle w:val="10"/>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40"/>
        <w:gridCol w:w="2928"/>
        <w:gridCol w:w="612"/>
        <w:gridCol w:w="540"/>
        <w:gridCol w:w="975"/>
        <w:gridCol w:w="1095"/>
        <w:gridCol w:w="900"/>
      </w:tblGrid>
      <w:tr w14:paraId="5D95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A5D8F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40" w:type="dxa"/>
            <w:vAlign w:val="center"/>
          </w:tcPr>
          <w:p w14:paraId="6C392267">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28" w:type="dxa"/>
            <w:vAlign w:val="center"/>
          </w:tcPr>
          <w:p w14:paraId="0F9235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12" w:type="dxa"/>
            <w:vAlign w:val="center"/>
          </w:tcPr>
          <w:p w14:paraId="4F9527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118464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5ED6AD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095" w:type="dxa"/>
            <w:vAlign w:val="center"/>
          </w:tcPr>
          <w:p w14:paraId="32EA60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900" w:type="dxa"/>
            <w:vAlign w:val="center"/>
          </w:tcPr>
          <w:p w14:paraId="4C36A9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22D8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D3C125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40" w:type="dxa"/>
            <w:vAlign w:val="center"/>
          </w:tcPr>
          <w:p w14:paraId="2358325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多级泵</w:t>
            </w:r>
          </w:p>
        </w:tc>
        <w:tc>
          <w:tcPr>
            <w:tcW w:w="2928" w:type="dxa"/>
            <w:vAlign w:val="center"/>
          </w:tcPr>
          <w:p w14:paraId="7E3D090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DG25-50*11 流量25m3/h 扬程550m 转速2950r/min 进口1.6MPa 带底座 电机能效2级 厂家酉岛泵业</w:t>
            </w:r>
          </w:p>
        </w:tc>
        <w:tc>
          <w:tcPr>
            <w:tcW w:w="612" w:type="dxa"/>
            <w:vAlign w:val="center"/>
          </w:tcPr>
          <w:p w14:paraId="229E174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30A8B6B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240915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095" w:type="dxa"/>
            <w:vAlign w:val="center"/>
          </w:tcPr>
          <w:p w14:paraId="009E29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00" w:type="dxa"/>
            <w:vAlign w:val="center"/>
          </w:tcPr>
          <w:p w14:paraId="5256C3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E1D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Align w:val="center"/>
          </w:tcPr>
          <w:p w14:paraId="454AD37E">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40" w:type="dxa"/>
            <w:vAlign w:val="center"/>
          </w:tcPr>
          <w:p w14:paraId="5A51707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管道过滤器</w:t>
            </w:r>
          </w:p>
        </w:tc>
        <w:tc>
          <w:tcPr>
            <w:tcW w:w="2928" w:type="dxa"/>
            <w:vAlign w:val="center"/>
          </w:tcPr>
          <w:p w14:paraId="55EED570">
            <w:pPr>
              <w:keepNext w:val="0"/>
              <w:keepLines w:val="0"/>
              <w:widowControl/>
              <w:suppressLineNumbers w:val="0"/>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DN65  1.6MPa 处理量25m3/h 介质锅炉水110℃ 过滤精度2mm 筒体材质碳钢 滤网材质316L 直通法兰连接</w:t>
            </w:r>
          </w:p>
        </w:tc>
        <w:tc>
          <w:tcPr>
            <w:tcW w:w="612" w:type="dxa"/>
            <w:vAlign w:val="center"/>
          </w:tcPr>
          <w:p w14:paraId="6C5A03D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55832C1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3B86E1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5" w:type="dxa"/>
            <w:vAlign w:val="center"/>
          </w:tcPr>
          <w:p w14:paraId="038999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0" w:type="dxa"/>
            <w:vAlign w:val="center"/>
          </w:tcPr>
          <w:p w14:paraId="7975E3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F38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9" w:type="dxa"/>
            <w:vAlign w:val="center"/>
          </w:tcPr>
          <w:p w14:paraId="7D506B6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40" w:type="dxa"/>
            <w:vAlign w:val="center"/>
          </w:tcPr>
          <w:p w14:paraId="549F3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8" w:type="dxa"/>
            <w:vAlign w:val="top"/>
          </w:tcPr>
          <w:p w14:paraId="1E672E5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12" w:type="dxa"/>
            <w:vAlign w:val="center"/>
          </w:tcPr>
          <w:p w14:paraId="1D1A94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09AC81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535F4D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5" w:type="dxa"/>
            <w:vAlign w:val="center"/>
          </w:tcPr>
          <w:p w14:paraId="713363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0" w:type="dxa"/>
            <w:vAlign w:val="center"/>
          </w:tcPr>
          <w:p w14:paraId="214B1D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455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9" w:type="dxa"/>
            <w:gridSpan w:val="7"/>
            <w:vAlign w:val="center"/>
          </w:tcPr>
          <w:p w14:paraId="138123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lang w:val="en-US" w:eastAsia="zh-CN"/>
              </w:rPr>
              <w:t>必须按规定品牌要求报价，以上项必须报全，否则报价无效</w:t>
            </w:r>
            <w:r>
              <w:rPr>
                <w:rFonts w:hint="eastAsia"/>
              </w:rPr>
              <w:t>。</w:t>
            </w:r>
          </w:p>
        </w:tc>
        <w:tc>
          <w:tcPr>
            <w:tcW w:w="900" w:type="dxa"/>
            <w:vAlign w:val="center"/>
          </w:tcPr>
          <w:p w14:paraId="36783C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p>
        </w:tc>
      </w:tr>
    </w:tbl>
    <w:p w14:paraId="29D70146">
      <w:pPr>
        <w:pStyle w:val="3"/>
        <w:spacing w:after="0"/>
        <w:jc w:val="both"/>
        <w:rPr>
          <w:rFonts w:hint="eastAsia" w:ascii="Times New Roman" w:hAnsi="Times New Roman"/>
          <w:color w:val="auto"/>
          <w:kern w:val="0"/>
          <w:lang w:val="en-US" w:eastAsia="zh-CN"/>
        </w:rPr>
      </w:pPr>
    </w:p>
    <w:p w14:paraId="1E5F1FFD">
      <w:pPr>
        <w:rPr>
          <w:rFonts w:hint="eastAsia" w:ascii="Times New Roman" w:hAnsi="Times New Roman"/>
          <w:color w:val="auto"/>
          <w:kern w:val="0"/>
          <w:lang w:val="en-US" w:eastAsia="zh-CN"/>
        </w:rPr>
      </w:pPr>
    </w:p>
    <w:p w14:paraId="4C5B3639">
      <w:pPr>
        <w:rPr>
          <w:rFonts w:hint="eastAsia" w:ascii="Times New Roman" w:hAnsi="Times New Roman"/>
          <w:color w:val="auto"/>
          <w:kern w:val="0"/>
          <w:lang w:val="en-US" w:eastAsia="zh-CN"/>
        </w:rPr>
      </w:pPr>
    </w:p>
    <w:p w14:paraId="5D60EF3C">
      <w:pPr>
        <w:rPr>
          <w:rFonts w:hint="eastAsia" w:ascii="Times New Roman" w:hAnsi="Times New Roman"/>
          <w:color w:val="auto"/>
          <w:kern w:val="0"/>
          <w:lang w:val="en-US" w:eastAsia="zh-CN"/>
        </w:rPr>
      </w:pPr>
    </w:p>
    <w:p w14:paraId="3DB88C4E">
      <w:pPr>
        <w:rPr>
          <w:rFonts w:hint="eastAsia" w:ascii="Times New Roman" w:hAnsi="Times New Roman"/>
          <w:color w:val="auto"/>
          <w:kern w:val="0"/>
          <w:lang w:val="en-US" w:eastAsia="zh-CN"/>
        </w:rPr>
      </w:pPr>
    </w:p>
    <w:p w14:paraId="17D39629">
      <w:pPr>
        <w:rPr>
          <w:rFonts w:hint="eastAsia" w:ascii="Times New Roman" w:hAnsi="Times New Roman"/>
          <w:color w:val="auto"/>
          <w:kern w:val="0"/>
          <w:lang w:val="en-US" w:eastAsia="zh-CN"/>
        </w:rPr>
      </w:pPr>
    </w:p>
    <w:p w14:paraId="1228D0FC">
      <w:pPr>
        <w:rPr>
          <w:rFonts w:hint="eastAsia" w:ascii="Times New Roman" w:hAnsi="Times New Roman"/>
          <w:color w:val="auto"/>
          <w:kern w:val="0"/>
          <w:lang w:val="en-US" w:eastAsia="zh-CN"/>
        </w:rPr>
      </w:pPr>
    </w:p>
    <w:p w14:paraId="7F116F55">
      <w:pPr>
        <w:rPr>
          <w:rFonts w:hint="eastAsia" w:ascii="Times New Roman" w:hAnsi="Times New Roman"/>
          <w:color w:val="auto"/>
          <w:kern w:val="0"/>
          <w:lang w:val="en-US" w:eastAsia="zh-CN"/>
        </w:rPr>
      </w:pPr>
    </w:p>
    <w:p w14:paraId="6FBEB6F1">
      <w:pPr>
        <w:rPr>
          <w:rFonts w:hint="eastAsia" w:ascii="Times New Roman" w:hAnsi="Times New Roman"/>
          <w:color w:val="auto"/>
          <w:kern w:val="0"/>
          <w:lang w:val="en-US" w:eastAsia="zh-CN"/>
        </w:rPr>
      </w:pPr>
    </w:p>
    <w:p w14:paraId="10932C31">
      <w:pPr>
        <w:rPr>
          <w:rFonts w:hint="eastAsia" w:ascii="Times New Roman" w:hAnsi="Times New Roman"/>
          <w:color w:val="auto"/>
          <w:kern w:val="0"/>
          <w:lang w:val="en-US" w:eastAsia="zh-CN"/>
        </w:rPr>
      </w:pPr>
    </w:p>
    <w:p w14:paraId="0FBF57A1">
      <w:pPr>
        <w:rPr>
          <w:rFonts w:hint="eastAsia" w:ascii="Times New Roman" w:hAnsi="Times New Roman"/>
          <w:color w:val="auto"/>
          <w:kern w:val="0"/>
          <w:lang w:val="en-US" w:eastAsia="zh-CN"/>
        </w:rPr>
      </w:pPr>
    </w:p>
    <w:p w14:paraId="38E2F737">
      <w:pPr>
        <w:rPr>
          <w:rFonts w:hint="eastAsia" w:ascii="Times New Roman" w:hAnsi="Times New Roman"/>
          <w:color w:val="auto"/>
          <w:kern w:val="0"/>
          <w:lang w:val="en-US" w:eastAsia="zh-CN"/>
        </w:rPr>
      </w:pPr>
    </w:p>
    <w:p w14:paraId="27BA9CF8">
      <w:pPr>
        <w:rPr>
          <w:rFonts w:hint="eastAsia" w:ascii="Times New Roman" w:hAnsi="Times New Roman"/>
          <w:color w:val="auto"/>
          <w:kern w:val="0"/>
          <w:lang w:val="en-US" w:eastAsia="zh-CN"/>
        </w:rPr>
      </w:pPr>
    </w:p>
    <w:p w14:paraId="39855816">
      <w:pPr>
        <w:rPr>
          <w:rFonts w:hint="eastAsia" w:ascii="Times New Roman" w:hAnsi="Times New Roman"/>
          <w:color w:val="auto"/>
          <w:kern w:val="0"/>
          <w:lang w:val="en-US" w:eastAsia="zh-CN"/>
        </w:rPr>
      </w:pPr>
    </w:p>
    <w:p w14:paraId="3215075A">
      <w:pPr>
        <w:rPr>
          <w:rFonts w:hint="eastAsia" w:ascii="Times New Roman" w:hAnsi="Times New Roman"/>
          <w:color w:val="auto"/>
          <w:kern w:val="0"/>
          <w:lang w:val="en-US" w:eastAsia="zh-CN"/>
        </w:rPr>
      </w:pPr>
    </w:p>
    <w:p w14:paraId="1E991EC8">
      <w:pPr>
        <w:rPr>
          <w:rFonts w:hint="eastAsia" w:ascii="Times New Roman" w:hAnsi="Times New Roman"/>
          <w:color w:val="auto"/>
          <w:kern w:val="0"/>
          <w:lang w:val="en-US" w:eastAsia="zh-CN"/>
        </w:rPr>
      </w:pPr>
    </w:p>
    <w:p w14:paraId="40EADE73">
      <w:pPr>
        <w:rPr>
          <w:rFonts w:hint="eastAsia" w:ascii="Times New Roman" w:hAnsi="Times New Roman"/>
          <w:color w:val="auto"/>
          <w:kern w:val="0"/>
          <w:lang w:val="en-US" w:eastAsia="zh-CN"/>
        </w:rPr>
      </w:pPr>
    </w:p>
    <w:p w14:paraId="539AE8F5">
      <w:pPr>
        <w:rPr>
          <w:rFonts w:hint="eastAsia" w:ascii="Times New Roman" w:hAnsi="Times New Roman"/>
          <w:color w:val="auto"/>
          <w:kern w:val="0"/>
          <w:lang w:val="en-US" w:eastAsia="zh-CN"/>
        </w:rPr>
      </w:pPr>
    </w:p>
    <w:p w14:paraId="6FE1B077">
      <w:pPr>
        <w:rPr>
          <w:rFonts w:hint="eastAsia" w:ascii="Times New Roman" w:hAnsi="Times New Roman"/>
          <w:color w:val="auto"/>
          <w:kern w:val="0"/>
          <w:lang w:val="en-US" w:eastAsia="zh-CN"/>
        </w:rPr>
      </w:pPr>
    </w:p>
    <w:p w14:paraId="4F7997AF">
      <w:pPr>
        <w:rPr>
          <w:rFonts w:hint="eastAsia" w:ascii="Times New Roman" w:hAnsi="Times New Roman"/>
          <w:color w:val="auto"/>
          <w:kern w:val="0"/>
          <w:lang w:val="en-US" w:eastAsia="zh-CN"/>
        </w:rPr>
      </w:pPr>
    </w:p>
    <w:p w14:paraId="0AFFB71F">
      <w:pPr>
        <w:rPr>
          <w:rFonts w:hint="eastAsia" w:ascii="Times New Roman" w:hAnsi="Times New Roman"/>
          <w:color w:val="auto"/>
          <w:kern w:val="0"/>
          <w:lang w:val="en-US" w:eastAsia="zh-CN"/>
        </w:rPr>
      </w:pPr>
    </w:p>
    <w:p w14:paraId="0CF57D4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bookmarkStart w:id="207" w:name="_GoBack"/>
      <w:bookmarkEnd w:id="207"/>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D80083-A364-4150-BB5F-17879D1878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67BA594-312B-4CC8-A42B-5F24D7DFCB50}"/>
  </w:font>
  <w:font w:name="方正小标宋简体">
    <w:panose1 w:val="02000000000000000000"/>
    <w:charset w:val="86"/>
    <w:family w:val="auto"/>
    <w:pitch w:val="default"/>
    <w:sig w:usb0="00000001" w:usb1="08000000" w:usb2="00000000" w:usb3="00000000" w:csb0="00040000" w:csb1="00000000"/>
    <w:embedRegular r:id="rId3" w:fontKey="{5630FC97-D908-4FAE-9737-6BD800840EAC}"/>
  </w:font>
  <w:font w:name="微软雅黑">
    <w:panose1 w:val="020B0503020204020204"/>
    <w:charset w:val="86"/>
    <w:family w:val="auto"/>
    <w:pitch w:val="default"/>
    <w:sig w:usb0="80000287" w:usb1="2ACF3C50" w:usb2="00000016" w:usb3="00000000" w:csb0="0004001F" w:csb1="00000000"/>
    <w:embedRegular r:id="rId4" w:fontKey="{6ED7BBBF-8131-4796-A65B-81099A94C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CB6297"/>
    <w:rsid w:val="01251650"/>
    <w:rsid w:val="01A67659"/>
    <w:rsid w:val="023E2922"/>
    <w:rsid w:val="026A1189"/>
    <w:rsid w:val="028247F4"/>
    <w:rsid w:val="051379D8"/>
    <w:rsid w:val="05BE40FB"/>
    <w:rsid w:val="06141C07"/>
    <w:rsid w:val="06DF3FC3"/>
    <w:rsid w:val="076A5F83"/>
    <w:rsid w:val="07720B9B"/>
    <w:rsid w:val="08D00E36"/>
    <w:rsid w:val="0A8600DB"/>
    <w:rsid w:val="0AA3355A"/>
    <w:rsid w:val="0CAF4DC4"/>
    <w:rsid w:val="102F1EF5"/>
    <w:rsid w:val="114161E7"/>
    <w:rsid w:val="130628D8"/>
    <w:rsid w:val="14F74BCE"/>
    <w:rsid w:val="14F90946"/>
    <w:rsid w:val="14FD19B0"/>
    <w:rsid w:val="15350822"/>
    <w:rsid w:val="17725CE9"/>
    <w:rsid w:val="19B65298"/>
    <w:rsid w:val="19BF0744"/>
    <w:rsid w:val="19BF485E"/>
    <w:rsid w:val="19EF056A"/>
    <w:rsid w:val="1AEC4493"/>
    <w:rsid w:val="1B177D78"/>
    <w:rsid w:val="1DA8115B"/>
    <w:rsid w:val="1DB27CC5"/>
    <w:rsid w:val="1DD30B53"/>
    <w:rsid w:val="1E1E31CB"/>
    <w:rsid w:val="1E34479D"/>
    <w:rsid w:val="1ED22B1C"/>
    <w:rsid w:val="207E073E"/>
    <w:rsid w:val="21834158"/>
    <w:rsid w:val="220426D8"/>
    <w:rsid w:val="22F5715A"/>
    <w:rsid w:val="241430A6"/>
    <w:rsid w:val="2452597D"/>
    <w:rsid w:val="248A06DA"/>
    <w:rsid w:val="257B5469"/>
    <w:rsid w:val="27CC3C98"/>
    <w:rsid w:val="297D7484"/>
    <w:rsid w:val="2A2E0C3A"/>
    <w:rsid w:val="2A4B3DED"/>
    <w:rsid w:val="2DE05E9B"/>
    <w:rsid w:val="2E033918"/>
    <w:rsid w:val="2EA4771D"/>
    <w:rsid w:val="3129250F"/>
    <w:rsid w:val="31832E12"/>
    <w:rsid w:val="32A1627D"/>
    <w:rsid w:val="33260700"/>
    <w:rsid w:val="333C7F24"/>
    <w:rsid w:val="333D3C9C"/>
    <w:rsid w:val="339B5162"/>
    <w:rsid w:val="34DF16EF"/>
    <w:rsid w:val="354E1250"/>
    <w:rsid w:val="358E6037"/>
    <w:rsid w:val="37991DE9"/>
    <w:rsid w:val="38C369F1"/>
    <w:rsid w:val="39974106"/>
    <w:rsid w:val="3A3A65D2"/>
    <w:rsid w:val="3A561988"/>
    <w:rsid w:val="3BFF184D"/>
    <w:rsid w:val="3CB63F34"/>
    <w:rsid w:val="3CEB6517"/>
    <w:rsid w:val="3CFB6595"/>
    <w:rsid w:val="3CFD6BB7"/>
    <w:rsid w:val="3D34475C"/>
    <w:rsid w:val="3E3C01FF"/>
    <w:rsid w:val="3FE9293F"/>
    <w:rsid w:val="405A4224"/>
    <w:rsid w:val="427A5715"/>
    <w:rsid w:val="433C5D1E"/>
    <w:rsid w:val="44107006"/>
    <w:rsid w:val="44920CB0"/>
    <w:rsid w:val="45726E52"/>
    <w:rsid w:val="45A00D58"/>
    <w:rsid w:val="460F14C8"/>
    <w:rsid w:val="46637C62"/>
    <w:rsid w:val="46933C70"/>
    <w:rsid w:val="483B1F3F"/>
    <w:rsid w:val="4B896DF6"/>
    <w:rsid w:val="4CB27A82"/>
    <w:rsid w:val="4D66647C"/>
    <w:rsid w:val="4E6B74B7"/>
    <w:rsid w:val="4F18763F"/>
    <w:rsid w:val="4F2D1733"/>
    <w:rsid w:val="500261D8"/>
    <w:rsid w:val="50610B72"/>
    <w:rsid w:val="509B2FD7"/>
    <w:rsid w:val="523676EA"/>
    <w:rsid w:val="524F1A19"/>
    <w:rsid w:val="55EF7BB3"/>
    <w:rsid w:val="55F20E2B"/>
    <w:rsid w:val="56737851"/>
    <w:rsid w:val="5680683F"/>
    <w:rsid w:val="56F815DC"/>
    <w:rsid w:val="57711FE2"/>
    <w:rsid w:val="59907EED"/>
    <w:rsid w:val="5A715E56"/>
    <w:rsid w:val="5B97061C"/>
    <w:rsid w:val="5C02145B"/>
    <w:rsid w:val="5C2B04AE"/>
    <w:rsid w:val="5C594DF3"/>
    <w:rsid w:val="5D042FB1"/>
    <w:rsid w:val="5DA87DE0"/>
    <w:rsid w:val="5DCA09A3"/>
    <w:rsid w:val="5E8D407E"/>
    <w:rsid w:val="5F213A10"/>
    <w:rsid w:val="5F8C5DB5"/>
    <w:rsid w:val="60C97FB7"/>
    <w:rsid w:val="61137C66"/>
    <w:rsid w:val="61483E9A"/>
    <w:rsid w:val="661E50E3"/>
    <w:rsid w:val="66452F0C"/>
    <w:rsid w:val="6667362D"/>
    <w:rsid w:val="671D4BFD"/>
    <w:rsid w:val="672C3830"/>
    <w:rsid w:val="68365066"/>
    <w:rsid w:val="69E314DA"/>
    <w:rsid w:val="69F446AA"/>
    <w:rsid w:val="6A445335"/>
    <w:rsid w:val="6BD87931"/>
    <w:rsid w:val="6C2347F8"/>
    <w:rsid w:val="6CCD1611"/>
    <w:rsid w:val="6CE26D5D"/>
    <w:rsid w:val="6DB30807"/>
    <w:rsid w:val="6F0D3F47"/>
    <w:rsid w:val="6F4D07E7"/>
    <w:rsid w:val="70626755"/>
    <w:rsid w:val="707458D8"/>
    <w:rsid w:val="72E3289C"/>
    <w:rsid w:val="736305DA"/>
    <w:rsid w:val="74F87447"/>
    <w:rsid w:val="76987E92"/>
    <w:rsid w:val="7C4F37CE"/>
    <w:rsid w:val="7D8E0949"/>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6253</Words>
  <Characters>6939</Characters>
  <Lines>0</Lines>
  <Paragraphs>0</Paragraphs>
  <TotalTime>2</TotalTime>
  <ScaleCrop>false</ScaleCrop>
  <LinksUpToDate>false</LinksUpToDate>
  <CharactersWithSpaces>7085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2025-04-21T09:19:25Z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