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45642">
      <w:pPr>
        <w:spacing w:line="400" w:lineRule="exact"/>
        <w:rPr>
          <w:rFonts w:hint="default" w:ascii="Times New Roman" w:hAnsi="Times New Roman" w:eastAsia="黑体"/>
          <w:color w:val="auto"/>
          <w:lang w:val="en-US" w:eastAsia="zh-CN"/>
        </w:rPr>
      </w:pPr>
      <w:r>
        <w:rPr>
          <w:rFonts w:hint="eastAsia" w:ascii="Times New Roman" w:hAnsi="Times New Roman" w:eastAsia="黑体"/>
          <w:color w:val="auto"/>
          <w:sz w:val="28"/>
          <w:szCs w:val="28"/>
        </w:rPr>
        <w:t>项目编号：XB2025042</w:t>
      </w:r>
      <w:r>
        <w:rPr>
          <w:rFonts w:hint="eastAsia" w:ascii="Times New Roman" w:hAnsi="Times New Roman" w:eastAsia="黑体"/>
          <w:color w:val="auto"/>
          <w:sz w:val="28"/>
          <w:szCs w:val="28"/>
          <w:lang w:val="en-US" w:eastAsia="zh-CN"/>
        </w:rPr>
        <w:t>9-04</w:t>
      </w:r>
    </w:p>
    <w:p w14:paraId="0EBE7108">
      <w:pPr>
        <w:spacing w:line="400" w:lineRule="exact"/>
        <w:rPr>
          <w:rFonts w:ascii="Times New Roman" w:hAnsi="Times New Roman"/>
          <w:color w:val="auto"/>
        </w:rPr>
      </w:pPr>
    </w:p>
    <w:p w14:paraId="675E983A">
      <w:pPr>
        <w:spacing w:line="400" w:lineRule="exact"/>
        <w:rPr>
          <w:rFonts w:ascii="Times New Roman" w:hAnsi="Times New Roman"/>
          <w:color w:val="auto"/>
        </w:rPr>
      </w:pPr>
    </w:p>
    <w:p w14:paraId="55842D70">
      <w:pPr>
        <w:rPr>
          <w:color w:val="auto"/>
        </w:rPr>
      </w:pPr>
    </w:p>
    <w:p w14:paraId="59243E93">
      <w:pPr>
        <w:spacing w:line="400" w:lineRule="exact"/>
        <w:rPr>
          <w:rFonts w:ascii="Times New Roman" w:hAnsi="Times New Roman"/>
          <w:color w:val="auto"/>
        </w:rPr>
      </w:pPr>
    </w:p>
    <w:p w14:paraId="1A5462D3">
      <w:pPr>
        <w:spacing w:line="400" w:lineRule="exact"/>
        <w:rPr>
          <w:rFonts w:ascii="Times New Roman" w:hAnsi="Times New Roman"/>
          <w:color w:val="auto"/>
        </w:rPr>
      </w:pPr>
    </w:p>
    <w:p w14:paraId="4D19E648">
      <w:pPr>
        <w:jc w:val="center"/>
        <w:rPr>
          <w:rFonts w:ascii="黑体" w:hAnsi="黑体" w:eastAsia="黑体" w:cs="黑体"/>
          <w:color w:val="auto"/>
          <w:sz w:val="44"/>
          <w:szCs w:val="44"/>
        </w:rPr>
      </w:pPr>
      <w:r>
        <w:rPr>
          <w:rFonts w:hint="eastAsia" w:ascii="黑体" w:hAnsi="黑体" w:eastAsia="黑体" w:cs="黑体"/>
          <w:color w:val="auto"/>
          <w:sz w:val="44"/>
          <w:szCs w:val="44"/>
        </w:rPr>
        <w:t>陕西锌业有限公司</w:t>
      </w:r>
    </w:p>
    <w:p w14:paraId="118D6BA0">
      <w:pPr>
        <w:jc w:val="center"/>
        <w:rPr>
          <w:rFonts w:ascii="黑体" w:hAnsi="黑体" w:eastAsia="黑体" w:cs="黑体"/>
          <w:color w:val="auto"/>
          <w:sz w:val="44"/>
          <w:szCs w:val="44"/>
        </w:rPr>
      </w:pPr>
      <w:r>
        <w:rPr>
          <w:rFonts w:hint="eastAsia" w:ascii="黑体" w:hAnsi="黑体" w:eastAsia="黑体" w:cs="黑体"/>
          <w:color w:val="auto"/>
          <w:sz w:val="44"/>
          <w:szCs w:val="44"/>
        </w:rPr>
        <w:t>电解六系列桥架改造项目询比采购文件</w:t>
      </w:r>
    </w:p>
    <w:p w14:paraId="7D82C031">
      <w:pPr>
        <w:spacing w:line="400" w:lineRule="exact"/>
        <w:rPr>
          <w:rFonts w:ascii="Times New Roman" w:hAnsi="Times New Roman"/>
          <w:color w:val="auto"/>
        </w:rPr>
      </w:pPr>
    </w:p>
    <w:p w14:paraId="7ABD4A88">
      <w:pPr>
        <w:spacing w:line="400" w:lineRule="exact"/>
        <w:rPr>
          <w:rFonts w:ascii="Times New Roman" w:hAnsi="Times New Roman"/>
          <w:color w:val="auto"/>
        </w:rPr>
      </w:pPr>
    </w:p>
    <w:p w14:paraId="22B0821D">
      <w:pPr>
        <w:spacing w:line="400" w:lineRule="exact"/>
        <w:rPr>
          <w:rFonts w:ascii="Times New Roman" w:hAnsi="Times New Roman"/>
          <w:color w:val="auto"/>
        </w:rPr>
      </w:pPr>
    </w:p>
    <w:p w14:paraId="1ED58CA4">
      <w:pPr>
        <w:spacing w:line="400" w:lineRule="exact"/>
        <w:rPr>
          <w:rFonts w:ascii="Times New Roman" w:hAnsi="Times New Roman"/>
          <w:color w:val="auto"/>
        </w:rPr>
      </w:pPr>
    </w:p>
    <w:p w14:paraId="054770A2">
      <w:pPr>
        <w:spacing w:line="400" w:lineRule="exact"/>
        <w:rPr>
          <w:rFonts w:ascii="Times New Roman" w:hAnsi="Times New Roman"/>
          <w:color w:val="auto"/>
        </w:rPr>
      </w:pPr>
    </w:p>
    <w:p w14:paraId="2FECE8AF">
      <w:pPr>
        <w:spacing w:line="400" w:lineRule="exact"/>
        <w:rPr>
          <w:rFonts w:ascii="Times New Roman" w:hAnsi="Times New Roman"/>
          <w:color w:val="auto"/>
        </w:rPr>
      </w:pPr>
    </w:p>
    <w:p w14:paraId="475F5766">
      <w:pPr>
        <w:spacing w:line="400" w:lineRule="exact"/>
        <w:rPr>
          <w:rFonts w:ascii="Times New Roman" w:hAnsi="Times New Roman"/>
          <w:color w:val="auto"/>
        </w:rPr>
      </w:pPr>
    </w:p>
    <w:p w14:paraId="316767AF">
      <w:pPr>
        <w:spacing w:line="400" w:lineRule="exact"/>
        <w:rPr>
          <w:rFonts w:ascii="Times New Roman" w:hAnsi="Times New Roman"/>
          <w:color w:val="auto"/>
        </w:rPr>
      </w:pPr>
    </w:p>
    <w:p w14:paraId="37414B84">
      <w:pPr>
        <w:pStyle w:val="6"/>
        <w:spacing w:before="24" w:after="24"/>
        <w:ind w:firstLine="480"/>
        <w:rPr>
          <w:color w:val="auto"/>
        </w:rPr>
      </w:pPr>
    </w:p>
    <w:p w14:paraId="316EB507">
      <w:pPr>
        <w:pStyle w:val="6"/>
        <w:spacing w:before="24" w:after="24"/>
        <w:ind w:firstLine="480"/>
        <w:rPr>
          <w:color w:val="auto"/>
        </w:rPr>
      </w:pPr>
    </w:p>
    <w:p w14:paraId="02CEA326">
      <w:pPr>
        <w:pStyle w:val="6"/>
        <w:spacing w:before="24" w:after="24"/>
        <w:ind w:firstLine="0" w:firstLineChars="0"/>
        <w:rPr>
          <w:color w:val="auto"/>
        </w:rPr>
      </w:pPr>
    </w:p>
    <w:p w14:paraId="76AE5E45">
      <w:pPr>
        <w:pStyle w:val="6"/>
        <w:spacing w:before="24" w:after="24"/>
        <w:ind w:firstLine="0" w:firstLineChars="0"/>
        <w:rPr>
          <w:color w:val="auto"/>
        </w:rPr>
      </w:pPr>
    </w:p>
    <w:p w14:paraId="166B4156">
      <w:pPr>
        <w:spacing w:line="360" w:lineRule="auto"/>
        <w:ind w:firstLine="1800" w:firstLineChars="500"/>
        <w:rPr>
          <w:rFonts w:ascii="Times New Roman" w:hAnsi="Times New Roman" w:eastAsia="黑体"/>
          <w:color w:val="auto"/>
          <w:sz w:val="36"/>
          <w:szCs w:val="36"/>
        </w:rPr>
      </w:pPr>
      <w:r>
        <w:rPr>
          <w:rFonts w:hint="eastAsia" w:ascii="Times New Roman" w:hAnsi="Times New Roman" w:eastAsia="黑体"/>
          <w:color w:val="auto"/>
          <w:sz w:val="36"/>
          <w:szCs w:val="36"/>
        </w:rPr>
        <w:t>采购人：陕西锌业有限公司</w:t>
      </w:r>
    </w:p>
    <w:p w14:paraId="24F6BCC2">
      <w:pPr>
        <w:spacing w:line="360" w:lineRule="auto"/>
        <w:ind w:firstLine="1800" w:firstLineChars="500"/>
        <w:rPr>
          <w:rFonts w:ascii="Times New Roman" w:hAnsi="Times New Roman" w:eastAsia="黑体"/>
          <w:color w:val="auto"/>
          <w:sz w:val="36"/>
          <w:szCs w:val="36"/>
        </w:rPr>
      </w:pPr>
      <w:r>
        <w:rPr>
          <w:rFonts w:hint="eastAsia" w:ascii="Times New Roman" w:hAnsi="Times New Roman" w:eastAsia="黑体"/>
          <w:color w:val="auto"/>
          <w:sz w:val="36"/>
          <w:szCs w:val="36"/>
        </w:rPr>
        <w:t>负责人：徐  靖</w:t>
      </w:r>
    </w:p>
    <w:p w14:paraId="62DB0C8D">
      <w:pPr>
        <w:spacing w:line="360" w:lineRule="auto"/>
        <w:ind w:firstLine="5760" w:firstLineChars="1800"/>
        <w:rPr>
          <w:rFonts w:ascii="Times New Roman" w:hAnsi="Times New Roman" w:eastAsia="黑体"/>
          <w:color w:val="auto"/>
          <w:sz w:val="32"/>
          <w:szCs w:val="32"/>
        </w:rPr>
      </w:pPr>
    </w:p>
    <w:p w14:paraId="4642922C">
      <w:pPr>
        <w:spacing w:line="360" w:lineRule="auto"/>
        <w:ind w:firstLine="5760" w:firstLineChars="1800"/>
        <w:rPr>
          <w:rFonts w:ascii="Times New Roman" w:hAnsi="Times New Roman" w:eastAsia="黑体"/>
          <w:color w:val="auto"/>
          <w:sz w:val="32"/>
          <w:szCs w:val="32"/>
        </w:rPr>
      </w:pPr>
    </w:p>
    <w:p w14:paraId="24B580F7">
      <w:pPr>
        <w:spacing w:line="360" w:lineRule="auto"/>
        <w:ind w:firstLine="2880" w:firstLineChars="900"/>
        <w:rPr>
          <w:rFonts w:ascii="Times New Roman" w:hAnsi="Times New Roman" w:eastAsia="黑体"/>
          <w:color w:val="auto"/>
          <w:sz w:val="32"/>
          <w:szCs w:val="32"/>
        </w:rPr>
      </w:pPr>
      <w:r>
        <w:rPr>
          <w:rFonts w:hint="eastAsia" w:ascii="Times New Roman" w:hAnsi="Times New Roman" w:eastAsia="黑体"/>
          <w:color w:val="auto"/>
          <w:sz w:val="32"/>
          <w:szCs w:val="32"/>
        </w:rPr>
        <w:t>二〇二五年四月二十八日</w:t>
      </w:r>
    </w:p>
    <w:p w14:paraId="1FA4F3C9">
      <w:pPr>
        <w:jc w:val="center"/>
        <w:rPr>
          <w:rFonts w:ascii="Times New Roman" w:hAnsi="Times New Roman"/>
          <w:color w:val="auto"/>
          <w:sz w:val="32"/>
          <w:szCs w:val="32"/>
        </w:rPr>
        <w:sectPr>
          <w:headerReference r:id="rId3" w:type="default"/>
          <w:footerReference r:id="rId4" w:type="default"/>
          <w:footerReference r:id="rId5" w:type="even"/>
          <w:pgSz w:w="11905" w:h="16838"/>
          <w:pgMar w:top="1134" w:right="1134" w:bottom="1134" w:left="1417" w:header="720" w:footer="720" w:gutter="0"/>
          <w:cols w:space="720" w:num="1"/>
          <w:docGrid w:linePitch="285" w:charSpace="0"/>
        </w:sectPr>
      </w:pPr>
    </w:p>
    <w:p w14:paraId="496C3DB2">
      <w:pPr>
        <w:pStyle w:val="11"/>
        <w:widowControl/>
        <w:spacing w:beforeAutospacing="0" w:afterAutospacing="0" w:line="405" w:lineRule="atLeast"/>
        <w:jc w:val="center"/>
        <w:rPr>
          <w:rStyle w:val="15"/>
          <w:rFonts w:ascii="方正小标宋简体" w:hAnsi="方正小标宋简体" w:eastAsia="方正小标宋简体" w:cs="方正小标宋简体"/>
          <w:color w:val="auto"/>
          <w:sz w:val="36"/>
          <w:szCs w:val="36"/>
        </w:rPr>
      </w:pPr>
      <w:r>
        <w:rPr>
          <w:rStyle w:val="15"/>
          <w:rFonts w:hint="eastAsia" w:ascii="方正小标宋简体" w:hAnsi="方正小标宋简体" w:eastAsia="方正小标宋简体" w:cs="方正小标宋简体"/>
          <w:color w:val="auto"/>
          <w:sz w:val="36"/>
          <w:szCs w:val="36"/>
        </w:rPr>
        <w:t>陕西锌业有限公司</w:t>
      </w:r>
    </w:p>
    <w:p w14:paraId="5D96F669">
      <w:pPr>
        <w:pStyle w:val="11"/>
        <w:widowControl/>
        <w:spacing w:beforeAutospacing="0" w:afterAutospacing="0" w:line="405" w:lineRule="atLeast"/>
        <w:jc w:val="center"/>
        <w:rPr>
          <w:rFonts w:ascii="方正小标宋简体" w:hAnsi="方正小标宋简体" w:eastAsia="方正小标宋简体" w:cs="方正小标宋简体"/>
          <w:b/>
          <w:color w:val="auto"/>
          <w:sz w:val="36"/>
          <w:szCs w:val="36"/>
        </w:rPr>
      </w:pPr>
      <w:r>
        <w:rPr>
          <w:rStyle w:val="15"/>
          <w:rFonts w:hint="eastAsia" w:ascii="方正小标宋简体" w:hAnsi="方正小标宋简体" w:eastAsia="方正小标宋简体" w:cs="方正小标宋简体"/>
          <w:color w:val="auto"/>
          <w:sz w:val="36"/>
          <w:szCs w:val="36"/>
        </w:rPr>
        <w:t>电解六系列桥架改造项目询比采购邀请函</w:t>
      </w:r>
    </w:p>
    <w:p w14:paraId="242C1034">
      <w:pPr>
        <w:spacing w:line="48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 </w:t>
      </w:r>
    </w:p>
    <w:p w14:paraId="0BDF9DE4">
      <w:pPr>
        <w:spacing w:line="50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陕西锌业有限公司因生产需要，需改造</w:t>
      </w:r>
      <w:bookmarkStart w:id="0" w:name="OLE_LINK14"/>
      <w:bookmarkStart w:id="1" w:name="OLE_LINK15"/>
      <w:r>
        <w:rPr>
          <w:rFonts w:hint="eastAsia" w:ascii="仿宋" w:hAnsi="仿宋" w:eastAsia="仿宋" w:cs="仿宋"/>
          <w:color w:val="auto"/>
          <w:sz w:val="32"/>
          <w:szCs w:val="32"/>
        </w:rPr>
        <w:t>电解六系列桥架</w:t>
      </w:r>
      <w:bookmarkEnd w:id="0"/>
      <w:bookmarkEnd w:id="1"/>
      <w:r>
        <w:rPr>
          <w:rFonts w:hint="eastAsia" w:ascii="仿宋" w:hAnsi="仿宋" w:eastAsia="仿宋" w:cs="仿宋"/>
          <w:color w:val="auto"/>
          <w:sz w:val="32"/>
          <w:szCs w:val="32"/>
        </w:rPr>
        <w:t>，按照公司有关规定，拟通过询比方式选定电解六系列桥架改造的设计及安装单位，欢迎具备相应资质及能力的单位参与该项目询比采购，具体内容如下：</w:t>
      </w:r>
      <w:bookmarkStart w:id="2" w:name="_Toc14440"/>
      <w:bookmarkStart w:id="3" w:name="_Toc33795775"/>
      <w:bookmarkStart w:id="4" w:name="_Toc20230"/>
      <w:bookmarkStart w:id="5" w:name="_Toc4593"/>
    </w:p>
    <w:p w14:paraId="249C054D">
      <w:pPr>
        <w:spacing w:line="500" w:lineRule="exact"/>
        <w:jc w:val="left"/>
        <w:rPr>
          <w:rFonts w:ascii="仿宋" w:hAnsi="仿宋" w:eastAsia="仿宋" w:cs="仿宋"/>
          <w:color w:val="auto"/>
          <w:sz w:val="32"/>
          <w:szCs w:val="32"/>
        </w:rPr>
      </w:pPr>
      <w:r>
        <w:rPr>
          <w:rFonts w:hint="eastAsia" w:ascii="仿宋" w:hAnsi="仿宋" w:eastAsia="仿宋" w:cs="仿宋"/>
          <w:b/>
          <w:bCs/>
          <w:color w:val="auto"/>
          <w:sz w:val="32"/>
          <w:szCs w:val="32"/>
        </w:rPr>
        <w:t>一、采购项目</w:t>
      </w:r>
      <w:bookmarkEnd w:id="2"/>
      <w:bookmarkEnd w:id="3"/>
      <w:bookmarkEnd w:id="4"/>
      <w:bookmarkEnd w:id="5"/>
      <w:r>
        <w:rPr>
          <w:rFonts w:hint="eastAsia" w:ascii="仿宋" w:hAnsi="仿宋" w:eastAsia="仿宋" w:cs="仿宋"/>
          <w:b/>
          <w:bCs/>
          <w:color w:val="auto"/>
          <w:sz w:val="32"/>
          <w:szCs w:val="32"/>
        </w:rPr>
        <w:t>基本要求</w:t>
      </w:r>
    </w:p>
    <w:p w14:paraId="55452C58">
      <w:pPr>
        <w:pStyle w:val="3"/>
        <w:spacing w:before="0" w:after="0" w:line="500" w:lineRule="exact"/>
        <w:ind w:firstLine="320" w:firstLineChars="100"/>
        <w:rPr>
          <w:rFonts w:ascii="仿宋" w:hAnsi="仿宋" w:eastAsia="仿宋" w:cs="仿宋"/>
          <w:b w:val="0"/>
          <w:bCs/>
          <w:color w:val="auto"/>
          <w:szCs w:val="32"/>
        </w:rPr>
      </w:pPr>
      <w:r>
        <w:rPr>
          <w:rFonts w:hint="eastAsia" w:ascii="仿宋" w:hAnsi="仿宋" w:eastAsia="仿宋" w:cs="仿宋"/>
          <w:b w:val="0"/>
          <w:bCs/>
          <w:color w:val="auto"/>
          <w:szCs w:val="32"/>
        </w:rPr>
        <w:t>（一）采购人：陕西锌业有限公司</w:t>
      </w:r>
    </w:p>
    <w:p w14:paraId="547CB5A2">
      <w:pPr>
        <w:spacing w:line="500" w:lineRule="exact"/>
        <w:ind w:firstLine="320" w:firstLineChars="100"/>
        <w:rPr>
          <w:rFonts w:ascii="仿宋" w:hAnsi="仿宋" w:eastAsia="仿宋" w:cs="仿宋"/>
          <w:color w:val="auto"/>
          <w:sz w:val="32"/>
          <w:szCs w:val="32"/>
        </w:rPr>
      </w:pPr>
      <w:r>
        <w:rPr>
          <w:rFonts w:hint="eastAsia" w:ascii="仿宋" w:hAnsi="仿宋" w:eastAsia="仿宋" w:cs="仿宋"/>
          <w:color w:val="auto"/>
          <w:sz w:val="32"/>
          <w:szCs w:val="32"/>
        </w:rPr>
        <w:t>（二）采购项目名称：陕西锌业有限公司电解六系列桥架改造工程。</w:t>
      </w:r>
    </w:p>
    <w:p w14:paraId="334C758C">
      <w:pPr>
        <w:spacing w:line="500" w:lineRule="exact"/>
        <w:ind w:firstLine="320" w:firstLineChars="100"/>
        <w:rPr>
          <w:rFonts w:ascii="仿宋" w:hAnsi="仿宋" w:eastAsia="仿宋" w:cs="仿宋"/>
          <w:color w:val="auto"/>
          <w:sz w:val="32"/>
          <w:szCs w:val="32"/>
        </w:rPr>
      </w:pPr>
      <w:r>
        <w:rPr>
          <w:rFonts w:hint="eastAsia" w:ascii="仿宋" w:hAnsi="仿宋" w:eastAsia="仿宋" w:cs="仿宋"/>
          <w:color w:val="auto"/>
          <w:sz w:val="32"/>
          <w:szCs w:val="32"/>
        </w:rPr>
        <w:t>（三）工期：总工期60天。</w:t>
      </w:r>
    </w:p>
    <w:p w14:paraId="4E621BA0">
      <w:pPr>
        <w:spacing w:line="500" w:lineRule="exact"/>
        <w:ind w:firstLine="320" w:firstLineChars="100"/>
        <w:rPr>
          <w:rFonts w:ascii="仿宋" w:hAnsi="仿宋" w:eastAsia="仿宋" w:cs="仿宋"/>
          <w:color w:val="auto"/>
          <w:sz w:val="32"/>
          <w:szCs w:val="32"/>
        </w:rPr>
      </w:pPr>
      <w:r>
        <w:rPr>
          <w:rFonts w:hint="eastAsia" w:ascii="仿宋" w:hAnsi="仿宋" w:eastAsia="仿宋" w:cs="仿宋"/>
          <w:color w:val="auto"/>
          <w:sz w:val="32"/>
          <w:szCs w:val="32"/>
        </w:rPr>
        <w:t>（四）项目实施地点：商洛市商州区</w:t>
      </w:r>
      <w:r>
        <w:rPr>
          <w:rFonts w:hint="eastAsia" w:ascii="仿宋" w:hAnsi="仿宋" w:eastAsia="仿宋" w:cs="仿宋"/>
          <w:bCs/>
          <w:color w:val="auto"/>
          <w:sz w:val="32"/>
          <w:szCs w:val="32"/>
        </w:rPr>
        <w:t>陕西锌业有限公司</w:t>
      </w:r>
      <w:r>
        <w:rPr>
          <w:rFonts w:hint="eastAsia" w:ascii="仿宋" w:hAnsi="仿宋" w:eastAsia="仿宋" w:cs="仿宋"/>
          <w:color w:val="auto"/>
          <w:sz w:val="32"/>
          <w:szCs w:val="32"/>
        </w:rPr>
        <w:t xml:space="preserve">    </w:t>
      </w:r>
    </w:p>
    <w:p w14:paraId="792B1FAB">
      <w:pPr>
        <w:ind w:firstLine="320" w:firstLineChars="100"/>
        <w:rPr>
          <w:rFonts w:ascii="仿宋" w:hAnsi="仿宋" w:eastAsia="仿宋"/>
          <w:color w:val="auto"/>
          <w:sz w:val="28"/>
          <w:szCs w:val="28"/>
        </w:rPr>
      </w:pPr>
      <w:r>
        <w:rPr>
          <w:rFonts w:hint="eastAsia" w:ascii="仿宋" w:hAnsi="仿宋" w:eastAsia="仿宋" w:cs="仿宋"/>
          <w:color w:val="auto"/>
          <w:sz w:val="32"/>
          <w:szCs w:val="32"/>
        </w:rPr>
        <w:t>（五）项目</w:t>
      </w:r>
      <w:r>
        <w:rPr>
          <w:rFonts w:hint="eastAsia" w:ascii="仿宋" w:hAnsi="仿宋" w:eastAsia="仿宋"/>
          <w:color w:val="auto"/>
          <w:sz w:val="32"/>
          <w:szCs w:val="32"/>
        </w:rPr>
        <w:t>内容：</w:t>
      </w:r>
    </w:p>
    <w:p w14:paraId="647B44EC">
      <w:pPr>
        <w:ind w:firstLine="640" w:firstLineChars="200"/>
        <w:rPr>
          <w:rFonts w:ascii="仿宋" w:hAnsi="仿宋" w:eastAsia="仿宋"/>
          <w:color w:val="auto"/>
          <w:sz w:val="32"/>
          <w:szCs w:val="32"/>
        </w:rPr>
      </w:pPr>
      <w:r>
        <w:rPr>
          <w:rFonts w:hint="eastAsia" w:ascii="仿宋" w:hAnsi="仿宋" w:eastAsia="仿宋"/>
          <w:color w:val="auto"/>
          <w:sz w:val="32"/>
          <w:szCs w:val="32"/>
        </w:rPr>
        <w:t>1.主要施工内容：桥架基础、C25毛石混凝土挡墙、钢结构桥架工程、附属维修等。</w:t>
      </w:r>
    </w:p>
    <w:p w14:paraId="15376137">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2.工程资料：</w:t>
      </w:r>
    </w:p>
    <w:p w14:paraId="570C2289">
      <w:pPr>
        <w:spacing w:line="460" w:lineRule="exact"/>
        <w:ind w:firstLine="640" w:firstLineChars="200"/>
        <w:rPr>
          <w:rFonts w:ascii="仿宋" w:hAnsi="仿宋" w:eastAsia="仿宋" w:cs="仿宋"/>
          <w:color w:val="auto"/>
          <w:sz w:val="32"/>
          <w:szCs w:val="32"/>
          <w:highlight w:val="yellow"/>
        </w:rPr>
      </w:pPr>
      <w:r>
        <w:rPr>
          <w:rFonts w:hint="eastAsia" w:ascii="仿宋" w:hAnsi="仿宋" w:eastAsia="仿宋"/>
          <w:color w:val="auto"/>
          <w:sz w:val="32"/>
          <w:szCs w:val="32"/>
        </w:rPr>
        <w:t>完成本项目范围内的建筑工程施工以及安装施工工作及配套服务、竣工图等与本工程相关的技术工作。</w:t>
      </w:r>
    </w:p>
    <w:p w14:paraId="71BDBF3E">
      <w:pPr>
        <w:overflowPunct w:val="0"/>
        <w:adjustRightInd w:val="0"/>
        <w:spacing w:line="500" w:lineRule="exact"/>
        <w:ind w:firstLine="320" w:firstLineChars="100"/>
        <w:textAlignment w:val="baseline"/>
        <w:rPr>
          <w:rFonts w:ascii="仿宋" w:hAnsi="仿宋" w:eastAsia="仿宋" w:cs="仿宋"/>
          <w:color w:val="auto"/>
          <w:sz w:val="32"/>
          <w:szCs w:val="32"/>
        </w:rPr>
      </w:pPr>
      <w:r>
        <w:rPr>
          <w:rFonts w:hint="eastAsia" w:ascii="仿宋" w:hAnsi="仿宋" w:eastAsia="仿宋" w:cs="仿宋"/>
          <w:color w:val="auto"/>
          <w:sz w:val="32"/>
          <w:szCs w:val="32"/>
        </w:rPr>
        <w:t>（六）质量、安全、进度要求：</w:t>
      </w:r>
    </w:p>
    <w:p w14:paraId="43428CB4">
      <w:pPr>
        <w:overflowPunct w:val="0"/>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olor w:val="auto"/>
          <w:sz w:val="32"/>
          <w:szCs w:val="32"/>
        </w:rPr>
        <w:t>符合国家及地方现行的有关规程、规范、验收标准。</w:t>
      </w:r>
    </w:p>
    <w:p w14:paraId="347F12D0">
      <w:pPr>
        <w:overflowPunct w:val="0"/>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2.承包方管道及主要材料应有合格证、使用说明书、出厂质量检验报告单等，否则按不合格品对待。</w:t>
      </w:r>
    </w:p>
    <w:p w14:paraId="0DAE1C05">
      <w:pPr>
        <w:overflowPunct w:val="0"/>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3.质量保证期：质保期24个月，在质保期内出现质量问题承包方应无条件维修，如因工程质量问题给采购人造成损失的，承包方应承担相应的赔偿责任。</w:t>
      </w:r>
      <w:bookmarkStart w:id="6" w:name="_Toc14688"/>
      <w:bookmarkStart w:id="7" w:name="_Toc29895"/>
      <w:bookmarkStart w:id="8" w:name="_Toc14196"/>
      <w:bookmarkStart w:id="9" w:name="_Toc33795778"/>
    </w:p>
    <w:p w14:paraId="54DE22CA">
      <w:pPr>
        <w:overflowPunct w:val="0"/>
        <w:spacing w:line="500" w:lineRule="exact"/>
        <w:ind w:firstLine="640" w:firstLineChars="200"/>
        <w:rPr>
          <w:rFonts w:ascii="仿宋" w:hAnsi="仿宋" w:eastAsia="仿宋" w:cs="仿宋"/>
          <w:bCs/>
          <w:color w:val="auto"/>
          <w:sz w:val="32"/>
          <w:szCs w:val="32"/>
        </w:rPr>
      </w:pPr>
      <w:r>
        <w:rPr>
          <w:rFonts w:hint="eastAsia" w:ascii="仿宋" w:hAnsi="仿宋" w:eastAsia="仿宋" w:cs="仿宋"/>
          <w:color w:val="auto"/>
          <w:sz w:val="32"/>
          <w:szCs w:val="32"/>
        </w:rPr>
        <w:t>4.要求竞价文件中包含质量、安全、进度保障措施，有具体的进度计划和保障措施到位。安全要求无事故、质量要求合格，工期进度要求能提前完成，如若工期推迟一天处罚1000元，累计计算。</w:t>
      </w:r>
    </w:p>
    <w:p w14:paraId="718D221B">
      <w:pPr>
        <w:overflowPunct w:val="0"/>
        <w:adjustRightInd w:val="0"/>
        <w:spacing w:line="500" w:lineRule="exact"/>
        <w:ind w:firstLine="320" w:firstLineChars="100"/>
        <w:rPr>
          <w:rFonts w:ascii="仿宋" w:hAnsi="仿宋" w:eastAsia="仿宋" w:cs="仿宋"/>
          <w:bCs/>
          <w:color w:val="auto"/>
          <w:sz w:val="32"/>
          <w:szCs w:val="32"/>
        </w:rPr>
      </w:pPr>
      <w:r>
        <w:rPr>
          <w:rFonts w:hint="eastAsia" w:ascii="仿宋" w:hAnsi="仿宋" w:eastAsia="仿宋" w:cs="仿宋"/>
          <w:bCs/>
          <w:color w:val="auto"/>
          <w:sz w:val="32"/>
          <w:szCs w:val="32"/>
        </w:rPr>
        <w:t>（七）验收标准、方法：依据建筑工程、金属结构工程质量标准验收合格。</w:t>
      </w:r>
    </w:p>
    <w:p w14:paraId="57B737AF">
      <w:pPr>
        <w:overflowPunct w:val="0"/>
        <w:spacing w:line="500" w:lineRule="exact"/>
        <w:ind w:firstLine="320" w:firstLineChars="100"/>
        <w:rPr>
          <w:rFonts w:ascii="仿宋" w:hAnsi="仿宋" w:eastAsia="仿宋" w:cs="仿宋"/>
          <w:color w:val="auto"/>
          <w:sz w:val="32"/>
          <w:szCs w:val="32"/>
        </w:rPr>
      </w:pPr>
      <w:r>
        <w:rPr>
          <w:rFonts w:hint="eastAsia" w:ascii="仿宋" w:hAnsi="仿宋" w:eastAsia="仿宋" w:cs="仿宋"/>
          <w:color w:val="auto"/>
          <w:sz w:val="32"/>
          <w:szCs w:val="32"/>
        </w:rPr>
        <w:t>（八）付款方式：按施工进度期付款，合同签订后，承包方提供合同发票，采购方支付合同总额30%作为预付款；安装完毕，工程质量验收合格，采购方再付合同总额的50%；承包方提供合格施工报告及竣工资料后，第三方审计完成采购方再付合同结算尾款；预留余3%作为质保金，项目使用质保期内无质量问题采购人一次性付清。</w:t>
      </w:r>
    </w:p>
    <w:p w14:paraId="64C870A5">
      <w:pPr>
        <w:overflowPunct w:val="0"/>
        <w:spacing w:line="500" w:lineRule="exact"/>
        <w:ind w:firstLine="320" w:firstLineChars="100"/>
        <w:rPr>
          <w:rFonts w:ascii="仿宋" w:hAnsi="仿宋" w:eastAsia="仿宋" w:cs="仿宋"/>
          <w:color w:val="auto"/>
          <w:sz w:val="32"/>
          <w:szCs w:val="32"/>
        </w:rPr>
      </w:pPr>
      <w:r>
        <w:rPr>
          <w:rFonts w:hint="eastAsia" w:ascii="仿宋" w:hAnsi="仿宋" w:eastAsia="仿宋" w:cs="仿宋"/>
          <w:color w:val="auto"/>
          <w:sz w:val="32"/>
          <w:szCs w:val="32"/>
        </w:rPr>
        <w:t>（九）响应供应商资格和履约能力要求</w:t>
      </w:r>
      <w:bookmarkEnd w:id="6"/>
      <w:bookmarkEnd w:id="7"/>
      <w:bookmarkEnd w:id="8"/>
      <w:bookmarkEnd w:id="9"/>
      <w:r>
        <w:rPr>
          <w:rFonts w:hint="eastAsia" w:ascii="仿宋" w:hAnsi="仿宋" w:eastAsia="仿宋" w:cs="仿宋"/>
          <w:color w:val="auto"/>
          <w:sz w:val="32"/>
          <w:szCs w:val="32"/>
        </w:rPr>
        <w:t>：</w:t>
      </w:r>
    </w:p>
    <w:p w14:paraId="001F9CC5">
      <w:pPr>
        <w:overflowPunct w:val="0"/>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1.资质要求：</w:t>
      </w:r>
    </w:p>
    <w:p w14:paraId="63053786">
      <w:pPr>
        <w:overflowPunct w:val="0"/>
        <w:spacing w:line="500" w:lineRule="exact"/>
        <w:ind w:firstLine="320" w:firstLineChars="100"/>
        <w:rPr>
          <w:rFonts w:ascii="仿宋" w:hAnsi="仿宋" w:eastAsia="仿宋" w:cs="仿宋"/>
          <w:color w:val="auto"/>
          <w:sz w:val="32"/>
          <w:szCs w:val="32"/>
        </w:rPr>
      </w:pPr>
      <w:r>
        <w:rPr>
          <w:rFonts w:hint="eastAsia" w:ascii="仿宋" w:hAnsi="仿宋" w:eastAsia="仿宋" w:cs="仿宋"/>
          <w:color w:val="auto"/>
          <w:sz w:val="32"/>
          <w:szCs w:val="32"/>
        </w:rPr>
        <w:t>（1）响应供应商须为中华人民共和国境内依法注册的法人或者其他组织，有能力完成本项目，具备合法的营业执照；</w:t>
      </w:r>
    </w:p>
    <w:p w14:paraId="3782CC1C">
      <w:pPr>
        <w:spacing w:line="540" w:lineRule="exact"/>
        <w:ind w:firstLine="320" w:firstLineChars="100"/>
        <w:rPr>
          <w:color w:val="auto"/>
        </w:rPr>
      </w:pPr>
      <w:r>
        <w:rPr>
          <w:rFonts w:hint="eastAsia" w:ascii="仿宋" w:hAnsi="仿宋" w:eastAsia="仿宋" w:cs="仿宋"/>
          <w:color w:val="auto"/>
          <w:sz w:val="32"/>
          <w:szCs w:val="32"/>
        </w:rPr>
        <w:t>（2）响应供应商</w:t>
      </w:r>
      <w:r>
        <w:rPr>
          <w:rFonts w:hint="eastAsia" w:ascii="仿宋" w:hAnsi="仿宋" w:eastAsia="仿宋"/>
          <w:bCs/>
          <w:color w:val="auto"/>
          <w:sz w:val="32"/>
          <w:szCs w:val="32"/>
        </w:rPr>
        <w:t>必须具有建筑施工总承包二级及以上资质（包含二级）；</w:t>
      </w:r>
    </w:p>
    <w:p w14:paraId="3850B602">
      <w:pPr>
        <w:overflowPunct w:val="0"/>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2.信用要求：</w:t>
      </w:r>
    </w:p>
    <w:p w14:paraId="69355701">
      <w:pPr>
        <w:overflowPunct w:val="0"/>
        <w:spacing w:line="500" w:lineRule="exact"/>
        <w:ind w:firstLine="320" w:firstLineChars="100"/>
        <w:rPr>
          <w:rFonts w:ascii="仿宋" w:hAnsi="仿宋" w:eastAsia="仿宋" w:cs="仿宋"/>
          <w:color w:val="auto"/>
          <w:sz w:val="32"/>
          <w:szCs w:val="32"/>
        </w:rPr>
      </w:pPr>
      <w:r>
        <w:rPr>
          <w:rFonts w:hint="eastAsia" w:ascii="仿宋" w:hAnsi="仿宋" w:eastAsia="仿宋" w:cs="仿宋"/>
          <w:color w:val="auto"/>
          <w:sz w:val="32"/>
          <w:szCs w:val="32"/>
        </w:rPr>
        <w:t>（1）供应商具有良好的银行资信和商业信誉，没有处于被责令停业、财产被接管、冻结、破产状态（附承诺书）；</w:t>
      </w:r>
    </w:p>
    <w:p w14:paraId="2839E8FF">
      <w:pPr>
        <w:overflowPunct w:val="0"/>
        <w:spacing w:line="500" w:lineRule="exact"/>
        <w:ind w:firstLine="320" w:firstLineChars="100"/>
        <w:rPr>
          <w:rFonts w:ascii="仿宋" w:hAnsi="仿宋" w:eastAsia="仿宋" w:cs="仿宋"/>
          <w:color w:val="auto"/>
          <w:sz w:val="32"/>
          <w:szCs w:val="32"/>
        </w:rPr>
      </w:pPr>
      <w:r>
        <w:rPr>
          <w:rFonts w:hint="eastAsia" w:ascii="仿宋" w:hAnsi="仿宋" w:eastAsia="仿宋" w:cs="仿宋"/>
          <w:color w:val="auto"/>
          <w:sz w:val="32"/>
          <w:szCs w:val="32"/>
        </w:rPr>
        <w:t>（2）供应商不得在“信用中国-中国执行信息公开网”被列为失信被执行人；</w:t>
      </w:r>
    </w:p>
    <w:p w14:paraId="3DAD6861">
      <w:pPr>
        <w:overflowPunct w:val="0"/>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3.业绩要求：供应商</w:t>
      </w:r>
      <w:r>
        <w:rPr>
          <w:rFonts w:ascii="仿宋" w:hAnsi="仿宋" w:eastAsia="仿宋" w:cs="仿宋"/>
          <w:color w:val="auto"/>
          <w:sz w:val="32"/>
          <w:szCs w:val="32"/>
        </w:rPr>
        <w:t>提供2份</w:t>
      </w:r>
      <w:r>
        <w:rPr>
          <w:rFonts w:hint="eastAsia" w:ascii="仿宋" w:hAnsi="仿宋" w:eastAsia="仿宋" w:cs="仿宋"/>
          <w:color w:val="auto"/>
          <w:sz w:val="32"/>
          <w:szCs w:val="32"/>
        </w:rPr>
        <w:t>2023年3月至今具有</w:t>
      </w:r>
      <w:bookmarkStart w:id="10" w:name="OLE_LINK5"/>
      <w:bookmarkStart w:id="11" w:name="OLE_LINK4"/>
      <w:r>
        <w:rPr>
          <w:rFonts w:hint="eastAsia" w:ascii="仿宋" w:hAnsi="仿宋" w:eastAsia="仿宋" w:cs="仿宋"/>
          <w:color w:val="auto"/>
          <w:sz w:val="32"/>
          <w:szCs w:val="32"/>
        </w:rPr>
        <w:t>建筑</w:t>
      </w:r>
      <w:r>
        <w:rPr>
          <w:rFonts w:ascii="仿宋" w:hAnsi="仿宋" w:eastAsia="仿宋" w:cs="仿宋"/>
          <w:color w:val="auto"/>
          <w:sz w:val="32"/>
          <w:szCs w:val="32"/>
        </w:rPr>
        <w:t>施工</w:t>
      </w:r>
      <w:r>
        <w:rPr>
          <w:rFonts w:hint="eastAsia" w:ascii="仿宋" w:hAnsi="仿宋" w:eastAsia="仿宋" w:cs="仿宋"/>
          <w:color w:val="auto"/>
          <w:sz w:val="32"/>
          <w:szCs w:val="32"/>
        </w:rPr>
        <w:t>业绩</w:t>
      </w:r>
      <w:bookmarkEnd w:id="10"/>
      <w:bookmarkEnd w:id="11"/>
      <w:r>
        <w:rPr>
          <w:rFonts w:hint="eastAsia" w:ascii="仿宋" w:hAnsi="仿宋" w:eastAsia="仿宋" w:cs="仿宋"/>
          <w:color w:val="auto"/>
          <w:sz w:val="32"/>
          <w:szCs w:val="32"/>
        </w:rPr>
        <w:t>（提供合同复印件，时间以合同签订时间为准）；</w:t>
      </w:r>
    </w:p>
    <w:p w14:paraId="7C3A26AA">
      <w:pPr>
        <w:overflowPunct w:val="0"/>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4.联合体响应：本项目不接受联合体响应。</w:t>
      </w:r>
    </w:p>
    <w:p w14:paraId="2F645C7D">
      <w:pPr>
        <w:overflowPunct w:val="0"/>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5.其他要求：</w:t>
      </w:r>
    </w:p>
    <w:p w14:paraId="63F05DFB">
      <w:pPr>
        <w:overflowPunct w:val="0"/>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供应商不得存在下列情形之一：</w:t>
      </w:r>
    </w:p>
    <w:p w14:paraId="384611E1">
      <w:pPr>
        <w:overflowPunct w:val="0"/>
        <w:spacing w:line="500" w:lineRule="exact"/>
        <w:ind w:firstLine="320" w:firstLineChars="100"/>
        <w:rPr>
          <w:rFonts w:ascii="仿宋" w:hAnsi="仿宋" w:eastAsia="仿宋" w:cs="仿宋"/>
          <w:color w:val="auto"/>
          <w:sz w:val="32"/>
          <w:szCs w:val="32"/>
        </w:rPr>
      </w:pPr>
      <w:r>
        <w:rPr>
          <w:rFonts w:hint="eastAsia" w:ascii="仿宋" w:hAnsi="仿宋" w:eastAsia="仿宋" w:cs="仿宋"/>
          <w:color w:val="auto"/>
          <w:sz w:val="32"/>
          <w:szCs w:val="32"/>
        </w:rPr>
        <w:t>（1）与采购人存在利害关系可能影响询比采购公正性；</w:t>
      </w:r>
    </w:p>
    <w:p w14:paraId="0AE32EF6">
      <w:pPr>
        <w:overflowPunct w:val="0"/>
        <w:spacing w:line="500" w:lineRule="exact"/>
        <w:ind w:firstLine="320" w:firstLineChars="100"/>
        <w:rPr>
          <w:rFonts w:ascii="仿宋" w:hAnsi="仿宋" w:eastAsia="仿宋" w:cs="仿宋"/>
          <w:color w:val="auto"/>
          <w:sz w:val="32"/>
          <w:szCs w:val="32"/>
        </w:rPr>
      </w:pPr>
      <w:r>
        <w:rPr>
          <w:rFonts w:hint="eastAsia" w:ascii="仿宋" w:hAnsi="仿宋" w:eastAsia="仿宋" w:cs="仿宋"/>
          <w:color w:val="auto"/>
          <w:sz w:val="32"/>
          <w:szCs w:val="32"/>
        </w:rPr>
        <w:t>（2）法定代表人（单位负责人）为同一人或者存在控股、管理关系的不同法人或其他组织同时参加询比采购；</w:t>
      </w:r>
    </w:p>
    <w:p w14:paraId="0AED460E">
      <w:pPr>
        <w:overflowPunct w:val="0"/>
        <w:spacing w:line="500" w:lineRule="exact"/>
        <w:ind w:firstLine="320" w:firstLineChars="100"/>
        <w:rPr>
          <w:rFonts w:ascii="仿宋" w:hAnsi="仿宋" w:eastAsia="仿宋" w:cs="仿宋"/>
          <w:color w:val="auto"/>
          <w:sz w:val="32"/>
          <w:szCs w:val="32"/>
        </w:rPr>
      </w:pPr>
      <w:r>
        <w:rPr>
          <w:rFonts w:hint="eastAsia" w:ascii="仿宋" w:hAnsi="仿宋" w:eastAsia="仿宋" w:cs="仿宋"/>
          <w:color w:val="auto"/>
          <w:sz w:val="32"/>
          <w:szCs w:val="32"/>
        </w:rPr>
        <w:t xml:space="preserve">（3）被依法暂停或者取消询比采购资格； </w:t>
      </w:r>
    </w:p>
    <w:p w14:paraId="2035BF27">
      <w:pPr>
        <w:overflowPunct w:val="0"/>
        <w:spacing w:line="500" w:lineRule="exact"/>
        <w:ind w:firstLine="320" w:firstLineChars="100"/>
        <w:rPr>
          <w:rFonts w:ascii="仿宋" w:hAnsi="仿宋" w:eastAsia="仿宋" w:cs="仿宋"/>
          <w:color w:val="auto"/>
          <w:sz w:val="32"/>
          <w:szCs w:val="32"/>
        </w:rPr>
      </w:pPr>
      <w:r>
        <w:rPr>
          <w:rFonts w:hint="eastAsia" w:ascii="仿宋" w:hAnsi="仿宋" w:eastAsia="仿宋" w:cs="仿宋"/>
          <w:color w:val="auto"/>
          <w:sz w:val="32"/>
          <w:szCs w:val="32"/>
        </w:rPr>
        <w:t>（4）被责令停产停业、暂扣或者吊销许可证、暂扣或者吊销执照；</w:t>
      </w:r>
    </w:p>
    <w:p w14:paraId="2D35733C">
      <w:pPr>
        <w:overflowPunct w:val="0"/>
        <w:spacing w:line="500" w:lineRule="exact"/>
        <w:ind w:firstLine="320" w:firstLineChars="100"/>
        <w:rPr>
          <w:rFonts w:ascii="仿宋" w:hAnsi="仿宋" w:eastAsia="仿宋" w:cs="仿宋"/>
          <w:color w:val="auto"/>
          <w:sz w:val="32"/>
          <w:szCs w:val="32"/>
        </w:rPr>
      </w:pPr>
      <w:r>
        <w:rPr>
          <w:rFonts w:hint="eastAsia" w:ascii="仿宋" w:hAnsi="仿宋" w:eastAsia="仿宋" w:cs="仿宋"/>
          <w:color w:val="auto"/>
          <w:sz w:val="32"/>
          <w:szCs w:val="32"/>
        </w:rPr>
        <w:t>（5）进入清算程序，或被宣告破产，或其他丧失履约能力的情形；</w:t>
      </w:r>
    </w:p>
    <w:p w14:paraId="001E998A">
      <w:pPr>
        <w:overflowPunct w:val="0"/>
        <w:spacing w:line="500" w:lineRule="exact"/>
        <w:ind w:firstLine="320" w:firstLineChars="100"/>
        <w:rPr>
          <w:rFonts w:ascii="仿宋" w:hAnsi="仿宋" w:eastAsia="仿宋" w:cs="仿宋"/>
          <w:color w:val="auto"/>
          <w:sz w:val="32"/>
          <w:szCs w:val="32"/>
        </w:rPr>
      </w:pPr>
      <w:r>
        <w:rPr>
          <w:rFonts w:hint="eastAsia" w:ascii="仿宋" w:hAnsi="仿宋" w:eastAsia="仿宋" w:cs="仿宋"/>
          <w:color w:val="auto"/>
          <w:sz w:val="32"/>
          <w:szCs w:val="32"/>
        </w:rPr>
        <w:t>（6）在最近三年内发生重大工程质量问题；</w:t>
      </w:r>
    </w:p>
    <w:p w14:paraId="4698FE72">
      <w:pPr>
        <w:overflowPunct w:val="0"/>
        <w:spacing w:line="500" w:lineRule="exact"/>
        <w:ind w:firstLine="320" w:firstLineChars="100"/>
        <w:rPr>
          <w:rFonts w:ascii="微软雅黑" w:hAnsi="微软雅黑" w:eastAsia="微软雅黑" w:cs="微软雅黑"/>
          <w:color w:val="auto"/>
          <w:sz w:val="27"/>
          <w:szCs w:val="27"/>
        </w:rPr>
      </w:pPr>
      <w:r>
        <w:rPr>
          <w:rFonts w:hint="eastAsia" w:ascii="仿宋" w:hAnsi="仿宋" w:eastAsia="仿宋" w:cs="仿宋"/>
          <w:color w:val="auto"/>
          <w:sz w:val="32"/>
          <w:szCs w:val="32"/>
        </w:rPr>
        <w:t>（7）法律法规规定的其他情形。</w:t>
      </w:r>
    </w:p>
    <w:p w14:paraId="0F200555">
      <w:pPr>
        <w:overflowPunct w:val="0"/>
        <w:spacing w:line="500" w:lineRule="exact"/>
        <w:rPr>
          <w:rFonts w:ascii="仿宋" w:hAnsi="仿宋" w:eastAsia="仿宋" w:cs="仿宋"/>
          <w:color w:val="auto"/>
          <w:sz w:val="32"/>
          <w:szCs w:val="32"/>
        </w:rPr>
      </w:pPr>
      <w:r>
        <w:rPr>
          <w:rFonts w:hint="eastAsia" w:ascii="仿宋" w:hAnsi="仿宋" w:eastAsia="仿宋" w:cs="仿宋"/>
          <w:b/>
          <w:bCs/>
          <w:color w:val="auto"/>
          <w:sz w:val="32"/>
          <w:szCs w:val="32"/>
        </w:rPr>
        <w:t>二、询比采购文件的获取</w:t>
      </w:r>
    </w:p>
    <w:p w14:paraId="7E9DBC78">
      <w:pPr>
        <w:overflowPunct w:val="0"/>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询比采购文件在陕西锌业有限公司网络询比采购平台（www.sxxyjjpt.com）发布，符合条件的供应商可自行下载采购文件。</w:t>
      </w:r>
    </w:p>
    <w:p w14:paraId="292B6BB1">
      <w:pPr>
        <w:overflowPunct w:val="0"/>
        <w:spacing w:line="500" w:lineRule="exact"/>
        <w:rPr>
          <w:rFonts w:ascii="仿宋" w:hAnsi="仿宋" w:eastAsia="仿宋" w:cs="仿宋"/>
          <w:b/>
          <w:bCs/>
          <w:color w:val="auto"/>
          <w:sz w:val="32"/>
          <w:szCs w:val="32"/>
        </w:rPr>
      </w:pPr>
      <w:r>
        <w:rPr>
          <w:rFonts w:hint="eastAsia" w:ascii="仿宋" w:hAnsi="仿宋" w:eastAsia="仿宋" w:cs="仿宋"/>
          <w:b/>
          <w:bCs/>
          <w:color w:val="auto"/>
          <w:sz w:val="32"/>
          <w:szCs w:val="32"/>
        </w:rPr>
        <w:t>三、供应商响应</w:t>
      </w:r>
    </w:p>
    <w:p w14:paraId="3DB53101">
      <w:pPr>
        <w:overflowPunct w:val="0"/>
        <w:spacing w:line="500" w:lineRule="exact"/>
        <w:ind w:firstLine="320" w:firstLineChars="100"/>
        <w:rPr>
          <w:rFonts w:ascii="仿宋" w:hAnsi="仿宋" w:eastAsia="仿宋" w:cs="仿宋"/>
          <w:color w:val="auto"/>
          <w:sz w:val="32"/>
          <w:szCs w:val="32"/>
        </w:rPr>
      </w:pPr>
      <w:r>
        <w:rPr>
          <w:rFonts w:hint="eastAsia" w:ascii="仿宋" w:hAnsi="仿宋" w:eastAsia="仿宋" w:cs="仿宋"/>
          <w:color w:val="auto"/>
          <w:sz w:val="32"/>
          <w:szCs w:val="32"/>
        </w:rPr>
        <w:t>（一）响应报价</w:t>
      </w:r>
    </w:p>
    <w:p w14:paraId="3E6F6382">
      <w:pPr>
        <w:overflowPunct w:val="0"/>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1.本项目设定最高限价为人民币</w:t>
      </w:r>
      <w:r>
        <w:rPr>
          <w:rFonts w:ascii="仿宋" w:hAnsi="仿宋" w:eastAsia="仿宋" w:cs="仿宋"/>
          <w:color w:val="auto"/>
          <w:sz w:val="32"/>
          <w:szCs w:val="32"/>
        </w:rPr>
        <w:t>1577661.17</w:t>
      </w:r>
      <w:r>
        <w:rPr>
          <w:rFonts w:hint="eastAsia" w:ascii="仿宋" w:hAnsi="仿宋" w:eastAsia="仿宋" w:cs="仿宋"/>
          <w:color w:val="auto"/>
          <w:sz w:val="32"/>
          <w:szCs w:val="32"/>
        </w:rPr>
        <w:t>元，报价高于限价者为无效报价；</w:t>
      </w:r>
    </w:p>
    <w:p w14:paraId="43ABFBA3">
      <w:pPr>
        <w:overflowPunct w:val="0"/>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2.响应供应商应按“响应文件格式”要求在响应函中进行报价。</w:t>
      </w:r>
    </w:p>
    <w:p w14:paraId="7E9C6AAC">
      <w:pPr>
        <w:pStyle w:val="7"/>
        <w:overflowPunct w:val="0"/>
        <w:spacing w:after="0" w:line="500" w:lineRule="exact"/>
        <w:ind w:left="0" w:leftChars="0" w:firstLine="640" w:firstLineChars="200"/>
        <w:rPr>
          <w:rFonts w:ascii="仿宋" w:hAnsi="仿宋" w:eastAsia="仿宋" w:cs="仿宋"/>
          <w:color w:val="auto"/>
          <w:sz w:val="32"/>
          <w:szCs w:val="32"/>
        </w:rPr>
      </w:pPr>
      <w:r>
        <w:rPr>
          <w:rFonts w:hint="eastAsia" w:ascii="仿宋" w:hAnsi="仿宋" w:eastAsia="仿宋" w:cs="仿宋"/>
          <w:color w:val="auto"/>
          <w:sz w:val="32"/>
          <w:szCs w:val="32"/>
        </w:rPr>
        <w:t>3.报价按照《</w:t>
      </w:r>
      <w:bookmarkStart w:id="12" w:name="OLE_LINK18"/>
      <w:bookmarkStart w:id="13" w:name="OLE_LINK19"/>
      <w:r>
        <w:rPr>
          <w:rFonts w:hint="eastAsia" w:ascii="仿宋" w:hAnsi="仿宋" w:eastAsia="仿宋" w:cs="仿宋"/>
          <w:color w:val="auto"/>
          <w:sz w:val="32"/>
          <w:szCs w:val="32"/>
        </w:rPr>
        <w:t>陕西锌业有限公司电解六系列桥架改造项目工程最高限价清单</w:t>
      </w:r>
      <w:bookmarkEnd w:id="12"/>
      <w:bookmarkEnd w:id="13"/>
      <w:r>
        <w:rPr>
          <w:rFonts w:hint="eastAsia" w:ascii="仿宋" w:hAnsi="仿宋" w:eastAsia="仿宋" w:cs="仿宋"/>
          <w:color w:val="auto"/>
          <w:sz w:val="32"/>
          <w:szCs w:val="32"/>
        </w:rPr>
        <w:t>》，响应供应商自行投报，报价要求保留小数点后两位，要求响应供应商报价的单价及总价均不能超出最高限价。响应文件中除签字外，所有内容必须打印，不得手写，不得涂改，否则视为无效报价。该价款不因原料、材料、劳务、能源等市场价格的变动而变动。</w:t>
      </w:r>
    </w:p>
    <w:p w14:paraId="78283077">
      <w:pPr>
        <w:pStyle w:val="7"/>
        <w:overflowPunct w:val="0"/>
        <w:spacing w:after="0" w:line="500" w:lineRule="exact"/>
        <w:ind w:left="0" w:leftChars="0" w:firstLine="640" w:firstLineChars="200"/>
        <w:rPr>
          <w:rFonts w:ascii="仿宋" w:hAnsi="仿宋" w:eastAsia="仿宋" w:cs="仿宋"/>
          <w:color w:val="auto"/>
          <w:sz w:val="32"/>
          <w:szCs w:val="32"/>
        </w:rPr>
      </w:pPr>
      <w:r>
        <w:rPr>
          <w:rFonts w:hint="eastAsia" w:ascii="仿宋" w:hAnsi="仿宋" w:eastAsia="仿宋" w:cs="仿宋"/>
          <w:color w:val="auto"/>
          <w:sz w:val="32"/>
          <w:szCs w:val="32"/>
        </w:rPr>
        <w:t>4.结算办法：工程量依据设计图纸、施工方案、施工内容、设计变更及签证以及现场实际丈量，结算单价依据工程量清单中的报价执行。若新增施工内容中原清单中没有的项目，其单价双方协商确定。</w:t>
      </w:r>
    </w:p>
    <w:p w14:paraId="45689A3F">
      <w:pPr>
        <w:overflowPunct w:val="0"/>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5.成交方的响应报价是成交、签订合同及合同执行过程中的依据，未经采购方批准，不得进行实质性变动。</w:t>
      </w:r>
    </w:p>
    <w:p w14:paraId="4FBC9B40">
      <w:pPr>
        <w:pStyle w:val="4"/>
        <w:keepNext w:val="0"/>
        <w:keepLines w:val="0"/>
        <w:overflowPunct w:val="0"/>
        <w:spacing w:before="0" w:after="0" w:line="500" w:lineRule="exact"/>
        <w:ind w:firstLine="320" w:firstLineChars="100"/>
        <w:rPr>
          <w:rFonts w:ascii="仿宋" w:hAnsi="仿宋" w:eastAsia="仿宋" w:cs="仿宋"/>
          <w:color w:val="auto"/>
          <w:sz w:val="32"/>
          <w:szCs w:val="32"/>
        </w:rPr>
      </w:pPr>
      <w:r>
        <w:rPr>
          <w:rFonts w:hint="eastAsia" w:ascii="仿宋" w:hAnsi="仿宋" w:eastAsia="仿宋" w:cs="仿宋"/>
          <w:color w:val="auto"/>
          <w:sz w:val="32"/>
          <w:szCs w:val="32"/>
        </w:rPr>
        <w:t>（二）响应有效期</w:t>
      </w:r>
    </w:p>
    <w:p w14:paraId="66EDED4F">
      <w:pPr>
        <w:overflowPunct w:val="0"/>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1.响应有效期从提交响应文件截止之日起算60天。</w:t>
      </w:r>
    </w:p>
    <w:p w14:paraId="2DCEA1FF">
      <w:pPr>
        <w:overflowPunct w:val="0"/>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2.在响应有效期内，供应商撤销响应文件的，应承担询比采购文件和法律规定的责任。</w:t>
      </w:r>
    </w:p>
    <w:p w14:paraId="7BA4CCAE">
      <w:pPr>
        <w:pStyle w:val="4"/>
        <w:keepNext w:val="0"/>
        <w:keepLines w:val="0"/>
        <w:overflowPunct w:val="0"/>
        <w:spacing w:before="0" w:after="0" w:line="500" w:lineRule="exact"/>
        <w:ind w:firstLine="320" w:firstLineChars="100"/>
        <w:rPr>
          <w:rFonts w:ascii="仿宋" w:hAnsi="仿宋" w:eastAsia="仿宋" w:cs="仿宋"/>
          <w:color w:val="auto"/>
          <w:sz w:val="32"/>
          <w:szCs w:val="32"/>
        </w:rPr>
      </w:pPr>
      <w:r>
        <w:rPr>
          <w:rFonts w:hint="eastAsia" w:ascii="仿宋" w:hAnsi="仿宋" w:eastAsia="仿宋" w:cs="仿宋"/>
          <w:color w:val="auto"/>
          <w:sz w:val="32"/>
          <w:szCs w:val="32"/>
        </w:rPr>
        <w:t>（三）响应保证金</w:t>
      </w:r>
    </w:p>
    <w:p w14:paraId="37CEC553">
      <w:pPr>
        <w:overflowPunct w:val="0"/>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1.响应供应商在递交响应文件的同时，应按规定的响应保证金格式递交响应保证金5万元，并作为其响应文件的组成部分。</w:t>
      </w:r>
    </w:p>
    <w:p w14:paraId="5809B995">
      <w:pPr>
        <w:overflowPunct w:val="0"/>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40662C48">
      <w:pPr>
        <w:overflowPunct w:val="0"/>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5E84F0A3">
      <w:pPr>
        <w:overflowPunct w:val="0"/>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账号：26805701040010332</w:t>
      </w:r>
    </w:p>
    <w:p w14:paraId="2C682D58">
      <w:pPr>
        <w:overflowPunct w:val="0"/>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0EF55C97">
      <w:pPr>
        <w:overflowPunct w:val="0"/>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2.响应保证金的形式：转账、支票、与采购人签订保证金协议等任何一种。响应供应商以转账或者支票形式提交的响应保证金，应当通过其银行账户转出或开立支票。</w:t>
      </w:r>
    </w:p>
    <w:p w14:paraId="353C192F">
      <w:pPr>
        <w:overflowPunct w:val="0"/>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3.响应保证金必须在响应文件递交截止时间前到达指定帐户。以保函形式缴纳保证金其保函须由银行或具有出具保函资格的单位出具，并于响应文件的开启现场递交保函原件，响应文件中附保函复印件。</w:t>
      </w:r>
    </w:p>
    <w:p w14:paraId="11B04205">
      <w:pPr>
        <w:overflowPunct w:val="0"/>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4.响应保证金有效期与响应有效期一致。</w:t>
      </w:r>
    </w:p>
    <w:p w14:paraId="4C546AD1">
      <w:pPr>
        <w:overflowPunct w:val="0"/>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5.响应供应商不按</w:t>
      </w:r>
      <w:bookmarkStart w:id="14" w:name="_Toc29025"/>
      <w:bookmarkStart w:id="15" w:name="_Toc384308227"/>
      <w:bookmarkStart w:id="16" w:name="_Toc352691490"/>
      <w:bookmarkStart w:id="17" w:name="_Toc361508602"/>
      <w:bookmarkStart w:id="18" w:name="_Toc369531533"/>
      <w:r>
        <w:rPr>
          <w:rFonts w:hint="eastAsia" w:ascii="仿宋" w:hAnsi="仿宋" w:eastAsia="仿宋" w:cs="仿宋"/>
          <w:color w:val="auto"/>
          <w:sz w:val="32"/>
          <w:szCs w:val="32"/>
        </w:rPr>
        <w:t>前述要求提交响应保证金的，</w:t>
      </w:r>
      <w:bookmarkEnd w:id="14"/>
      <w:bookmarkEnd w:id="15"/>
      <w:bookmarkEnd w:id="16"/>
      <w:bookmarkEnd w:id="17"/>
      <w:bookmarkEnd w:id="18"/>
      <w:r>
        <w:rPr>
          <w:rFonts w:hint="eastAsia" w:ascii="仿宋" w:hAnsi="仿宋" w:eastAsia="仿宋" w:cs="仿宋"/>
          <w:color w:val="auto"/>
          <w:sz w:val="32"/>
          <w:szCs w:val="32"/>
        </w:rPr>
        <w:t>评审小组将否决其响应文件。</w:t>
      </w:r>
    </w:p>
    <w:p w14:paraId="0E5FE909">
      <w:pPr>
        <w:overflowPunct w:val="0"/>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6.采购人最迟应当在与成交人</w:t>
      </w:r>
      <w:bookmarkStart w:id="19" w:name="_Toc152045546"/>
      <w:bookmarkStart w:id="20" w:name="_Toc300834967"/>
      <w:bookmarkStart w:id="21" w:name="_Toc144974514"/>
      <w:bookmarkStart w:id="22" w:name="_Toc247513970"/>
      <w:bookmarkStart w:id="23" w:name="_Toc152042322"/>
      <w:bookmarkStart w:id="24" w:name="_Toc247527571"/>
      <w:bookmarkStart w:id="25" w:name="_Toc361508603"/>
      <w:bookmarkStart w:id="26" w:name="_Toc14751"/>
      <w:bookmarkStart w:id="27" w:name="_Toc369531534"/>
      <w:bookmarkStart w:id="28" w:name="_Toc384308228"/>
      <w:bookmarkStart w:id="29" w:name="_Toc352691491"/>
      <w:r>
        <w:rPr>
          <w:rFonts w:hint="eastAsia" w:ascii="仿宋" w:hAnsi="仿宋" w:eastAsia="仿宋" w:cs="仿宋"/>
          <w:color w:val="auto"/>
          <w:sz w:val="32"/>
          <w:szCs w:val="32"/>
        </w:rPr>
        <w:t>签订合同后7日</w:t>
      </w:r>
      <w:bookmarkEnd w:id="19"/>
      <w:bookmarkEnd w:id="20"/>
      <w:bookmarkEnd w:id="21"/>
      <w:bookmarkEnd w:id="22"/>
      <w:bookmarkEnd w:id="23"/>
      <w:bookmarkEnd w:id="24"/>
      <w:bookmarkEnd w:id="25"/>
      <w:bookmarkEnd w:id="26"/>
      <w:bookmarkEnd w:id="27"/>
      <w:bookmarkEnd w:id="28"/>
      <w:bookmarkEnd w:id="29"/>
      <w:r>
        <w:rPr>
          <w:rFonts w:hint="eastAsia" w:ascii="仿宋" w:hAnsi="仿宋" w:eastAsia="仿宋" w:cs="仿宋"/>
          <w:color w:val="auto"/>
          <w:sz w:val="32"/>
          <w:szCs w:val="32"/>
        </w:rPr>
        <w:t>内</w:t>
      </w:r>
      <w:bookmarkStart w:id="30" w:name="_Toc247527572"/>
      <w:bookmarkStart w:id="31" w:name="_Toc17952"/>
      <w:bookmarkStart w:id="32" w:name="_Toc152045547"/>
      <w:bookmarkStart w:id="33" w:name="_Toc384308229"/>
      <w:bookmarkStart w:id="34" w:name="_Toc247513971"/>
      <w:bookmarkStart w:id="35" w:name="_Toc144974515"/>
      <w:bookmarkStart w:id="36" w:name="_Toc361508604"/>
      <w:bookmarkStart w:id="37" w:name="_Toc352691492"/>
      <w:bookmarkStart w:id="38" w:name="_Toc369531535"/>
      <w:bookmarkStart w:id="39" w:name="_Toc300834968"/>
      <w:bookmarkStart w:id="40" w:name="_Toc152042323"/>
      <w:r>
        <w:rPr>
          <w:rFonts w:hint="eastAsia" w:ascii="仿宋" w:hAnsi="仿宋" w:eastAsia="仿宋" w:cs="仿宋"/>
          <w:color w:val="auto"/>
          <w:sz w:val="32"/>
          <w:szCs w:val="32"/>
        </w:rPr>
        <w:t>，向未成交的响应供应商和</w:t>
      </w:r>
      <w:bookmarkEnd w:id="30"/>
      <w:bookmarkEnd w:id="31"/>
      <w:bookmarkEnd w:id="32"/>
      <w:bookmarkEnd w:id="33"/>
      <w:bookmarkEnd w:id="34"/>
      <w:bookmarkEnd w:id="35"/>
      <w:bookmarkEnd w:id="36"/>
      <w:bookmarkEnd w:id="37"/>
      <w:bookmarkEnd w:id="38"/>
      <w:bookmarkEnd w:id="39"/>
      <w:bookmarkEnd w:id="40"/>
      <w:r>
        <w:rPr>
          <w:rFonts w:hint="eastAsia" w:ascii="仿宋" w:hAnsi="仿宋" w:eastAsia="仿宋" w:cs="仿宋"/>
          <w:color w:val="auto"/>
          <w:sz w:val="32"/>
          <w:szCs w:val="32"/>
        </w:rPr>
        <w:t>成交人无息退还响应保证金。</w:t>
      </w:r>
    </w:p>
    <w:p w14:paraId="053539B2">
      <w:pPr>
        <w:overflowPunct w:val="0"/>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7.有下列情形之一的，响应保证金将不予退还：</w:t>
      </w:r>
    </w:p>
    <w:p w14:paraId="109EC5F5">
      <w:pPr>
        <w:tabs>
          <w:tab w:val="left" w:pos="3544"/>
        </w:tabs>
        <w:overflowPunct w:val="0"/>
        <w:spacing w:line="500" w:lineRule="exact"/>
        <w:ind w:firstLine="320" w:firstLineChars="100"/>
        <w:rPr>
          <w:rFonts w:ascii="仿宋" w:hAnsi="仿宋" w:eastAsia="仿宋" w:cs="仿宋"/>
          <w:color w:val="auto"/>
          <w:sz w:val="32"/>
          <w:szCs w:val="32"/>
        </w:rPr>
      </w:pPr>
      <w:r>
        <w:rPr>
          <w:rFonts w:hint="eastAsia" w:ascii="仿宋" w:hAnsi="仿宋" w:eastAsia="仿宋" w:cs="仿宋"/>
          <w:color w:val="auto"/>
          <w:sz w:val="32"/>
          <w:szCs w:val="32"/>
        </w:rPr>
        <w:t>（1）响应供应商在响应有效期内撤销响应文件；</w:t>
      </w:r>
    </w:p>
    <w:p w14:paraId="1F5D6577">
      <w:pPr>
        <w:overflowPunct w:val="0"/>
        <w:spacing w:line="500" w:lineRule="exact"/>
        <w:ind w:firstLine="320" w:firstLineChars="100"/>
        <w:rPr>
          <w:rFonts w:ascii="仿宋" w:hAnsi="仿宋" w:eastAsia="仿宋" w:cs="仿宋"/>
          <w:color w:val="auto"/>
          <w:sz w:val="32"/>
          <w:szCs w:val="32"/>
        </w:rPr>
      </w:pPr>
      <w:r>
        <w:rPr>
          <w:rFonts w:hint="eastAsia" w:ascii="仿宋" w:hAnsi="仿宋" w:eastAsia="仿宋" w:cs="仿宋"/>
          <w:color w:val="auto"/>
          <w:sz w:val="32"/>
          <w:szCs w:val="32"/>
        </w:rPr>
        <w:t>（2）成交人在收到成交通知书后，成交人放弃成交项目的，无正当理由不与采购人订立合同的，在签订合同时向采购人提出附加条件或者更改合同实质性内容的，或者拒不按照询比采购文件要求提交履约担保的。</w:t>
      </w:r>
    </w:p>
    <w:p w14:paraId="5006E69F">
      <w:pPr>
        <w:pStyle w:val="4"/>
        <w:keepNext w:val="0"/>
        <w:keepLines w:val="0"/>
        <w:overflowPunct w:val="0"/>
        <w:spacing w:before="0" w:after="0" w:line="500" w:lineRule="exact"/>
        <w:ind w:firstLine="320" w:firstLineChars="100"/>
        <w:rPr>
          <w:rFonts w:ascii="仿宋" w:hAnsi="仿宋" w:eastAsia="仿宋" w:cs="仿宋"/>
          <w:color w:val="auto"/>
          <w:sz w:val="32"/>
          <w:szCs w:val="32"/>
        </w:rPr>
      </w:pPr>
      <w:bookmarkStart w:id="41" w:name="_Toc24514"/>
      <w:bookmarkStart w:id="42" w:name="_Toc21871"/>
      <w:bookmarkStart w:id="43" w:name="_Toc33795794"/>
      <w:bookmarkStart w:id="44" w:name="_Toc28216"/>
      <w:r>
        <w:rPr>
          <w:rFonts w:hint="eastAsia" w:ascii="仿宋" w:hAnsi="仿宋" w:eastAsia="仿宋" w:cs="仿宋"/>
          <w:color w:val="auto"/>
          <w:sz w:val="32"/>
          <w:szCs w:val="32"/>
        </w:rPr>
        <w:t>（四）资格审查资料</w:t>
      </w:r>
      <w:bookmarkEnd w:id="41"/>
      <w:bookmarkEnd w:id="42"/>
      <w:bookmarkEnd w:id="43"/>
      <w:bookmarkEnd w:id="44"/>
    </w:p>
    <w:p w14:paraId="7AAB3A74">
      <w:pPr>
        <w:pStyle w:val="4"/>
        <w:keepNext w:val="0"/>
        <w:keepLines w:val="0"/>
        <w:overflowPunct w:val="0"/>
        <w:spacing w:before="0" w:after="0"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响应供应商应按下列规定提供相关的证明材料，以证明其满足资质、财务、业绩、信誉要求。</w:t>
      </w:r>
    </w:p>
    <w:p w14:paraId="657FAF2F">
      <w:pPr>
        <w:overflowPunct w:val="0"/>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供应商基本情况表”应附供应商资格或者资质证书副本等材料的复印件，响应供应商为企业的，应提交营业执照复印件；响应供应商为依法允许经营的事业单位的，应提交事业单位法人证书和组织机构代码证的复印件。</w:t>
      </w:r>
    </w:p>
    <w:p w14:paraId="7D1A83CD">
      <w:pPr>
        <w:overflowPunct w:val="0"/>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2.“近两年完成的建筑施工项目业绩情况”应附从2023年3月至今的合同复印件。</w:t>
      </w:r>
    </w:p>
    <w:p w14:paraId="65B491D8">
      <w:pPr>
        <w:overflowPunct w:val="0"/>
        <w:spacing w:line="500" w:lineRule="exact"/>
        <w:ind w:firstLine="640" w:firstLineChars="200"/>
        <w:rPr>
          <w:rFonts w:ascii="微软雅黑" w:hAnsi="微软雅黑" w:eastAsia="微软雅黑" w:cs="微软雅黑"/>
          <w:color w:val="auto"/>
          <w:sz w:val="27"/>
          <w:szCs w:val="27"/>
        </w:rPr>
      </w:pPr>
      <w:r>
        <w:rPr>
          <w:rFonts w:hint="eastAsia" w:ascii="仿宋" w:hAnsi="仿宋" w:eastAsia="仿宋" w:cs="仿宋"/>
          <w:color w:val="auto"/>
          <w:sz w:val="32"/>
          <w:szCs w:val="32"/>
        </w:rPr>
        <w:t>3.“近年发生的诉讼及仲裁情况”应说明相关情况。</w:t>
      </w:r>
    </w:p>
    <w:p w14:paraId="3CE9117F">
      <w:pPr>
        <w:overflowPunct w:val="0"/>
        <w:spacing w:line="500" w:lineRule="exact"/>
        <w:ind w:firstLine="322" w:firstLineChars="100"/>
        <w:rPr>
          <w:rFonts w:ascii="微软雅黑" w:hAnsi="微软雅黑" w:eastAsia="微软雅黑" w:cs="微软雅黑"/>
          <w:color w:val="auto"/>
          <w:sz w:val="27"/>
          <w:szCs w:val="27"/>
        </w:rPr>
      </w:pPr>
      <w:r>
        <w:rPr>
          <w:rFonts w:hint="eastAsia" w:ascii="仿宋" w:hAnsi="仿宋" w:eastAsia="仿宋" w:cs="仿宋"/>
          <w:color w:val="auto"/>
          <w:spacing w:val="1"/>
          <w:sz w:val="32"/>
          <w:szCs w:val="32"/>
        </w:rPr>
        <w:t>（</w:t>
      </w:r>
      <w:r>
        <w:rPr>
          <w:rFonts w:hint="eastAsia" w:ascii="仿宋" w:hAnsi="仿宋" w:eastAsia="仿宋" w:cs="仿宋"/>
          <w:color w:val="auto"/>
          <w:sz w:val="32"/>
          <w:szCs w:val="32"/>
        </w:rPr>
        <w:t>五）响应文件的提交</w:t>
      </w:r>
    </w:p>
    <w:p w14:paraId="36FE227D">
      <w:pPr>
        <w:overflowPunct w:val="0"/>
        <w:spacing w:line="500" w:lineRule="exact"/>
        <w:ind w:firstLine="640" w:firstLineChars="200"/>
        <w:rPr>
          <w:rFonts w:ascii="仿宋" w:hAnsi="仿宋" w:eastAsia="仿宋" w:cs="仿宋"/>
          <w:color w:val="auto"/>
          <w:spacing w:val="1"/>
          <w:sz w:val="32"/>
          <w:szCs w:val="32"/>
        </w:rPr>
      </w:pPr>
      <w:r>
        <w:rPr>
          <w:rFonts w:hint="eastAsia" w:ascii="仿宋" w:hAnsi="仿宋" w:eastAsia="仿宋" w:cs="仿宋"/>
          <w:color w:val="auto"/>
          <w:sz w:val="32"/>
          <w:szCs w:val="32"/>
        </w:rPr>
        <w:t xml:space="preserve">1. 响应文件提交截止时间：2025年 </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 xml:space="preserve"> 月 </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rPr>
        <w:t>时；</w:t>
      </w:r>
    </w:p>
    <w:p w14:paraId="7EA8FA7A">
      <w:pPr>
        <w:pStyle w:val="17"/>
        <w:spacing w:before="156" w:beforeLines="50" w:after="156" w:afterLines="50" w:line="520" w:lineRule="exact"/>
        <w:ind w:firstLine="644" w:firstLineChars="200"/>
        <w:rPr>
          <w:rFonts w:ascii="仿宋" w:hAnsi="仿宋" w:eastAsia="仿宋" w:cs="仿宋"/>
          <w:color w:val="auto"/>
          <w:sz w:val="32"/>
          <w:szCs w:val="32"/>
          <w:lang w:eastAsia="zh-CN"/>
        </w:rPr>
      </w:pPr>
      <w:r>
        <w:rPr>
          <w:rFonts w:hint="eastAsia" w:ascii="仿宋" w:hAnsi="仿宋" w:eastAsia="仿宋" w:cs="仿宋"/>
          <w:color w:val="auto"/>
          <w:spacing w:val="1"/>
          <w:sz w:val="32"/>
          <w:szCs w:val="32"/>
          <w:lang w:eastAsia="zh-CN"/>
        </w:rPr>
        <w:t>2.提交方法：</w:t>
      </w:r>
      <w:r>
        <w:rPr>
          <w:rFonts w:hint="eastAsia" w:ascii="仿宋" w:hAnsi="仿宋" w:eastAsia="仿宋" w:cs="仿宋"/>
          <w:color w:val="auto"/>
          <w:sz w:val="32"/>
          <w:szCs w:val="32"/>
          <w:lang w:eastAsia="zh-CN"/>
        </w:rPr>
        <w:t>将响应文件按正本、副本采用两个密封袋分别密封，封口处加盖响应供应商及法人代表人印章，并在密封袋上清楚注明“正本”或“副本”，电子版响应文件应装入响应文件正本袋内（电子版要贴标签注明企业名称）。直接送达或邮寄至陕西锌业公司</w:t>
      </w:r>
      <w:r>
        <w:rPr>
          <w:rFonts w:ascii="仿宋" w:hAnsi="仿宋" w:eastAsia="仿宋" w:cs="仿宋"/>
          <w:color w:val="auto"/>
          <w:sz w:val="32"/>
          <w:szCs w:val="32"/>
          <w:lang w:eastAsia="zh-CN"/>
        </w:rPr>
        <w:t>企管法务</w:t>
      </w:r>
      <w:r>
        <w:rPr>
          <w:rFonts w:hint="eastAsia" w:ascii="仿宋" w:hAnsi="仿宋" w:eastAsia="仿宋" w:cs="仿宋"/>
          <w:color w:val="auto"/>
          <w:sz w:val="32"/>
          <w:szCs w:val="32"/>
          <w:lang w:eastAsia="zh-CN"/>
        </w:rPr>
        <w:t>部；</w:t>
      </w:r>
    </w:p>
    <w:p w14:paraId="3A69F5B9">
      <w:pPr>
        <w:pStyle w:val="17"/>
        <w:spacing w:before="156" w:beforeLines="50" w:after="156" w:afterLines="50" w:line="520" w:lineRule="exact"/>
        <w:ind w:firstLine="640" w:firstLineChars="200"/>
        <w:rPr>
          <w:rFonts w:ascii="仿宋" w:hAnsi="仿宋" w:eastAsia="仿宋" w:cs="仿宋"/>
          <w:color w:val="auto"/>
          <w:sz w:val="32"/>
          <w:szCs w:val="32"/>
          <w:lang w:eastAsia="zh-CN"/>
        </w:rPr>
      </w:pPr>
      <w:r>
        <w:rPr>
          <w:rFonts w:ascii="仿宋" w:hAnsi="仿宋" w:eastAsia="仿宋" w:cs="仿宋"/>
          <w:color w:val="auto"/>
          <w:sz w:val="32"/>
          <w:szCs w:val="32"/>
          <w:lang w:eastAsia="zh-CN"/>
        </w:rPr>
        <w:t>邮寄地址</w:t>
      </w:r>
      <w:r>
        <w:rPr>
          <w:rFonts w:hint="eastAsia" w:ascii="仿宋" w:hAnsi="仿宋" w:eastAsia="仿宋" w:cs="仿宋"/>
          <w:color w:val="auto"/>
          <w:sz w:val="32"/>
          <w:szCs w:val="32"/>
          <w:lang w:eastAsia="zh-CN"/>
        </w:rPr>
        <w:t>：商洛市商州区沙河子镇</w:t>
      </w:r>
      <w:r>
        <w:rPr>
          <w:rFonts w:ascii="仿宋" w:hAnsi="仿宋" w:eastAsia="仿宋" w:cs="仿宋"/>
          <w:color w:val="auto"/>
          <w:sz w:val="32"/>
          <w:szCs w:val="32"/>
          <w:lang w:eastAsia="zh-CN"/>
        </w:rPr>
        <w:t>陕西锌业有限公司</w:t>
      </w:r>
    </w:p>
    <w:p w14:paraId="62106826">
      <w:pPr>
        <w:pStyle w:val="17"/>
        <w:spacing w:before="156" w:beforeLines="50" w:after="156" w:afterLines="50" w:line="520" w:lineRule="exact"/>
        <w:ind w:firstLine="640" w:firstLineChars="200"/>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商务</w:t>
      </w:r>
      <w:r>
        <w:rPr>
          <w:rFonts w:ascii="仿宋" w:hAnsi="仿宋" w:eastAsia="仿宋" w:cs="仿宋"/>
          <w:color w:val="auto"/>
          <w:sz w:val="32"/>
          <w:szCs w:val="32"/>
          <w:lang w:eastAsia="zh-CN"/>
        </w:rPr>
        <w:t>联系人:李晶  0914-2552598</w:t>
      </w:r>
    </w:p>
    <w:p w14:paraId="0767DA83">
      <w:pPr>
        <w:pStyle w:val="17"/>
        <w:spacing w:before="156" w:beforeLines="50" w:after="156" w:afterLines="50" w:line="520" w:lineRule="exact"/>
        <w:ind w:firstLine="640" w:firstLineChars="200"/>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邮编：726007</w:t>
      </w:r>
    </w:p>
    <w:p w14:paraId="32AC42A9">
      <w:pPr>
        <w:pStyle w:val="17"/>
        <w:spacing w:before="156" w:beforeLines="50" w:after="156" w:afterLines="50" w:line="520" w:lineRule="exact"/>
        <w:ind w:firstLine="640" w:firstLineChars="200"/>
        <w:rPr>
          <w:rFonts w:ascii="仿宋" w:hAnsi="仿宋" w:eastAsia="仿宋" w:cs="仿宋"/>
          <w:color w:val="auto"/>
          <w:sz w:val="32"/>
          <w:szCs w:val="32"/>
          <w:lang w:eastAsia="zh-CN"/>
        </w:rPr>
      </w:pPr>
      <w:r>
        <w:rPr>
          <w:rFonts w:ascii="仿宋" w:hAnsi="仿宋" w:eastAsia="仿宋" w:cs="仿宋"/>
          <w:color w:val="auto"/>
          <w:sz w:val="32"/>
          <w:szCs w:val="32"/>
          <w:lang w:eastAsia="zh-CN"/>
        </w:rPr>
        <w:t>技术</w:t>
      </w:r>
      <w:r>
        <w:rPr>
          <w:rFonts w:hint="eastAsia" w:ascii="仿宋" w:hAnsi="仿宋" w:eastAsia="仿宋" w:cs="仿宋"/>
          <w:color w:val="auto"/>
          <w:sz w:val="32"/>
          <w:szCs w:val="32"/>
          <w:lang w:eastAsia="zh-CN"/>
        </w:rPr>
        <w:t>联系人：王凯  0914—2551343（办）</w:t>
      </w:r>
    </w:p>
    <w:p w14:paraId="6A4A3A9E">
      <w:pPr>
        <w:overflowPunct w:val="0"/>
        <w:spacing w:line="500" w:lineRule="exact"/>
        <w:rPr>
          <w:rFonts w:ascii="仿宋" w:hAnsi="仿宋" w:eastAsia="仿宋" w:cs="仿宋"/>
          <w:b/>
          <w:bCs/>
          <w:color w:val="auto"/>
          <w:sz w:val="32"/>
          <w:szCs w:val="32"/>
        </w:rPr>
      </w:pPr>
      <w:r>
        <w:rPr>
          <w:rFonts w:hint="eastAsia" w:ascii="仿宋" w:hAnsi="仿宋" w:eastAsia="仿宋" w:cs="仿宋"/>
          <w:b/>
          <w:bCs/>
          <w:color w:val="auto"/>
          <w:sz w:val="32"/>
          <w:szCs w:val="32"/>
        </w:rPr>
        <w:t>四、响应文件开启时间及地点</w:t>
      </w:r>
    </w:p>
    <w:p w14:paraId="7FE70071">
      <w:pPr>
        <w:overflowPunct w:val="0"/>
        <w:spacing w:line="500" w:lineRule="exact"/>
        <w:ind w:firstLine="644" w:firstLineChars="200"/>
        <w:rPr>
          <w:rFonts w:ascii="仿宋" w:hAnsi="仿宋" w:eastAsia="仿宋" w:cs="仿宋"/>
          <w:color w:val="auto"/>
          <w:spacing w:val="1"/>
          <w:kern w:val="0"/>
          <w:sz w:val="32"/>
          <w:szCs w:val="32"/>
          <w:highlight w:val="yellow"/>
        </w:rPr>
      </w:pPr>
      <w:r>
        <w:rPr>
          <w:rFonts w:hint="eastAsia" w:ascii="仿宋" w:hAnsi="仿宋" w:eastAsia="仿宋" w:cs="仿宋"/>
          <w:color w:val="auto"/>
          <w:spacing w:val="1"/>
          <w:kern w:val="0"/>
          <w:sz w:val="32"/>
          <w:szCs w:val="32"/>
        </w:rPr>
        <w:t>（一）响应文件的开启时间：</w:t>
      </w:r>
      <w:r>
        <w:rPr>
          <w:rFonts w:ascii="仿宋" w:hAnsi="仿宋" w:eastAsia="仿宋" w:cs="仿宋"/>
          <w:color w:val="auto"/>
          <w:spacing w:val="1"/>
          <w:kern w:val="0"/>
          <w:sz w:val="32"/>
          <w:szCs w:val="32"/>
        </w:rPr>
        <w:t>2025年</w:t>
      </w:r>
      <w:r>
        <w:rPr>
          <w:rFonts w:hint="eastAsia" w:ascii="仿宋" w:hAnsi="仿宋" w:eastAsia="仿宋" w:cs="仿宋"/>
          <w:color w:val="auto"/>
          <w:spacing w:val="1"/>
          <w:kern w:val="0"/>
          <w:sz w:val="32"/>
          <w:szCs w:val="32"/>
        </w:rPr>
        <w:t xml:space="preserve">  </w:t>
      </w:r>
      <w:r>
        <w:rPr>
          <w:rFonts w:hint="eastAsia" w:ascii="仿宋" w:hAnsi="仿宋" w:eastAsia="仿宋" w:cs="仿宋"/>
          <w:color w:val="auto"/>
          <w:spacing w:val="1"/>
          <w:kern w:val="0"/>
          <w:sz w:val="32"/>
          <w:szCs w:val="32"/>
          <w:lang w:val="en-US" w:eastAsia="zh-CN"/>
        </w:rPr>
        <w:t>5</w:t>
      </w:r>
      <w:r>
        <w:rPr>
          <w:rFonts w:ascii="仿宋" w:hAnsi="仿宋" w:eastAsia="仿宋" w:cs="仿宋"/>
          <w:color w:val="auto"/>
          <w:spacing w:val="1"/>
          <w:kern w:val="0"/>
          <w:sz w:val="32"/>
          <w:szCs w:val="32"/>
        </w:rPr>
        <w:t>月</w:t>
      </w:r>
      <w:r>
        <w:rPr>
          <w:rFonts w:hint="eastAsia" w:ascii="仿宋" w:hAnsi="仿宋" w:eastAsia="仿宋" w:cs="仿宋"/>
          <w:color w:val="auto"/>
          <w:spacing w:val="1"/>
          <w:kern w:val="0"/>
          <w:sz w:val="32"/>
          <w:szCs w:val="32"/>
        </w:rPr>
        <w:t xml:space="preserve"> </w:t>
      </w:r>
      <w:r>
        <w:rPr>
          <w:rFonts w:hint="eastAsia" w:ascii="仿宋" w:hAnsi="仿宋" w:eastAsia="仿宋" w:cs="仿宋"/>
          <w:color w:val="auto"/>
          <w:spacing w:val="1"/>
          <w:kern w:val="0"/>
          <w:sz w:val="32"/>
          <w:szCs w:val="32"/>
          <w:lang w:val="en-US" w:eastAsia="zh-CN"/>
        </w:rPr>
        <w:t>12</w:t>
      </w:r>
      <w:r>
        <w:rPr>
          <w:rFonts w:hint="eastAsia" w:ascii="仿宋" w:hAnsi="仿宋" w:eastAsia="仿宋" w:cs="仿宋"/>
          <w:color w:val="auto"/>
          <w:spacing w:val="1"/>
          <w:kern w:val="0"/>
          <w:sz w:val="32"/>
          <w:szCs w:val="32"/>
        </w:rPr>
        <w:t xml:space="preserve"> </w:t>
      </w:r>
      <w:r>
        <w:rPr>
          <w:rFonts w:ascii="仿宋" w:hAnsi="仿宋" w:eastAsia="仿宋" w:cs="仿宋"/>
          <w:color w:val="auto"/>
          <w:spacing w:val="1"/>
          <w:kern w:val="0"/>
          <w:sz w:val="32"/>
          <w:szCs w:val="32"/>
        </w:rPr>
        <w:t>日</w:t>
      </w:r>
      <w:r>
        <w:rPr>
          <w:rFonts w:hint="eastAsia" w:ascii="仿宋" w:hAnsi="仿宋" w:eastAsia="仿宋" w:cs="仿宋"/>
          <w:color w:val="auto"/>
          <w:spacing w:val="1"/>
          <w:kern w:val="0"/>
          <w:sz w:val="32"/>
          <w:szCs w:val="32"/>
        </w:rPr>
        <w:t>14时；（开启响应文件时，不能及时到开启现场的，可通过线上视频会议参加）；</w:t>
      </w:r>
    </w:p>
    <w:p w14:paraId="6A972C08">
      <w:pPr>
        <w:overflowPunct w:val="0"/>
        <w:spacing w:line="500" w:lineRule="exact"/>
        <w:ind w:firstLine="644" w:firstLineChars="200"/>
        <w:rPr>
          <w:rFonts w:ascii="仿宋" w:hAnsi="仿宋" w:eastAsia="仿宋" w:cs="仿宋"/>
          <w:color w:val="auto"/>
          <w:spacing w:val="1"/>
          <w:kern w:val="0"/>
          <w:sz w:val="32"/>
          <w:szCs w:val="32"/>
        </w:rPr>
      </w:pPr>
      <w:r>
        <w:rPr>
          <w:rFonts w:hint="eastAsia" w:ascii="仿宋" w:hAnsi="仿宋" w:eastAsia="仿宋" w:cs="仿宋"/>
          <w:color w:val="auto"/>
          <w:spacing w:val="1"/>
          <w:kern w:val="0"/>
          <w:sz w:val="32"/>
          <w:szCs w:val="32"/>
        </w:rPr>
        <w:t>（二）响应文件的开启地点：陕西锌业有限公司办公楼</w:t>
      </w:r>
      <w:r>
        <w:rPr>
          <w:rFonts w:ascii="仿宋" w:hAnsi="仿宋" w:eastAsia="仿宋" w:cs="仿宋"/>
          <w:color w:val="auto"/>
          <w:spacing w:val="1"/>
          <w:kern w:val="0"/>
          <w:sz w:val="32"/>
          <w:szCs w:val="32"/>
        </w:rPr>
        <w:t>二楼</w:t>
      </w:r>
      <w:r>
        <w:rPr>
          <w:rFonts w:hint="eastAsia" w:ascii="仿宋" w:hAnsi="仿宋" w:eastAsia="仿宋" w:cs="仿宋"/>
          <w:color w:val="auto"/>
          <w:spacing w:val="1"/>
          <w:kern w:val="0"/>
          <w:sz w:val="32"/>
          <w:szCs w:val="32"/>
        </w:rPr>
        <w:t>开标室。（陕西省商洛市商州区沙河子镇）</w:t>
      </w:r>
    </w:p>
    <w:p w14:paraId="11704CF2">
      <w:pPr>
        <w:pStyle w:val="3"/>
        <w:keepNext w:val="0"/>
        <w:keepLines w:val="0"/>
        <w:overflowPunct w:val="0"/>
        <w:spacing w:before="0" w:after="0" w:line="500" w:lineRule="exact"/>
        <w:rPr>
          <w:rFonts w:ascii="仿宋" w:hAnsi="仿宋" w:eastAsia="仿宋" w:cs="仿宋"/>
          <w:color w:val="auto"/>
          <w:szCs w:val="32"/>
        </w:rPr>
      </w:pPr>
      <w:r>
        <w:rPr>
          <w:rStyle w:val="15"/>
          <w:rFonts w:hint="eastAsia" w:ascii="仿宋" w:hAnsi="仿宋" w:eastAsia="仿宋" w:cs="仿宋"/>
          <w:b/>
          <w:color w:val="auto"/>
          <w:szCs w:val="32"/>
        </w:rPr>
        <w:t>五、响应文件的</w:t>
      </w:r>
      <w:r>
        <w:rPr>
          <w:rFonts w:hint="eastAsia" w:ascii="仿宋" w:hAnsi="仿宋" w:eastAsia="仿宋" w:cs="仿宋"/>
          <w:color w:val="auto"/>
          <w:szCs w:val="32"/>
        </w:rPr>
        <w:t>评审</w:t>
      </w:r>
    </w:p>
    <w:p w14:paraId="52F07460">
      <w:pPr>
        <w:overflowPunct w:val="0"/>
        <w:spacing w:line="500" w:lineRule="exact"/>
        <w:ind w:firstLine="320" w:firstLineChars="100"/>
        <w:rPr>
          <w:rFonts w:ascii="仿宋" w:hAnsi="仿宋" w:eastAsia="仿宋" w:cs="仿宋"/>
          <w:color w:val="auto"/>
          <w:sz w:val="32"/>
          <w:szCs w:val="32"/>
        </w:rPr>
      </w:pPr>
      <w:r>
        <w:rPr>
          <w:rFonts w:hint="eastAsia" w:ascii="仿宋" w:hAnsi="仿宋" w:eastAsia="仿宋" w:cs="仿宋"/>
          <w:color w:val="auto"/>
          <w:sz w:val="32"/>
          <w:szCs w:val="32"/>
        </w:rPr>
        <w:t>（一）响应文件评审办法</w:t>
      </w:r>
    </w:p>
    <w:p w14:paraId="114FA53A">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项目采用低价入围法。即在响应文件满足采购文件实质性要求的前提下，评审小组按照各单位投报含税工程总造价进行排名，其中含税工程总造价最低者排第一，推荐为第一候选人；含税工程总造价次低者排第二，以此类推。</w:t>
      </w:r>
    </w:p>
    <w:p w14:paraId="6FD2F436">
      <w:pPr>
        <w:ind w:firstLine="320" w:firstLineChars="100"/>
        <w:rPr>
          <w:rFonts w:ascii="仿宋" w:hAnsi="仿宋" w:eastAsia="仿宋" w:cs="仿宋"/>
          <w:color w:val="auto"/>
          <w:sz w:val="32"/>
          <w:szCs w:val="32"/>
        </w:rPr>
      </w:pPr>
      <w:r>
        <w:rPr>
          <w:rFonts w:hint="eastAsia" w:ascii="仿宋" w:hAnsi="仿宋" w:eastAsia="仿宋" w:cs="仿宋"/>
          <w:color w:val="auto"/>
          <w:sz w:val="32"/>
          <w:szCs w:val="32"/>
        </w:rPr>
        <w:t>（二）响应文件评审程序</w:t>
      </w:r>
    </w:p>
    <w:p w14:paraId="383662CF">
      <w:pPr>
        <w:overflowPunct w:val="0"/>
        <w:spacing w:line="500" w:lineRule="exact"/>
        <w:ind w:firstLine="640" w:firstLineChars="200"/>
        <w:rPr>
          <w:rFonts w:ascii="仿宋" w:hAnsi="仿宋" w:eastAsia="仿宋" w:cs="仿宋"/>
          <w:color w:val="auto"/>
          <w:sz w:val="32"/>
          <w:szCs w:val="32"/>
          <w:highlight w:val="yellow"/>
        </w:rPr>
      </w:pPr>
      <w:r>
        <w:rPr>
          <w:rFonts w:hint="eastAsia" w:ascii="仿宋" w:hAnsi="仿宋" w:eastAsia="仿宋" w:cs="仿宋"/>
          <w:color w:val="auto"/>
          <w:sz w:val="32"/>
          <w:szCs w:val="32"/>
        </w:rPr>
        <w:t>1.评审小组可以要求供应商提交第一条第九款规定的有关证明和证件的原件，评审小组对前述响应文件进行初步评审，有一项不符合评审标准的，评审小组应当否决其响应文件。</w:t>
      </w:r>
    </w:p>
    <w:p w14:paraId="2249822A">
      <w:pPr>
        <w:overflowPunct w:val="0"/>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2.供应商有以下情形之一的，评审小组应当否决其响应：</w:t>
      </w:r>
    </w:p>
    <w:p w14:paraId="6B5576A9">
      <w:pPr>
        <w:overflowPunct w:val="0"/>
        <w:spacing w:line="500" w:lineRule="exact"/>
        <w:ind w:firstLine="320" w:firstLineChars="100"/>
        <w:rPr>
          <w:rFonts w:ascii="仿宋" w:hAnsi="仿宋" w:eastAsia="仿宋" w:cs="仿宋"/>
          <w:color w:val="auto"/>
          <w:sz w:val="32"/>
          <w:szCs w:val="32"/>
        </w:rPr>
      </w:pPr>
      <w:r>
        <w:rPr>
          <w:rFonts w:hint="eastAsia" w:ascii="仿宋" w:hAnsi="仿宋" w:eastAsia="仿宋" w:cs="仿宋"/>
          <w:color w:val="auto"/>
          <w:sz w:val="32"/>
          <w:szCs w:val="32"/>
        </w:rPr>
        <w:t>（1）供应商未经过正常途径获取标书或供应商名称或组织结构与询比采购文件不一致且未提供有效证明的；</w:t>
      </w:r>
    </w:p>
    <w:p w14:paraId="0BF43203">
      <w:pPr>
        <w:overflowPunct w:val="0"/>
        <w:spacing w:line="500" w:lineRule="exact"/>
        <w:ind w:firstLine="320" w:firstLineChars="100"/>
        <w:rPr>
          <w:rFonts w:ascii="仿宋" w:hAnsi="仿宋" w:eastAsia="仿宋" w:cs="仿宋"/>
          <w:color w:val="auto"/>
          <w:sz w:val="32"/>
          <w:szCs w:val="32"/>
        </w:rPr>
      </w:pPr>
      <w:r>
        <w:rPr>
          <w:rFonts w:hint="eastAsia" w:ascii="仿宋" w:hAnsi="仿宋" w:eastAsia="仿宋" w:cs="仿宋"/>
          <w:color w:val="auto"/>
          <w:sz w:val="32"/>
          <w:szCs w:val="32"/>
        </w:rPr>
        <w:t>（2）响应文件未经响应供应商单位盖章和单位负责人签字或盖章的；</w:t>
      </w:r>
    </w:p>
    <w:p w14:paraId="136B3E73">
      <w:pPr>
        <w:overflowPunct w:val="0"/>
        <w:spacing w:line="500" w:lineRule="exact"/>
        <w:ind w:firstLine="320" w:firstLineChars="100"/>
        <w:rPr>
          <w:rFonts w:ascii="仿宋" w:hAnsi="仿宋" w:eastAsia="仿宋" w:cs="仿宋"/>
          <w:color w:val="auto"/>
          <w:sz w:val="32"/>
          <w:szCs w:val="32"/>
        </w:rPr>
      </w:pPr>
      <w:r>
        <w:rPr>
          <w:rFonts w:hint="eastAsia" w:ascii="仿宋" w:hAnsi="仿宋" w:eastAsia="仿宋" w:cs="仿宋"/>
          <w:color w:val="auto"/>
          <w:sz w:val="32"/>
          <w:szCs w:val="32"/>
        </w:rPr>
        <w:t>（3）供应商未按询比采购文件要求交纳响应保证金的；</w:t>
      </w:r>
    </w:p>
    <w:p w14:paraId="5F523B39">
      <w:pPr>
        <w:overflowPunct w:val="0"/>
        <w:spacing w:line="500" w:lineRule="exact"/>
        <w:ind w:firstLine="320" w:firstLineChars="100"/>
        <w:rPr>
          <w:rFonts w:ascii="仿宋" w:hAnsi="仿宋" w:eastAsia="仿宋" w:cs="仿宋"/>
          <w:color w:val="auto"/>
          <w:sz w:val="32"/>
          <w:szCs w:val="32"/>
        </w:rPr>
      </w:pPr>
      <w:r>
        <w:rPr>
          <w:rFonts w:hint="eastAsia" w:ascii="仿宋" w:hAnsi="仿宋" w:eastAsia="仿宋" w:cs="仿宋"/>
          <w:color w:val="auto"/>
          <w:sz w:val="32"/>
          <w:szCs w:val="32"/>
        </w:rPr>
        <w:t>（4）供应商不符合询比采购文件规定的资格条件的；</w:t>
      </w:r>
    </w:p>
    <w:p w14:paraId="774A693D">
      <w:pPr>
        <w:overflowPunct w:val="0"/>
        <w:spacing w:line="500" w:lineRule="exact"/>
        <w:ind w:firstLine="320" w:firstLineChars="100"/>
        <w:rPr>
          <w:rFonts w:ascii="仿宋" w:hAnsi="仿宋" w:eastAsia="仿宋" w:cs="仿宋"/>
          <w:color w:val="auto"/>
          <w:sz w:val="32"/>
          <w:szCs w:val="32"/>
        </w:rPr>
      </w:pPr>
      <w:r>
        <w:rPr>
          <w:rFonts w:hint="eastAsia" w:ascii="仿宋" w:hAnsi="仿宋" w:eastAsia="仿宋" w:cs="仿宋"/>
          <w:color w:val="auto"/>
          <w:sz w:val="32"/>
          <w:szCs w:val="32"/>
        </w:rPr>
        <w:t>（5）供应商提交两份或多份内容不同的响应文件，或在同一份响应文件中有两个或多个报价，且未声明哪一个为最终报价的；</w:t>
      </w:r>
    </w:p>
    <w:p w14:paraId="1AEB52C6">
      <w:pPr>
        <w:overflowPunct w:val="0"/>
        <w:spacing w:line="500" w:lineRule="exact"/>
        <w:ind w:firstLine="320" w:firstLineChars="100"/>
        <w:rPr>
          <w:rFonts w:ascii="仿宋" w:hAnsi="仿宋" w:eastAsia="仿宋" w:cs="仿宋"/>
          <w:color w:val="auto"/>
          <w:sz w:val="32"/>
          <w:szCs w:val="32"/>
        </w:rPr>
      </w:pPr>
      <w:r>
        <w:rPr>
          <w:rFonts w:hint="eastAsia" w:ascii="仿宋" w:hAnsi="仿宋" w:eastAsia="仿宋" w:cs="仿宋"/>
          <w:color w:val="auto"/>
          <w:sz w:val="32"/>
          <w:szCs w:val="32"/>
        </w:rPr>
        <w:t>（6）</w:t>
      </w:r>
      <w:bookmarkStart w:id="45" w:name="OLE_LINK3"/>
      <w:bookmarkStart w:id="46" w:name="OLE_LINK2"/>
      <w:r>
        <w:rPr>
          <w:rFonts w:hint="eastAsia" w:ascii="仿宋" w:hAnsi="仿宋" w:eastAsia="仿宋" w:cs="仿宋"/>
          <w:color w:val="auto"/>
          <w:sz w:val="32"/>
          <w:szCs w:val="32"/>
        </w:rPr>
        <w:t>报价明显低于其他响应报价</w:t>
      </w:r>
      <w:bookmarkEnd w:id="45"/>
      <w:bookmarkEnd w:id="46"/>
      <w:r>
        <w:rPr>
          <w:rFonts w:hint="eastAsia" w:ascii="仿宋" w:hAnsi="仿宋" w:eastAsia="仿宋" w:cs="仿宋"/>
          <w:color w:val="auto"/>
          <w:sz w:val="32"/>
          <w:szCs w:val="32"/>
        </w:rPr>
        <w:t>，且供应商不能合理说明或者提供相关证明材料，评审小组认定该供应商以低于成本价</w:t>
      </w:r>
      <w:r>
        <w:rPr>
          <w:rFonts w:ascii="仿宋" w:hAnsi="仿宋" w:eastAsia="仿宋" w:cs="仿宋"/>
          <w:color w:val="auto"/>
          <w:sz w:val="32"/>
          <w:szCs w:val="32"/>
        </w:rPr>
        <w:t>报价</w:t>
      </w:r>
      <w:r>
        <w:rPr>
          <w:rFonts w:hint="eastAsia" w:ascii="仿宋" w:hAnsi="仿宋" w:eastAsia="仿宋" w:cs="仿宋"/>
          <w:color w:val="auto"/>
          <w:sz w:val="32"/>
          <w:szCs w:val="32"/>
        </w:rPr>
        <w:t>的；</w:t>
      </w:r>
    </w:p>
    <w:p w14:paraId="56E53B4D">
      <w:pPr>
        <w:overflowPunct w:val="0"/>
        <w:spacing w:line="500" w:lineRule="exact"/>
        <w:ind w:firstLine="320" w:firstLineChars="100"/>
        <w:rPr>
          <w:rFonts w:ascii="仿宋" w:hAnsi="仿宋" w:eastAsia="仿宋" w:cs="仿宋"/>
          <w:color w:val="auto"/>
          <w:sz w:val="32"/>
          <w:szCs w:val="32"/>
        </w:rPr>
      </w:pPr>
      <w:r>
        <w:rPr>
          <w:rFonts w:hint="eastAsia" w:ascii="仿宋" w:hAnsi="仿宋" w:eastAsia="仿宋" w:cs="仿宋"/>
          <w:color w:val="auto"/>
          <w:sz w:val="32"/>
          <w:szCs w:val="32"/>
        </w:rPr>
        <w:t>（7）响应文件有效期达不到询比采购文件要求的；</w:t>
      </w:r>
    </w:p>
    <w:p w14:paraId="58CA19DF">
      <w:pPr>
        <w:overflowPunct w:val="0"/>
        <w:spacing w:line="500" w:lineRule="exact"/>
        <w:ind w:firstLine="320" w:firstLineChars="100"/>
        <w:rPr>
          <w:rFonts w:ascii="仿宋" w:hAnsi="仿宋" w:eastAsia="仿宋" w:cs="仿宋"/>
          <w:color w:val="auto"/>
          <w:sz w:val="32"/>
          <w:szCs w:val="32"/>
        </w:rPr>
      </w:pPr>
      <w:r>
        <w:rPr>
          <w:rFonts w:hint="eastAsia" w:ascii="仿宋" w:hAnsi="仿宋" w:eastAsia="仿宋" w:cs="仿宋"/>
          <w:color w:val="auto"/>
          <w:sz w:val="32"/>
          <w:szCs w:val="32"/>
        </w:rPr>
        <w:t>（8）供应商方案出现严重漏项，已影响到该项目的实施的；</w:t>
      </w:r>
    </w:p>
    <w:p w14:paraId="7E6D91ED">
      <w:pPr>
        <w:overflowPunct w:val="0"/>
        <w:spacing w:line="500" w:lineRule="exact"/>
        <w:ind w:firstLine="320" w:firstLineChars="100"/>
        <w:rPr>
          <w:rFonts w:ascii="仿宋" w:hAnsi="仿宋" w:eastAsia="仿宋" w:cs="仿宋"/>
          <w:color w:val="auto"/>
          <w:sz w:val="32"/>
          <w:szCs w:val="32"/>
        </w:rPr>
      </w:pPr>
      <w:r>
        <w:rPr>
          <w:rFonts w:hint="eastAsia" w:ascii="仿宋" w:hAnsi="仿宋" w:eastAsia="仿宋" w:cs="仿宋"/>
          <w:color w:val="auto"/>
          <w:sz w:val="32"/>
          <w:szCs w:val="32"/>
        </w:rPr>
        <w:t>（9）供应商有串通</w:t>
      </w:r>
      <w:r>
        <w:rPr>
          <w:rFonts w:ascii="仿宋" w:hAnsi="仿宋" w:eastAsia="仿宋" w:cs="仿宋"/>
          <w:color w:val="auto"/>
          <w:sz w:val="32"/>
          <w:szCs w:val="32"/>
        </w:rPr>
        <w:t>报价</w:t>
      </w:r>
      <w:r>
        <w:rPr>
          <w:rFonts w:hint="eastAsia" w:ascii="仿宋" w:hAnsi="仿宋" w:eastAsia="仿宋" w:cs="仿宋"/>
          <w:color w:val="auto"/>
          <w:sz w:val="32"/>
          <w:szCs w:val="32"/>
        </w:rPr>
        <w:t>、弄虚作假、行贿等违法行为的。</w:t>
      </w:r>
    </w:p>
    <w:p w14:paraId="2FDBB7EB">
      <w:pPr>
        <w:overflowPunct w:val="0"/>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3.响应报价有算术错误的，评审小组按以下原则要求供应商对响应报价进</w:t>
      </w:r>
      <w:bookmarkStart w:id="47" w:name="_Toc152045603"/>
      <w:bookmarkStart w:id="48" w:name="_Toc247514027"/>
      <w:bookmarkStart w:id="49" w:name="_Toc384308277"/>
      <w:bookmarkStart w:id="50" w:name="_Toc247527628"/>
      <w:bookmarkStart w:id="51" w:name="_Toc369531582"/>
      <w:bookmarkStart w:id="52" w:name="_Toc352691538"/>
      <w:bookmarkStart w:id="53" w:name="_Toc144974570"/>
      <w:bookmarkStart w:id="54" w:name="_Toc361508651"/>
      <w:bookmarkStart w:id="55" w:name="_Toc300835013"/>
      <w:bookmarkStart w:id="56" w:name="_Toc152042380"/>
      <w:bookmarkStart w:id="57" w:name="_Toc2907"/>
      <w:r>
        <w:rPr>
          <w:rFonts w:hint="eastAsia" w:ascii="仿宋" w:hAnsi="仿宋" w:eastAsia="仿宋" w:cs="仿宋"/>
          <w:color w:val="auto"/>
          <w:sz w:val="32"/>
          <w:szCs w:val="32"/>
        </w:rPr>
        <w:t>行书面澄清确认。</w:t>
      </w:r>
      <w:bookmarkEnd w:id="47"/>
      <w:bookmarkEnd w:id="48"/>
      <w:bookmarkEnd w:id="49"/>
      <w:bookmarkEnd w:id="50"/>
      <w:bookmarkEnd w:id="51"/>
      <w:bookmarkEnd w:id="52"/>
      <w:bookmarkEnd w:id="53"/>
      <w:bookmarkEnd w:id="54"/>
      <w:bookmarkEnd w:id="55"/>
      <w:bookmarkEnd w:id="56"/>
      <w:bookmarkEnd w:id="57"/>
      <w:r>
        <w:rPr>
          <w:rFonts w:hint="eastAsia" w:ascii="仿宋" w:hAnsi="仿宋" w:eastAsia="仿宋" w:cs="仿宋"/>
          <w:color w:val="auto"/>
          <w:sz w:val="32"/>
          <w:szCs w:val="32"/>
        </w:rPr>
        <w:t>供应商拒不澄清确认的，评审小组应当否决其响应文件：</w:t>
      </w:r>
      <w:bookmarkStart w:id="58" w:name="_Toc16955"/>
      <w:bookmarkStart w:id="59" w:name="_Toc29291"/>
      <w:bookmarkStart w:id="60" w:name="_Toc33795835"/>
      <w:bookmarkStart w:id="61" w:name="_Toc13563"/>
    </w:p>
    <w:p w14:paraId="68994616">
      <w:pPr>
        <w:overflowPunct w:val="0"/>
        <w:spacing w:line="500" w:lineRule="exact"/>
        <w:ind w:firstLine="320" w:firstLineChars="100"/>
        <w:rPr>
          <w:rFonts w:ascii="仿宋" w:hAnsi="仿宋" w:eastAsia="仿宋" w:cs="仿宋"/>
          <w:color w:val="auto"/>
          <w:sz w:val="32"/>
          <w:szCs w:val="32"/>
        </w:rPr>
      </w:pPr>
      <w:r>
        <w:rPr>
          <w:rFonts w:hint="eastAsia" w:ascii="仿宋" w:hAnsi="仿宋" w:eastAsia="仿宋" w:cs="仿宋"/>
          <w:color w:val="auto"/>
          <w:sz w:val="32"/>
          <w:szCs w:val="32"/>
        </w:rPr>
        <w:t>（1）响应文件中的大写金额与小写金额不一致的，以大写金额为准；</w:t>
      </w:r>
    </w:p>
    <w:p w14:paraId="5F2A853D">
      <w:pPr>
        <w:overflowPunct w:val="0"/>
        <w:spacing w:line="500" w:lineRule="exact"/>
        <w:ind w:firstLine="320" w:firstLineChars="100"/>
        <w:rPr>
          <w:rFonts w:ascii="仿宋" w:hAnsi="仿宋" w:eastAsia="仿宋" w:cs="仿宋"/>
          <w:color w:val="auto"/>
          <w:sz w:val="32"/>
          <w:szCs w:val="32"/>
        </w:rPr>
      </w:pPr>
      <w:r>
        <w:rPr>
          <w:rFonts w:hint="eastAsia" w:ascii="仿宋" w:hAnsi="仿宋" w:eastAsia="仿宋" w:cs="仿宋"/>
          <w:color w:val="auto"/>
          <w:sz w:val="32"/>
          <w:szCs w:val="32"/>
        </w:rPr>
        <w:t>（2）总价金额与单价金额不一致的，以单价金额为准，但单价金额小数点有明显错误的除外；</w:t>
      </w:r>
    </w:p>
    <w:p w14:paraId="68F06833">
      <w:pPr>
        <w:overflowPunct w:val="0"/>
        <w:spacing w:line="500" w:lineRule="exact"/>
        <w:ind w:firstLine="320" w:firstLineChars="100"/>
        <w:rPr>
          <w:rFonts w:ascii="仿宋" w:hAnsi="仿宋" w:eastAsia="仿宋" w:cs="仿宋"/>
          <w:color w:val="auto"/>
          <w:sz w:val="32"/>
          <w:szCs w:val="32"/>
        </w:rPr>
      </w:pPr>
      <w:r>
        <w:rPr>
          <w:rFonts w:hint="eastAsia" w:ascii="仿宋" w:hAnsi="仿宋" w:eastAsia="仿宋" w:cs="仿宋"/>
          <w:color w:val="auto"/>
          <w:sz w:val="32"/>
          <w:szCs w:val="32"/>
        </w:rPr>
        <w:t>（3）响应报价为各分项报价金额之和，响应报价与分项报价的合价不一致的，应以各分项合价累计数为准，修正响应报价。</w:t>
      </w:r>
      <w:bookmarkEnd w:id="58"/>
      <w:bookmarkEnd w:id="59"/>
      <w:bookmarkEnd w:id="60"/>
      <w:bookmarkEnd w:id="61"/>
    </w:p>
    <w:p w14:paraId="2462153A">
      <w:pPr>
        <w:overflowPunct w:val="0"/>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评审小组发现供应商的报价明显低于其他响应报价，使得其响应报价可能低于其个别成本的，应当要求该供应商作出书面说明并提供相应的证明材料。供应商不能合理说明或者不能提供相应证明材料的，评审小组应当认定该供应商以低于成本报价竞标，并否决其响应文件。</w:t>
      </w:r>
    </w:p>
    <w:p w14:paraId="785319F7">
      <w:pPr>
        <w:pStyle w:val="4"/>
        <w:keepNext w:val="0"/>
        <w:keepLines w:val="0"/>
        <w:overflowPunct w:val="0"/>
        <w:spacing w:before="0" w:after="0" w:line="500" w:lineRule="exact"/>
        <w:ind w:firstLine="320" w:firstLineChars="100"/>
        <w:rPr>
          <w:rFonts w:ascii="仿宋" w:hAnsi="仿宋" w:eastAsia="仿宋" w:cs="仿宋"/>
          <w:color w:val="auto"/>
          <w:sz w:val="32"/>
          <w:szCs w:val="32"/>
        </w:rPr>
      </w:pPr>
      <w:bookmarkStart w:id="62" w:name="_Toc15253"/>
      <w:bookmarkStart w:id="63" w:name="_Toc32669"/>
      <w:bookmarkStart w:id="64" w:name="_Toc3366"/>
      <w:bookmarkStart w:id="65" w:name="_Toc33795836"/>
      <w:r>
        <w:rPr>
          <w:rFonts w:hint="eastAsia" w:ascii="仿宋" w:hAnsi="仿宋" w:eastAsia="仿宋" w:cs="仿宋"/>
          <w:color w:val="auto"/>
          <w:sz w:val="32"/>
          <w:szCs w:val="32"/>
        </w:rPr>
        <w:t>（四）其他要求</w:t>
      </w:r>
    </w:p>
    <w:p w14:paraId="01056FED">
      <w:pPr>
        <w:pStyle w:val="4"/>
        <w:keepNext w:val="0"/>
        <w:keepLines w:val="0"/>
        <w:overflowPunct w:val="0"/>
        <w:spacing w:before="0" w:after="0"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响应方文件中除“响应文件要求”中规定的内容外，还需包含</w:t>
      </w:r>
    </w:p>
    <w:p w14:paraId="000C91F2">
      <w:pPr>
        <w:spacing w:line="576" w:lineRule="exact"/>
        <w:ind w:firstLine="420" w:firstLineChars="200"/>
        <w:jc w:val="left"/>
        <w:rPr>
          <w:rFonts w:ascii="仿宋" w:hAnsi="仿宋" w:eastAsia="仿宋" w:cs="仿宋"/>
          <w:color w:val="auto"/>
          <w:sz w:val="32"/>
          <w:szCs w:val="32"/>
        </w:rPr>
      </w:pPr>
      <w:r>
        <w:rPr>
          <w:rFonts w:hint="eastAsia"/>
          <w:color w:val="auto"/>
        </w:rPr>
        <w:t xml:space="preserve">  </w:t>
      </w:r>
      <w:r>
        <w:rPr>
          <w:rFonts w:hint="eastAsia" w:ascii="仿宋" w:hAnsi="仿宋" w:eastAsia="仿宋"/>
          <w:color w:val="auto"/>
          <w:sz w:val="32"/>
          <w:szCs w:val="32"/>
        </w:rPr>
        <w:t>1.</w:t>
      </w:r>
      <w:r>
        <w:rPr>
          <w:rFonts w:hint="eastAsia" w:ascii="仿宋" w:hAnsi="仿宋" w:eastAsia="仿宋" w:cs="仿宋"/>
          <w:color w:val="auto"/>
          <w:sz w:val="32"/>
          <w:szCs w:val="32"/>
        </w:rPr>
        <w:t>施工部署及施工方案；</w:t>
      </w:r>
    </w:p>
    <w:p w14:paraId="65DFC87F">
      <w:pPr>
        <w:spacing w:line="576"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2.确保工程质量的技术组织措施；</w:t>
      </w:r>
    </w:p>
    <w:p w14:paraId="5277E585">
      <w:pPr>
        <w:spacing w:line="576"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3.确保安全文明生产的技术组织措施；</w:t>
      </w:r>
    </w:p>
    <w:p w14:paraId="5A62C191">
      <w:pPr>
        <w:spacing w:line="576"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4.确保施工工期的技术组织措施；</w:t>
      </w:r>
    </w:p>
    <w:p w14:paraId="6E119316">
      <w:pPr>
        <w:spacing w:line="576"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5.主要物资、机具、设备和劳动力的配置；</w:t>
      </w:r>
    </w:p>
    <w:p w14:paraId="36583385">
      <w:pPr>
        <w:spacing w:line="576"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6.施工进度计划表或工期网络图；</w:t>
      </w:r>
    </w:p>
    <w:p w14:paraId="7FE56198">
      <w:pPr>
        <w:spacing w:line="576"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 xml:space="preserve">各评委在对施工组织设计逐项单独审查时，如发现有缺项，降低评审排名名次。 </w:t>
      </w:r>
    </w:p>
    <w:p w14:paraId="78D1DD7A">
      <w:pPr>
        <w:pStyle w:val="4"/>
        <w:keepNext w:val="0"/>
        <w:keepLines w:val="0"/>
        <w:overflowPunct w:val="0"/>
        <w:spacing w:before="0" w:after="0" w:line="500" w:lineRule="exact"/>
        <w:ind w:firstLine="320" w:firstLineChars="100"/>
        <w:rPr>
          <w:rFonts w:ascii="仿宋" w:hAnsi="仿宋" w:eastAsia="仿宋" w:cs="仿宋"/>
          <w:color w:val="auto"/>
          <w:sz w:val="32"/>
          <w:szCs w:val="32"/>
        </w:rPr>
      </w:pPr>
      <w:r>
        <w:rPr>
          <w:rFonts w:hint="eastAsia" w:ascii="仿宋" w:hAnsi="仿宋" w:eastAsia="仿宋" w:cs="仿宋"/>
          <w:color w:val="auto"/>
          <w:sz w:val="32"/>
          <w:szCs w:val="32"/>
        </w:rPr>
        <w:t>（五）响应文件的澄清</w:t>
      </w:r>
      <w:bookmarkEnd w:id="62"/>
      <w:bookmarkEnd w:id="63"/>
      <w:bookmarkEnd w:id="64"/>
      <w:bookmarkEnd w:id="65"/>
    </w:p>
    <w:p w14:paraId="3DA1866C">
      <w:pPr>
        <w:overflowPunct w:val="0"/>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在评审过程中，评审小组对响应文件中含义不明确、对同类问题表述不一致或者有明显文字和计算错误的内容可以书面形式要求供应商作必要的澄清、说明或补正。评审小组不接受供应商主动提出的澄清、说明或补正。</w:t>
      </w:r>
    </w:p>
    <w:p w14:paraId="176091E8">
      <w:pPr>
        <w:overflowPunct w:val="0"/>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2.澄清、说明或补正不得超出响应文件的范围且不得改变响应文件的实质性内容，并构成响应文件的组成部分。</w:t>
      </w:r>
    </w:p>
    <w:p w14:paraId="23B34FC8">
      <w:pPr>
        <w:overflowPunct w:val="0"/>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3.评审小组对供应商提交的澄清、说明或补正有疑问的，可以要求供应商进一步澄清、说明或补正，直至满足评审小组的要求。</w:t>
      </w:r>
    </w:p>
    <w:p w14:paraId="58FB5A3F">
      <w:pPr>
        <w:pStyle w:val="4"/>
        <w:keepNext w:val="0"/>
        <w:keepLines w:val="0"/>
        <w:overflowPunct w:val="0"/>
        <w:spacing w:before="0" w:after="0" w:line="500" w:lineRule="exact"/>
        <w:ind w:firstLine="320" w:firstLineChars="100"/>
        <w:rPr>
          <w:rFonts w:ascii="仿宋" w:hAnsi="仿宋" w:eastAsia="仿宋" w:cs="仿宋"/>
          <w:color w:val="auto"/>
          <w:sz w:val="32"/>
          <w:szCs w:val="32"/>
        </w:rPr>
      </w:pPr>
      <w:r>
        <w:rPr>
          <w:rFonts w:hint="eastAsia" w:ascii="仿宋" w:hAnsi="仿宋" w:eastAsia="仿宋" w:cs="仿宋"/>
          <w:color w:val="auto"/>
          <w:sz w:val="32"/>
          <w:szCs w:val="32"/>
        </w:rPr>
        <w:t>（五）评审结果</w:t>
      </w:r>
    </w:p>
    <w:p w14:paraId="1B96684D">
      <w:pPr>
        <w:overflowPunct w:val="0"/>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评审小组根据采购文件规定的评审办法按照价格由低到高的顺序推荐成交候选人，并标明排序</w:t>
      </w:r>
      <w:r>
        <w:rPr>
          <w:rFonts w:ascii="仿宋" w:hAnsi="仿宋" w:eastAsia="仿宋" w:cs="仿宋"/>
          <w:color w:val="auto"/>
          <w:sz w:val="32"/>
          <w:szCs w:val="32"/>
        </w:rPr>
        <w:t>。</w:t>
      </w:r>
    </w:p>
    <w:p w14:paraId="233F9D17">
      <w:pPr>
        <w:pStyle w:val="3"/>
        <w:keepNext w:val="0"/>
        <w:keepLines w:val="0"/>
        <w:overflowPunct w:val="0"/>
        <w:spacing w:before="0" w:after="0" w:line="500" w:lineRule="exact"/>
        <w:rPr>
          <w:rFonts w:ascii="仿宋" w:hAnsi="仿宋" w:eastAsia="仿宋" w:cs="仿宋"/>
          <w:color w:val="auto"/>
          <w:szCs w:val="32"/>
        </w:rPr>
      </w:pPr>
      <w:bookmarkStart w:id="66" w:name="_Toc9481"/>
      <w:bookmarkStart w:id="67" w:name="_Toc33795807"/>
      <w:bookmarkStart w:id="68" w:name="_Toc8518"/>
      <w:r>
        <w:rPr>
          <w:rFonts w:hint="eastAsia" w:ascii="仿宋" w:hAnsi="仿宋" w:eastAsia="仿宋" w:cs="仿宋"/>
          <w:color w:val="auto"/>
          <w:szCs w:val="32"/>
        </w:rPr>
        <w:t>六、合同授予</w:t>
      </w:r>
      <w:bookmarkEnd w:id="66"/>
      <w:bookmarkEnd w:id="67"/>
      <w:bookmarkEnd w:id="68"/>
    </w:p>
    <w:p w14:paraId="6487F686">
      <w:pPr>
        <w:pStyle w:val="4"/>
        <w:keepNext w:val="0"/>
        <w:keepLines w:val="0"/>
        <w:overflowPunct w:val="0"/>
        <w:spacing w:before="0" w:after="0" w:line="500" w:lineRule="exact"/>
        <w:ind w:firstLine="320" w:firstLineChars="100"/>
        <w:rPr>
          <w:rFonts w:ascii="仿宋" w:hAnsi="仿宋" w:eastAsia="仿宋" w:cs="仿宋"/>
          <w:color w:val="auto"/>
          <w:sz w:val="32"/>
          <w:szCs w:val="32"/>
        </w:rPr>
      </w:pPr>
      <w:bookmarkStart w:id="69" w:name="_Toc21093"/>
      <w:bookmarkStart w:id="70" w:name="_Toc30852"/>
      <w:bookmarkStart w:id="71" w:name="_Toc33795808"/>
      <w:bookmarkStart w:id="72" w:name="_Toc16094"/>
      <w:r>
        <w:rPr>
          <w:rFonts w:hint="eastAsia" w:ascii="仿宋" w:hAnsi="仿宋" w:eastAsia="仿宋" w:cs="仿宋"/>
          <w:color w:val="auto"/>
          <w:sz w:val="32"/>
          <w:szCs w:val="32"/>
        </w:rPr>
        <w:t>（一）成交候选人公示</w:t>
      </w:r>
      <w:bookmarkEnd w:id="69"/>
      <w:bookmarkEnd w:id="70"/>
      <w:bookmarkEnd w:id="71"/>
      <w:bookmarkEnd w:id="72"/>
    </w:p>
    <w:p w14:paraId="69321583">
      <w:pPr>
        <w:overflowPunct w:val="0"/>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在陕西锌业有限公司网络采购平台www.sxxyjjpt.com公示成交候选人，公示期不少于3天。</w:t>
      </w:r>
    </w:p>
    <w:p w14:paraId="240C4CB9">
      <w:pPr>
        <w:pStyle w:val="4"/>
        <w:keepNext w:val="0"/>
        <w:keepLines w:val="0"/>
        <w:overflowPunct w:val="0"/>
        <w:spacing w:before="0" w:after="0" w:line="500" w:lineRule="exact"/>
        <w:ind w:firstLine="320" w:firstLineChars="100"/>
        <w:rPr>
          <w:rFonts w:ascii="仿宋" w:hAnsi="仿宋" w:eastAsia="仿宋" w:cs="仿宋"/>
          <w:color w:val="auto"/>
          <w:sz w:val="32"/>
          <w:szCs w:val="32"/>
        </w:rPr>
      </w:pPr>
      <w:bookmarkStart w:id="73" w:name="_Toc19079"/>
      <w:bookmarkStart w:id="74" w:name="_Toc10372"/>
      <w:bookmarkStart w:id="75" w:name="_Toc33795809"/>
      <w:bookmarkStart w:id="76" w:name="_Toc7018"/>
      <w:r>
        <w:rPr>
          <w:rFonts w:hint="eastAsia" w:ascii="仿宋" w:hAnsi="仿宋" w:eastAsia="仿宋" w:cs="仿宋"/>
          <w:color w:val="auto"/>
          <w:sz w:val="32"/>
          <w:szCs w:val="32"/>
        </w:rPr>
        <w:t>（二）评审结果异议</w:t>
      </w:r>
      <w:bookmarkEnd w:id="73"/>
      <w:bookmarkEnd w:id="74"/>
      <w:bookmarkEnd w:id="75"/>
      <w:bookmarkEnd w:id="76"/>
    </w:p>
    <w:p w14:paraId="45630F0E">
      <w:pPr>
        <w:overflowPunct w:val="0"/>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供应商或者其他利</w:t>
      </w:r>
      <w:bookmarkStart w:id="77" w:name="_Toc144974529"/>
      <w:bookmarkStart w:id="78" w:name="_Toc369531549"/>
      <w:bookmarkStart w:id="79" w:name="_Toc352691505"/>
      <w:bookmarkStart w:id="80" w:name="_Toc300834982"/>
      <w:bookmarkStart w:id="81" w:name="_Toc30095"/>
      <w:bookmarkStart w:id="82" w:name="_Toc152042337"/>
      <w:bookmarkStart w:id="83" w:name="_Toc152045561"/>
      <w:bookmarkStart w:id="84" w:name="_Toc384308243"/>
      <w:bookmarkStart w:id="85" w:name="_Toc361508618"/>
      <w:bookmarkStart w:id="86" w:name="_Toc247513985"/>
      <w:bookmarkStart w:id="87" w:name="_Toc247527586"/>
      <w:r>
        <w:rPr>
          <w:rFonts w:hint="eastAsia" w:ascii="仿宋" w:hAnsi="仿宋" w:eastAsia="仿宋" w:cs="仿宋"/>
          <w:color w:val="auto"/>
          <w:sz w:val="32"/>
          <w:szCs w:val="32"/>
        </w:rPr>
        <w:t>害关系人对</w:t>
      </w:r>
      <w:bookmarkEnd w:id="77"/>
      <w:bookmarkEnd w:id="78"/>
      <w:bookmarkEnd w:id="79"/>
      <w:bookmarkEnd w:id="80"/>
      <w:bookmarkEnd w:id="81"/>
      <w:bookmarkEnd w:id="82"/>
      <w:bookmarkEnd w:id="83"/>
      <w:bookmarkEnd w:id="84"/>
      <w:bookmarkEnd w:id="85"/>
      <w:bookmarkEnd w:id="86"/>
      <w:bookmarkEnd w:id="87"/>
      <w:r>
        <w:rPr>
          <w:rFonts w:hint="eastAsia" w:ascii="仿宋" w:hAnsi="仿宋" w:eastAsia="仿宋" w:cs="仿宋"/>
          <w:color w:val="auto"/>
          <w:sz w:val="32"/>
          <w:szCs w:val="32"/>
        </w:rPr>
        <w:t>评审结果有异议的，应当在成交候选人公示期间提出。采购人在收到异议之日起3日内对异议作出答复；作出答复前，将暂停询比采购活动。</w:t>
      </w:r>
    </w:p>
    <w:p w14:paraId="67E03C5F">
      <w:pPr>
        <w:pStyle w:val="4"/>
        <w:keepNext w:val="0"/>
        <w:keepLines w:val="0"/>
        <w:overflowPunct w:val="0"/>
        <w:spacing w:before="0" w:after="0" w:line="500" w:lineRule="exact"/>
        <w:ind w:firstLine="320" w:firstLineChars="100"/>
        <w:rPr>
          <w:rFonts w:ascii="仿宋" w:hAnsi="仿宋" w:eastAsia="仿宋" w:cs="仿宋"/>
          <w:color w:val="auto"/>
          <w:sz w:val="32"/>
          <w:szCs w:val="32"/>
        </w:rPr>
      </w:pPr>
      <w:bookmarkStart w:id="88" w:name="_Toc33795810"/>
      <w:bookmarkStart w:id="89" w:name="_Toc21648"/>
      <w:bookmarkStart w:id="90" w:name="_Toc28756"/>
      <w:bookmarkStart w:id="91" w:name="_Toc25590"/>
      <w:r>
        <w:rPr>
          <w:rFonts w:hint="eastAsia" w:ascii="仿宋" w:hAnsi="仿宋" w:eastAsia="仿宋" w:cs="仿宋"/>
          <w:color w:val="auto"/>
          <w:sz w:val="32"/>
          <w:szCs w:val="32"/>
        </w:rPr>
        <w:t>（三）成交候选人履约能力审查</w:t>
      </w:r>
      <w:bookmarkEnd w:id="88"/>
      <w:bookmarkEnd w:id="89"/>
      <w:bookmarkEnd w:id="90"/>
      <w:bookmarkEnd w:id="91"/>
    </w:p>
    <w:p w14:paraId="08DC03AF">
      <w:pPr>
        <w:overflowPunct w:val="0"/>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成交候选人的经营、财务状况发生较大变化或存在违法行为，采购人认为可能影响其履约能力的，采购人招标办公室将在发出成交通知书前提请原评审小组按照询比采购文件规定的标准和方法进行审查和确认。</w:t>
      </w:r>
    </w:p>
    <w:p w14:paraId="757C2B56">
      <w:pPr>
        <w:pStyle w:val="4"/>
        <w:keepNext w:val="0"/>
        <w:keepLines w:val="0"/>
        <w:overflowPunct w:val="0"/>
        <w:spacing w:before="0" w:after="0" w:line="500" w:lineRule="exact"/>
        <w:ind w:firstLine="320" w:firstLineChars="100"/>
        <w:rPr>
          <w:rFonts w:ascii="仿宋" w:hAnsi="仿宋" w:eastAsia="仿宋" w:cs="仿宋"/>
          <w:color w:val="auto"/>
          <w:sz w:val="32"/>
          <w:szCs w:val="32"/>
        </w:rPr>
      </w:pPr>
      <w:bookmarkStart w:id="92" w:name="_Toc2191"/>
      <w:bookmarkStart w:id="93" w:name="_Toc24665"/>
      <w:bookmarkStart w:id="94" w:name="_Toc19470"/>
      <w:bookmarkStart w:id="95" w:name="_Toc33795811"/>
      <w:r>
        <w:rPr>
          <w:rFonts w:hint="eastAsia" w:ascii="仿宋" w:hAnsi="仿宋" w:eastAsia="仿宋" w:cs="仿宋"/>
          <w:color w:val="auto"/>
          <w:sz w:val="32"/>
          <w:szCs w:val="32"/>
        </w:rPr>
        <w:t>（四）</w:t>
      </w:r>
      <w:bookmarkEnd w:id="92"/>
      <w:bookmarkEnd w:id="93"/>
      <w:bookmarkEnd w:id="94"/>
      <w:bookmarkEnd w:id="95"/>
      <w:r>
        <w:rPr>
          <w:rFonts w:hint="eastAsia" w:ascii="仿宋" w:hAnsi="仿宋" w:eastAsia="仿宋" w:cs="仿宋"/>
          <w:color w:val="auto"/>
          <w:sz w:val="32"/>
          <w:szCs w:val="32"/>
        </w:rPr>
        <w:t>确定成交人</w:t>
      </w:r>
    </w:p>
    <w:p w14:paraId="56A37504">
      <w:pPr>
        <w:overflowPunct w:val="0"/>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采购人单位履行内部审批程序，根据评审小组的评审报告及成交人候选人名单确定成交人。</w:t>
      </w:r>
    </w:p>
    <w:p w14:paraId="6BF85A51">
      <w:pPr>
        <w:pStyle w:val="4"/>
        <w:keepNext w:val="0"/>
        <w:keepLines w:val="0"/>
        <w:overflowPunct w:val="0"/>
        <w:spacing w:before="0" w:after="0" w:line="500" w:lineRule="exact"/>
        <w:ind w:firstLine="320" w:firstLineChars="100"/>
        <w:rPr>
          <w:rFonts w:ascii="仿宋" w:hAnsi="仿宋" w:eastAsia="仿宋" w:cs="仿宋"/>
          <w:color w:val="auto"/>
          <w:sz w:val="32"/>
          <w:szCs w:val="32"/>
        </w:rPr>
      </w:pPr>
      <w:bookmarkStart w:id="96" w:name="_Toc33795813"/>
      <w:bookmarkStart w:id="97" w:name="_Toc21613"/>
      <w:bookmarkStart w:id="98" w:name="_Toc30705"/>
      <w:bookmarkStart w:id="99" w:name="_Toc4342"/>
      <w:r>
        <w:rPr>
          <w:rFonts w:hint="eastAsia" w:ascii="仿宋" w:hAnsi="仿宋" w:eastAsia="仿宋" w:cs="仿宋"/>
          <w:color w:val="auto"/>
          <w:sz w:val="32"/>
          <w:szCs w:val="32"/>
        </w:rPr>
        <w:t>（五）履约担保</w:t>
      </w:r>
      <w:bookmarkEnd w:id="96"/>
      <w:bookmarkEnd w:id="97"/>
      <w:bookmarkEnd w:id="98"/>
      <w:bookmarkEnd w:id="99"/>
    </w:p>
    <w:p w14:paraId="0B861BD9">
      <w:pPr>
        <w:overflowPunct w:val="0"/>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1.成交人应按合同金额的10%以担保函或转账形式在收到成交通知后3日内向采购人提交履约担保，成交人所交的响应保证金自动转为履约保证金，合同履行完毕后，不计利息，采购方退还。</w:t>
      </w:r>
    </w:p>
    <w:p w14:paraId="797A8F97">
      <w:pPr>
        <w:overflowPunct w:val="0"/>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2.成交人不能按前述要求提交履约担保的，视为放弃成交，其响应保证金不予退还，给采购人造成的损失超出响应保证金数额的，成交人还应当对超出部分予以赔偿。</w:t>
      </w:r>
    </w:p>
    <w:p w14:paraId="2F82EB25">
      <w:pPr>
        <w:pStyle w:val="4"/>
        <w:keepNext w:val="0"/>
        <w:keepLines w:val="0"/>
        <w:overflowPunct w:val="0"/>
        <w:spacing w:before="0" w:after="0" w:line="500" w:lineRule="exact"/>
        <w:ind w:firstLine="320" w:firstLineChars="100"/>
        <w:rPr>
          <w:rFonts w:ascii="仿宋" w:hAnsi="仿宋" w:eastAsia="仿宋" w:cs="仿宋"/>
          <w:color w:val="auto"/>
          <w:sz w:val="32"/>
          <w:szCs w:val="32"/>
        </w:rPr>
      </w:pPr>
      <w:bookmarkStart w:id="100" w:name="_Toc3671"/>
      <w:bookmarkStart w:id="101" w:name="_Toc33795814"/>
      <w:bookmarkStart w:id="102" w:name="_Toc11183"/>
      <w:bookmarkStart w:id="103" w:name="_Toc14362"/>
      <w:r>
        <w:rPr>
          <w:rFonts w:hint="eastAsia" w:ascii="仿宋" w:hAnsi="仿宋" w:eastAsia="仿宋" w:cs="仿宋"/>
          <w:color w:val="auto"/>
          <w:sz w:val="32"/>
          <w:szCs w:val="32"/>
        </w:rPr>
        <w:t>（六）签订合同</w:t>
      </w:r>
      <w:bookmarkEnd w:id="100"/>
      <w:bookmarkEnd w:id="101"/>
      <w:bookmarkEnd w:id="102"/>
      <w:bookmarkEnd w:id="103"/>
    </w:p>
    <w:p w14:paraId="07B3BABC">
      <w:pPr>
        <w:overflowPunct w:val="0"/>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1.采购人和成交供应商应当在响应有效期内，且在自成交通知书发出之日起</w:t>
      </w:r>
      <w:bookmarkStart w:id="104" w:name="_Toc152042340"/>
      <w:bookmarkStart w:id="105" w:name="_Toc352691509"/>
      <w:bookmarkStart w:id="106" w:name="_Toc152045564"/>
      <w:bookmarkStart w:id="107" w:name="_Toc384308247"/>
      <w:bookmarkStart w:id="108" w:name="_Toc300834986"/>
      <w:bookmarkStart w:id="109" w:name="_Toc4656"/>
      <w:bookmarkStart w:id="110" w:name="_Toc361508622"/>
      <w:bookmarkStart w:id="111" w:name="_Toc144974532"/>
      <w:bookmarkStart w:id="112" w:name="_Toc247513988"/>
      <w:bookmarkStart w:id="113" w:name="_Toc247527589"/>
      <w:bookmarkStart w:id="114" w:name="_Toc369531553"/>
      <w:r>
        <w:rPr>
          <w:rFonts w:hint="eastAsia" w:ascii="仿宋" w:hAnsi="仿宋" w:eastAsia="仿宋" w:cs="仿宋"/>
          <w:color w:val="auto"/>
          <w:sz w:val="32"/>
          <w:szCs w:val="32"/>
        </w:rPr>
        <w:t>7日内，根据</w:t>
      </w:r>
      <w:bookmarkEnd w:id="104"/>
      <w:bookmarkEnd w:id="105"/>
      <w:bookmarkEnd w:id="106"/>
      <w:bookmarkEnd w:id="107"/>
      <w:bookmarkEnd w:id="108"/>
      <w:bookmarkEnd w:id="109"/>
      <w:bookmarkEnd w:id="110"/>
      <w:bookmarkEnd w:id="111"/>
      <w:bookmarkEnd w:id="112"/>
      <w:bookmarkEnd w:id="113"/>
      <w:bookmarkEnd w:id="114"/>
      <w:r>
        <w:rPr>
          <w:rFonts w:hint="eastAsia" w:ascii="仿宋" w:hAnsi="仿宋" w:eastAsia="仿宋" w:cs="仿宋"/>
          <w:color w:val="auto"/>
          <w:sz w:val="32"/>
          <w:szCs w:val="32"/>
        </w:rPr>
        <w:t>询比采购文件和成交人的响应文件订立书面合同。成交人无正</w:t>
      </w:r>
      <w:bookmarkStart w:id="115" w:name="_Toc369531554"/>
      <w:bookmarkStart w:id="116" w:name="_Toc352691510"/>
      <w:bookmarkStart w:id="117" w:name="_Toc384308248"/>
      <w:bookmarkStart w:id="118" w:name="_Toc247527590"/>
      <w:bookmarkStart w:id="119" w:name="_Toc247513989"/>
      <w:bookmarkStart w:id="120" w:name="_Toc361508623"/>
      <w:bookmarkStart w:id="121" w:name="_Toc152045565"/>
      <w:bookmarkStart w:id="122" w:name="_Toc18247"/>
      <w:bookmarkStart w:id="123" w:name="_Toc144974533"/>
      <w:bookmarkStart w:id="124" w:name="_Toc300834987"/>
      <w:bookmarkStart w:id="125" w:name="_Toc152042341"/>
      <w:r>
        <w:rPr>
          <w:rFonts w:hint="eastAsia" w:ascii="仿宋" w:hAnsi="仿宋" w:eastAsia="仿宋" w:cs="仿宋"/>
          <w:color w:val="auto"/>
          <w:sz w:val="32"/>
          <w:szCs w:val="32"/>
        </w:rPr>
        <w:t>当理由拒签合</w:t>
      </w:r>
      <w:bookmarkEnd w:id="115"/>
      <w:bookmarkEnd w:id="116"/>
      <w:bookmarkEnd w:id="117"/>
      <w:bookmarkEnd w:id="118"/>
      <w:bookmarkEnd w:id="119"/>
      <w:bookmarkEnd w:id="120"/>
      <w:bookmarkEnd w:id="121"/>
      <w:bookmarkEnd w:id="122"/>
      <w:bookmarkEnd w:id="123"/>
      <w:bookmarkEnd w:id="124"/>
      <w:bookmarkEnd w:id="125"/>
      <w:r>
        <w:rPr>
          <w:rFonts w:hint="eastAsia" w:ascii="仿宋" w:hAnsi="仿宋" w:eastAsia="仿宋" w:cs="仿宋"/>
          <w:color w:val="auto"/>
          <w:sz w:val="32"/>
          <w:szCs w:val="32"/>
        </w:rPr>
        <w:t>同，或者提出其他附加条件的，采购人有权取消其成交资格，其响应保证金不予退还；给采购人造成的损失超出响应保证金数额的，成交供应商还应当对超出部分予以赔偿。</w:t>
      </w:r>
    </w:p>
    <w:p w14:paraId="059E1225">
      <w:pPr>
        <w:overflowPunct w:val="0"/>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2.发出成交通知书后，采购人无正当理由拒签合同的，或者提出其他附加条件的，采购人向成交人退还响应保证金；给成交人造成损失的，还应当赔偿损失。</w:t>
      </w:r>
      <w:bookmarkStart w:id="126" w:name="_Toc24067"/>
      <w:bookmarkStart w:id="127" w:name="_Toc384308252"/>
      <w:bookmarkStart w:id="128" w:name="_Toc361508627"/>
      <w:bookmarkStart w:id="129" w:name="_Toc247513992"/>
      <w:bookmarkStart w:id="130" w:name="_Toc144974536"/>
      <w:bookmarkStart w:id="131" w:name="_Toc300834991"/>
      <w:bookmarkStart w:id="132" w:name="_Toc152042344"/>
      <w:bookmarkStart w:id="133" w:name="_Toc152045568"/>
      <w:bookmarkStart w:id="134" w:name="_Toc247527593"/>
    </w:p>
    <w:bookmarkEnd w:id="126"/>
    <w:bookmarkEnd w:id="127"/>
    <w:bookmarkEnd w:id="128"/>
    <w:p w14:paraId="5DE93212">
      <w:pPr>
        <w:pStyle w:val="3"/>
        <w:keepNext w:val="0"/>
        <w:keepLines w:val="0"/>
        <w:overflowPunct w:val="0"/>
        <w:spacing w:before="0" w:after="0" w:line="500" w:lineRule="exact"/>
        <w:rPr>
          <w:rFonts w:ascii="仿宋" w:hAnsi="仿宋" w:eastAsia="仿宋" w:cs="仿宋"/>
          <w:color w:val="auto"/>
          <w:szCs w:val="32"/>
        </w:rPr>
      </w:pPr>
      <w:bookmarkStart w:id="135" w:name="_Toc14752"/>
      <w:bookmarkStart w:id="136" w:name="_Toc33795815"/>
      <w:bookmarkStart w:id="137" w:name="_Toc25347"/>
      <w:r>
        <w:rPr>
          <w:rFonts w:hint="eastAsia" w:ascii="仿宋" w:hAnsi="仿宋" w:eastAsia="仿宋" w:cs="仿宋"/>
          <w:color w:val="auto"/>
          <w:szCs w:val="32"/>
        </w:rPr>
        <w:t>七、纪律和监督</w:t>
      </w:r>
      <w:bookmarkEnd w:id="135"/>
      <w:bookmarkEnd w:id="136"/>
      <w:bookmarkEnd w:id="137"/>
    </w:p>
    <w:p w14:paraId="37DCE90C">
      <w:pPr>
        <w:overflowPunct w:val="0"/>
        <w:spacing w:line="500" w:lineRule="exact"/>
        <w:ind w:firstLine="320" w:firstLineChars="100"/>
        <w:rPr>
          <w:rFonts w:ascii="仿宋" w:hAnsi="仿宋" w:eastAsia="仿宋" w:cs="仿宋"/>
          <w:color w:val="auto"/>
          <w:sz w:val="32"/>
          <w:szCs w:val="32"/>
        </w:rPr>
      </w:pPr>
      <w:r>
        <w:rPr>
          <w:rFonts w:hint="eastAsia" w:ascii="仿宋" w:hAnsi="仿宋" w:eastAsia="仿宋" w:cs="仿宋"/>
          <w:color w:val="auto"/>
          <w:sz w:val="32"/>
          <w:szCs w:val="32"/>
        </w:rPr>
        <w:t>（一）供应商不得相互串通投标或者与采购人串通投标，不得向采购人或者评审小组成员行贿谋取成交，不得以他人名义投标或者以其他方式弄虚作假骗取成交；供应商不得以任何方式干扰、影响评标工作。</w:t>
      </w:r>
    </w:p>
    <w:p w14:paraId="5A0A59FD">
      <w:pPr>
        <w:overflowPunct w:val="0"/>
        <w:spacing w:line="500" w:lineRule="exact"/>
        <w:ind w:firstLine="320" w:firstLineChars="100"/>
        <w:rPr>
          <w:rFonts w:ascii="仿宋" w:hAnsi="仿宋" w:eastAsia="仿宋" w:cs="仿宋"/>
          <w:color w:val="auto"/>
          <w:sz w:val="32"/>
          <w:szCs w:val="32"/>
        </w:rPr>
      </w:pPr>
      <w:r>
        <w:rPr>
          <w:rFonts w:hint="eastAsia" w:ascii="仿宋" w:hAnsi="仿宋" w:eastAsia="仿宋" w:cs="仿宋"/>
          <w:color w:val="auto"/>
          <w:sz w:val="32"/>
          <w:szCs w:val="32"/>
        </w:rPr>
        <w:t>（二）评审小组成员及相关工作人员不得收受他人的财物或者其他好处，不得向他人透露对响应文件的评审</w:t>
      </w:r>
      <w:bookmarkStart w:id="138" w:name="_Toc369531559"/>
      <w:bookmarkStart w:id="139" w:name="_Toc384308253"/>
      <w:bookmarkStart w:id="140" w:name="_Toc13644"/>
      <w:bookmarkStart w:id="141" w:name="_Toc361508628"/>
      <w:bookmarkStart w:id="142" w:name="_Toc352691515"/>
      <w:r>
        <w:rPr>
          <w:rFonts w:hint="eastAsia" w:ascii="仿宋" w:hAnsi="仿宋" w:eastAsia="仿宋" w:cs="仿宋"/>
          <w:color w:val="auto"/>
          <w:sz w:val="32"/>
          <w:szCs w:val="32"/>
        </w:rPr>
        <w:t>和比较、</w:t>
      </w:r>
      <w:bookmarkEnd w:id="129"/>
      <w:bookmarkEnd w:id="130"/>
      <w:bookmarkEnd w:id="131"/>
      <w:bookmarkEnd w:id="132"/>
      <w:bookmarkEnd w:id="133"/>
      <w:bookmarkEnd w:id="134"/>
      <w:bookmarkEnd w:id="138"/>
      <w:bookmarkEnd w:id="139"/>
      <w:bookmarkEnd w:id="140"/>
      <w:bookmarkEnd w:id="141"/>
      <w:bookmarkEnd w:id="142"/>
      <w:r>
        <w:rPr>
          <w:rFonts w:hint="eastAsia" w:ascii="仿宋" w:hAnsi="仿宋" w:eastAsia="仿宋" w:cs="仿宋"/>
          <w:color w:val="auto"/>
          <w:sz w:val="32"/>
          <w:szCs w:val="32"/>
        </w:rPr>
        <w:t>成交候选人的推荐情况以及评标有关的其他情况。在评审活动中，评审小组成员应当客观、公正地履行职责，遵守职业道德，不得擅离职守，影响评审程序正常进行，不得使用“评审办法”没有规定的评审因素和标准进行评审。</w:t>
      </w:r>
    </w:p>
    <w:p w14:paraId="4F5D9480">
      <w:pPr>
        <w:pStyle w:val="4"/>
        <w:keepNext w:val="0"/>
        <w:keepLines w:val="0"/>
        <w:overflowPunct w:val="0"/>
        <w:spacing w:before="0" w:after="0" w:line="500" w:lineRule="exact"/>
        <w:ind w:firstLine="368" w:firstLineChars="115"/>
        <w:rPr>
          <w:rFonts w:ascii="仿宋" w:hAnsi="仿宋" w:eastAsia="仿宋" w:cs="仿宋"/>
          <w:color w:val="auto"/>
          <w:sz w:val="32"/>
          <w:szCs w:val="32"/>
        </w:rPr>
      </w:pPr>
      <w:bookmarkStart w:id="143" w:name="_Toc18070"/>
      <w:bookmarkStart w:id="144" w:name="_Toc33795820"/>
      <w:bookmarkStart w:id="145" w:name="_Toc24957"/>
      <w:bookmarkStart w:id="146" w:name="_Toc22294"/>
      <w:r>
        <w:rPr>
          <w:rFonts w:hint="eastAsia" w:ascii="仿宋" w:hAnsi="仿宋" w:eastAsia="仿宋" w:cs="仿宋"/>
          <w:color w:val="auto"/>
          <w:sz w:val="32"/>
          <w:szCs w:val="32"/>
        </w:rPr>
        <w:t>（三）异议</w:t>
      </w:r>
      <w:bookmarkEnd w:id="143"/>
      <w:bookmarkEnd w:id="144"/>
      <w:bookmarkEnd w:id="145"/>
      <w:bookmarkEnd w:id="146"/>
    </w:p>
    <w:p w14:paraId="703F5E54">
      <w:pPr>
        <w:overflowPunct w:val="0"/>
        <w:spacing w:line="500" w:lineRule="exac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1.供应商或者其他利害关系人认为采购人采购活动存在违法或违反平等自愿、公平诚信原则的，可以直接向采购人单位招标办公室提出异议。</w:t>
      </w:r>
    </w:p>
    <w:p w14:paraId="324BCE3D">
      <w:pPr>
        <w:overflowPunct w:val="0"/>
        <w:spacing w:line="500" w:lineRule="exac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 xml:space="preserve">2.招标办收到供应商提出的异议，应当依法、依规、妥善处理异议，并在收到异议之日起三个工作日内，对异议提出人做出答复。答复前，可暂停下一程序的采购活动。 </w:t>
      </w:r>
    </w:p>
    <w:p w14:paraId="06C598A6">
      <w:pPr>
        <w:overflowPunct w:val="0"/>
        <w:spacing w:line="500" w:lineRule="exac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 xml:space="preserve">3.对响应采购供应商提出的异议，如属异议提出人对相关问题理解有误的，招标办应做出解释；如经核查发现采购活动确实存在违法或违反本办法相关规定的，招标办应及时予以纠正或补救。       </w:t>
      </w:r>
    </w:p>
    <w:p w14:paraId="09D3BDBF">
      <w:pPr>
        <w:overflowPunct w:val="0"/>
        <w:spacing w:line="520" w:lineRule="exact"/>
        <w:ind w:firstLine="4800" w:firstLineChars="1500"/>
        <w:rPr>
          <w:rFonts w:ascii="仿宋" w:hAnsi="仿宋" w:eastAsia="仿宋" w:cs="仿宋"/>
          <w:color w:val="auto"/>
          <w:sz w:val="32"/>
          <w:szCs w:val="32"/>
        </w:rPr>
      </w:pPr>
      <w:r>
        <w:rPr>
          <w:rFonts w:hint="eastAsia" w:ascii="仿宋" w:hAnsi="仿宋" w:eastAsia="仿宋" w:cs="仿宋"/>
          <w:color w:val="auto"/>
          <w:sz w:val="32"/>
          <w:szCs w:val="32"/>
        </w:rPr>
        <w:t>陕西锌业有限公司</w:t>
      </w:r>
    </w:p>
    <w:p w14:paraId="2C46604B">
      <w:pPr>
        <w:overflowPunct w:val="0"/>
        <w:spacing w:line="520" w:lineRule="exact"/>
        <w:ind w:firstLine="4800" w:firstLineChars="1500"/>
        <w:rPr>
          <w:rFonts w:ascii="宋体" w:hAnsi="宋体"/>
          <w:color w:val="auto"/>
          <w:sz w:val="36"/>
          <w:szCs w:val="36"/>
        </w:rPr>
      </w:pPr>
      <w:r>
        <w:rPr>
          <w:rFonts w:hint="eastAsia" w:ascii="仿宋" w:hAnsi="仿宋" w:eastAsia="仿宋" w:cs="仿宋"/>
          <w:color w:val="auto"/>
          <w:sz w:val="32"/>
          <w:szCs w:val="32"/>
        </w:rPr>
        <w:t xml:space="preserve">2025年 </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 xml:space="preserve"> 月</w:t>
      </w:r>
      <w:r>
        <w:rPr>
          <w:rFonts w:hint="eastAsia" w:ascii="仿宋" w:hAnsi="仿宋" w:eastAsia="仿宋" w:cs="仿宋"/>
          <w:color w:val="auto"/>
          <w:sz w:val="32"/>
          <w:szCs w:val="32"/>
          <w:lang w:val="en-US" w:eastAsia="zh-CN"/>
        </w:rPr>
        <w:t>8</w:t>
      </w:r>
      <w:bookmarkStart w:id="182" w:name="_GoBack"/>
      <w:bookmarkEnd w:id="182"/>
      <w:r>
        <w:rPr>
          <w:rFonts w:hint="eastAsia" w:ascii="仿宋" w:hAnsi="仿宋" w:eastAsia="仿宋" w:cs="仿宋"/>
          <w:color w:val="auto"/>
          <w:sz w:val="32"/>
          <w:szCs w:val="32"/>
        </w:rPr>
        <w:t xml:space="preserve"> 日</w:t>
      </w:r>
    </w:p>
    <w:p w14:paraId="682531BD">
      <w:pPr>
        <w:pStyle w:val="2"/>
        <w:jc w:val="both"/>
        <w:rPr>
          <w:rFonts w:hint="default" w:cs="宋体"/>
          <w:color w:val="auto"/>
          <w:sz w:val="36"/>
          <w:szCs w:val="36"/>
        </w:rPr>
      </w:pPr>
      <w:r>
        <w:rPr>
          <w:rFonts w:cs="宋体"/>
          <w:color w:val="auto"/>
          <w:sz w:val="36"/>
          <w:szCs w:val="36"/>
        </w:rPr>
        <w:t>附1：响应文件格式</w:t>
      </w:r>
    </w:p>
    <w:p w14:paraId="314BA576">
      <w:pPr>
        <w:pStyle w:val="2"/>
        <w:jc w:val="both"/>
        <w:rPr>
          <w:rFonts w:hint="default" w:cs="宋体"/>
          <w:color w:val="auto"/>
          <w:sz w:val="36"/>
          <w:szCs w:val="36"/>
        </w:rPr>
      </w:pPr>
      <w:bookmarkStart w:id="147" w:name="OLE_LINK16"/>
      <w:bookmarkStart w:id="148" w:name="OLE_LINK17"/>
      <w:r>
        <w:rPr>
          <w:rFonts w:cs="宋体"/>
          <w:color w:val="auto"/>
          <w:sz w:val="36"/>
          <w:szCs w:val="36"/>
        </w:rPr>
        <w:t>附2</w:t>
      </w:r>
      <w:bookmarkEnd w:id="147"/>
      <w:bookmarkEnd w:id="148"/>
      <w:r>
        <w:rPr>
          <w:rFonts w:cs="宋体"/>
          <w:color w:val="auto"/>
          <w:sz w:val="36"/>
          <w:szCs w:val="36"/>
        </w:rPr>
        <w:t>：电解六系列桥架改造项目工程最高限价清单。</w:t>
      </w:r>
    </w:p>
    <w:p w14:paraId="5A7B2C17">
      <w:pPr>
        <w:pStyle w:val="2"/>
        <w:jc w:val="both"/>
        <w:rPr>
          <w:rFonts w:hint="default" w:cs="宋体"/>
          <w:color w:val="auto"/>
          <w:sz w:val="36"/>
          <w:szCs w:val="36"/>
        </w:rPr>
      </w:pPr>
      <w:r>
        <w:rPr>
          <w:rFonts w:cs="宋体"/>
          <w:color w:val="auto"/>
          <w:sz w:val="36"/>
          <w:szCs w:val="36"/>
        </w:rPr>
        <w:t>附3：电解六系列桥架改造项目工程图纸</w:t>
      </w:r>
      <w:r>
        <w:rPr>
          <w:rFonts w:cs="宋体"/>
          <w:color w:val="auto"/>
          <w:sz w:val="36"/>
          <w:szCs w:val="36"/>
        </w:rPr>
        <w:br w:type="page"/>
      </w:r>
    </w:p>
    <w:p w14:paraId="028FAAF6">
      <w:pPr>
        <w:spacing w:line="400" w:lineRule="exact"/>
        <w:rPr>
          <w:rFonts w:ascii="仿宋" w:hAnsi="仿宋" w:eastAsia="仿宋" w:cs="仿宋"/>
          <w:color w:val="auto"/>
          <w:sz w:val="32"/>
          <w:szCs w:val="32"/>
        </w:rPr>
      </w:pPr>
      <w:r>
        <w:rPr>
          <w:rFonts w:hint="eastAsia" w:ascii="仿宋" w:hAnsi="仿宋" w:eastAsia="仿宋" w:cs="仿宋"/>
          <w:color w:val="auto"/>
          <w:sz w:val="32"/>
          <w:szCs w:val="32"/>
        </w:rPr>
        <w:t>项目编号：</w:t>
      </w:r>
      <w:r>
        <w:rPr>
          <w:rFonts w:hint="eastAsia" w:ascii="Times New Roman" w:hAnsi="Times New Roman" w:eastAsia="黑体"/>
          <w:color w:val="auto"/>
          <w:sz w:val="28"/>
          <w:szCs w:val="28"/>
        </w:rPr>
        <w:t>XB2025042</w:t>
      </w:r>
      <w:r>
        <w:rPr>
          <w:rFonts w:hint="eastAsia" w:ascii="Times New Roman" w:hAnsi="Times New Roman" w:eastAsia="黑体"/>
          <w:color w:val="auto"/>
          <w:sz w:val="28"/>
          <w:szCs w:val="28"/>
          <w:lang w:val="en-US" w:eastAsia="zh-CN"/>
        </w:rPr>
        <w:t>9-04</w:t>
      </w:r>
    </w:p>
    <w:p w14:paraId="243E353E">
      <w:pPr>
        <w:spacing w:line="400" w:lineRule="exact"/>
        <w:rPr>
          <w:rFonts w:ascii="仿宋" w:hAnsi="仿宋" w:eastAsia="仿宋" w:cs="仿宋"/>
          <w:color w:val="auto"/>
          <w:sz w:val="32"/>
          <w:szCs w:val="32"/>
        </w:rPr>
      </w:pPr>
    </w:p>
    <w:p w14:paraId="75557088">
      <w:pPr>
        <w:spacing w:line="360" w:lineRule="auto"/>
        <w:jc w:val="center"/>
        <w:rPr>
          <w:rFonts w:ascii="黑体" w:hAnsi="黑体" w:eastAsia="黑体" w:cs="黑体"/>
          <w:color w:val="auto"/>
          <w:sz w:val="44"/>
          <w:szCs w:val="44"/>
        </w:rPr>
      </w:pPr>
      <w:r>
        <w:rPr>
          <w:rFonts w:hint="eastAsia" w:ascii="黑体" w:hAnsi="黑体" w:eastAsia="黑体" w:cs="黑体"/>
          <w:color w:val="auto"/>
          <w:sz w:val="44"/>
          <w:szCs w:val="44"/>
        </w:rPr>
        <w:t>陕西锌业有限公司</w:t>
      </w:r>
    </w:p>
    <w:p w14:paraId="3975CE41">
      <w:pPr>
        <w:spacing w:line="360" w:lineRule="auto"/>
        <w:jc w:val="center"/>
        <w:rPr>
          <w:rFonts w:ascii="黑体" w:hAnsi="黑体" w:eastAsia="黑体" w:cs="黑体"/>
          <w:color w:val="auto"/>
          <w:sz w:val="44"/>
          <w:szCs w:val="44"/>
        </w:rPr>
      </w:pPr>
      <w:r>
        <w:rPr>
          <w:rFonts w:hint="eastAsia" w:ascii="黑体" w:hAnsi="黑体" w:eastAsia="黑体" w:cs="黑体"/>
          <w:color w:val="auto"/>
          <w:sz w:val="44"/>
          <w:szCs w:val="44"/>
        </w:rPr>
        <w:t>电解六系列桥架改造项目工程</w:t>
      </w:r>
      <w:r>
        <w:rPr>
          <w:rStyle w:val="15"/>
          <w:rFonts w:hint="eastAsia" w:ascii="黑体" w:hAnsi="黑体" w:eastAsia="黑体" w:cs="黑体"/>
          <w:b w:val="0"/>
          <w:color w:val="auto"/>
          <w:sz w:val="44"/>
          <w:szCs w:val="44"/>
        </w:rPr>
        <w:t>询比采购</w:t>
      </w:r>
    </w:p>
    <w:p w14:paraId="2A37F3FD">
      <w:pPr>
        <w:jc w:val="center"/>
        <w:rPr>
          <w:rFonts w:ascii="黑体" w:hAnsi="黑体" w:eastAsia="黑体" w:cs="黑体"/>
          <w:color w:val="auto"/>
          <w:sz w:val="44"/>
          <w:szCs w:val="44"/>
        </w:rPr>
      </w:pPr>
      <w:r>
        <w:rPr>
          <w:rFonts w:hint="eastAsia" w:ascii="黑体" w:hAnsi="黑体" w:eastAsia="黑体" w:cs="黑体"/>
          <w:color w:val="auto"/>
          <w:sz w:val="44"/>
          <w:szCs w:val="44"/>
        </w:rPr>
        <w:t>响 应 文 件</w:t>
      </w:r>
    </w:p>
    <w:p w14:paraId="7BE39BF5">
      <w:pPr>
        <w:jc w:val="center"/>
        <w:rPr>
          <w:rFonts w:ascii="黑体" w:hAnsi="黑体" w:eastAsia="黑体" w:cs="黑体"/>
          <w:b/>
          <w:bCs/>
          <w:color w:val="auto"/>
          <w:sz w:val="44"/>
          <w:szCs w:val="44"/>
        </w:rPr>
      </w:pPr>
    </w:p>
    <w:p w14:paraId="07ABB127">
      <w:pPr>
        <w:rPr>
          <w:rFonts w:ascii="仿宋" w:hAnsi="仿宋" w:eastAsia="仿宋" w:cs="仿宋"/>
          <w:color w:val="auto"/>
          <w:sz w:val="32"/>
          <w:szCs w:val="32"/>
        </w:rPr>
      </w:pPr>
    </w:p>
    <w:p w14:paraId="0789B76E">
      <w:pPr>
        <w:rPr>
          <w:rFonts w:ascii="仿宋" w:hAnsi="仿宋" w:eastAsia="仿宋" w:cs="仿宋"/>
          <w:color w:val="auto"/>
          <w:sz w:val="32"/>
          <w:szCs w:val="32"/>
        </w:rPr>
      </w:pPr>
    </w:p>
    <w:p w14:paraId="7573FFFF">
      <w:pPr>
        <w:rPr>
          <w:rFonts w:ascii="仿宋" w:hAnsi="仿宋" w:eastAsia="仿宋" w:cs="仿宋"/>
          <w:color w:val="auto"/>
          <w:sz w:val="32"/>
          <w:szCs w:val="32"/>
        </w:rPr>
      </w:pPr>
    </w:p>
    <w:p w14:paraId="590C2C0C">
      <w:pPr>
        <w:rPr>
          <w:rFonts w:ascii="仿宋" w:hAnsi="仿宋" w:eastAsia="仿宋" w:cs="仿宋"/>
          <w:color w:val="auto"/>
          <w:sz w:val="32"/>
          <w:szCs w:val="32"/>
        </w:rPr>
      </w:pPr>
    </w:p>
    <w:p w14:paraId="20B8C4E0">
      <w:pPr>
        <w:rPr>
          <w:rFonts w:ascii="仿宋" w:hAnsi="仿宋" w:eastAsia="仿宋" w:cs="仿宋"/>
          <w:color w:val="auto"/>
          <w:sz w:val="32"/>
          <w:szCs w:val="32"/>
        </w:rPr>
      </w:pPr>
    </w:p>
    <w:p w14:paraId="0722A68B">
      <w:pPr>
        <w:rPr>
          <w:rFonts w:ascii="仿宋" w:hAnsi="仿宋" w:eastAsia="仿宋" w:cs="仿宋"/>
          <w:color w:val="auto"/>
          <w:sz w:val="32"/>
          <w:szCs w:val="32"/>
        </w:rPr>
      </w:pPr>
    </w:p>
    <w:p w14:paraId="3AEB4E14">
      <w:pPr>
        <w:rPr>
          <w:rFonts w:ascii="仿宋" w:hAnsi="仿宋" w:eastAsia="仿宋" w:cs="仿宋"/>
          <w:color w:val="auto"/>
          <w:sz w:val="32"/>
          <w:szCs w:val="32"/>
        </w:rPr>
      </w:pPr>
    </w:p>
    <w:p w14:paraId="17A1E5A5">
      <w:pPr>
        <w:rPr>
          <w:rFonts w:ascii="仿宋" w:hAnsi="仿宋" w:eastAsia="仿宋" w:cs="仿宋"/>
          <w:color w:val="auto"/>
          <w:sz w:val="32"/>
          <w:szCs w:val="32"/>
        </w:rPr>
      </w:pPr>
    </w:p>
    <w:p w14:paraId="55482D20">
      <w:pPr>
        <w:spacing w:line="360" w:lineRule="auto"/>
        <w:rPr>
          <w:rFonts w:ascii="仿宋" w:hAnsi="仿宋" w:eastAsia="仿宋" w:cs="仿宋"/>
          <w:color w:val="auto"/>
          <w:sz w:val="32"/>
          <w:szCs w:val="32"/>
        </w:rPr>
      </w:pPr>
    </w:p>
    <w:p w14:paraId="568501D2">
      <w:pPr>
        <w:spacing w:line="360" w:lineRule="auto"/>
        <w:ind w:firstLine="649" w:firstLineChars="202"/>
        <w:rPr>
          <w:rFonts w:ascii="宋体" w:hAnsi="宋体"/>
          <w:b/>
          <w:bCs/>
          <w:color w:val="auto"/>
          <w:sz w:val="32"/>
          <w:szCs w:val="32"/>
          <w:u w:val="single"/>
        </w:rPr>
      </w:pPr>
      <w:r>
        <w:rPr>
          <w:rFonts w:hint="eastAsia" w:ascii="宋体" w:hAnsi="宋体"/>
          <w:b/>
          <w:bCs/>
          <w:color w:val="auto"/>
          <w:sz w:val="32"/>
          <w:szCs w:val="32"/>
        </w:rPr>
        <w:t>供应商：（盖单位章）</w:t>
      </w:r>
    </w:p>
    <w:p w14:paraId="296D16F3">
      <w:pPr>
        <w:spacing w:line="360" w:lineRule="auto"/>
        <w:ind w:firstLine="649" w:firstLineChars="202"/>
        <w:jc w:val="left"/>
        <w:rPr>
          <w:rFonts w:ascii="宋体" w:hAnsi="宋体"/>
          <w:b/>
          <w:bCs/>
          <w:color w:val="auto"/>
          <w:sz w:val="32"/>
          <w:szCs w:val="32"/>
        </w:rPr>
      </w:pPr>
      <w:r>
        <w:rPr>
          <w:rFonts w:hint="eastAsia" w:ascii="宋体" w:hAnsi="宋体"/>
          <w:b/>
          <w:bCs/>
          <w:color w:val="auto"/>
          <w:sz w:val="32"/>
          <w:szCs w:val="32"/>
        </w:rPr>
        <w:t>法定代表人（单位负责人）或其委托代理人：（签字或盖章）</w:t>
      </w:r>
    </w:p>
    <w:p w14:paraId="08B3EF10">
      <w:pPr>
        <w:jc w:val="center"/>
        <w:rPr>
          <w:rFonts w:ascii="宋体" w:hAnsi="宋体"/>
          <w:b/>
          <w:bCs/>
          <w:color w:val="auto"/>
          <w:sz w:val="32"/>
          <w:szCs w:val="32"/>
        </w:rPr>
      </w:pPr>
    </w:p>
    <w:p w14:paraId="4EA39BD0">
      <w:pPr>
        <w:spacing w:line="400" w:lineRule="exact"/>
        <w:jc w:val="center"/>
        <w:rPr>
          <w:rFonts w:ascii="仿宋" w:hAnsi="仿宋" w:eastAsia="仿宋" w:cs="仿宋"/>
          <w:color w:val="auto"/>
          <w:sz w:val="32"/>
          <w:szCs w:val="32"/>
        </w:rPr>
      </w:pPr>
      <w:r>
        <w:rPr>
          <w:rFonts w:hint="eastAsia" w:ascii="宋体" w:hAnsi="宋体"/>
          <w:b/>
          <w:bCs/>
          <w:color w:val="auto"/>
          <w:sz w:val="32"/>
          <w:szCs w:val="32"/>
        </w:rPr>
        <w:t xml:space="preserve">          年   月   日</w:t>
      </w:r>
      <w:r>
        <w:rPr>
          <w:rFonts w:hint="eastAsia" w:ascii="宋体" w:hAnsi="宋体"/>
          <w:b/>
          <w:bCs/>
          <w:color w:val="auto"/>
          <w:sz w:val="32"/>
          <w:szCs w:val="32"/>
        </w:rPr>
        <w:br w:type="page"/>
      </w:r>
    </w:p>
    <w:p w14:paraId="6632B3B7">
      <w:pPr>
        <w:pStyle w:val="3"/>
        <w:jc w:val="center"/>
        <w:rPr>
          <w:rFonts w:ascii="黑体" w:hAnsi="黑体" w:cs="黑体"/>
          <w:color w:val="auto"/>
          <w:sz w:val="36"/>
          <w:szCs w:val="36"/>
        </w:rPr>
      </w:pPr>
      <w:bookmarkStart w:id="149" w:name="_Toc504488767"/>
      <w:bookmarkStart w:id="150" w:name="_Toc3885"/>
      <w:r>
        <w:rPr>
          <w:rFonts w:hint="eastAsia" w:ascii="黑体" w:hAnsi="黑体" w:cs="黑体"/>
          <w:color w:val="auto"/>
          <w:sz w:val="36"/>
          <w:szCs w:val="36"/>
        </w:rPr>
        <w:t>目 录</w:t>
      </w:r>
      <w:bookmarkEnd w:id="149"/>
      <w:bookmarkEnd w:id="150"/>
    </w:p>
    <w:p w14:paraId="26B483FB">
      <w:pPr>
        <w:spacing w:line="540" w:lineRule="exact"/>
        <w:rPr>
          <w:rFonts w:ascii="仿宋" w:hAnsi="仿宋" w:eastAsia="仿宋" w:cs="仿宋"/>
          <w:color w:val="auto"/>
          <w:sz w:val="32"/>
          <w:szCs w:val="32"/>
        </w:rPr>
      </w:pPr>
    </w:p>
    <w:p w14:paraId="452FDE60">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一、响应函</w:t>
      </w:r>
    </w:p>
    <w:p w14:paraId="43A2F091">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278BCBCC">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三、授权委托书（适用于有委托代理人的情况）</w:t>
      </w:r>
    </w:p>
    <w:p w14:paraId="517274FF">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四、响应保证金</w:t>
      </w:r>
    </w:p>
    <w:p w14:paraId="4AE27B9E">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五、资格审查资料</w:t>
      </w:r>
    </w:p>
    <w:p w14:paraId="3C011DC6">
      <w:pPr>
        <w:spacing w:line="540" w:lineRule="exact"/>
        <w:rPr>
          <w:rFonts w:ascii="仿宋" w:hAnsi="仿宋" w:eastAsia="仿宋" w:cs="仿宋"/>
          <w:color w:val="auto"/>
          <w:sz w:val="32"/>
          <w:szCs w:val="32"/>
        </w:rPr>
      </w:pPr>
      <w:r>
        <w:rPr>
          <w:rFonts w:hint="eastAsia" w:ascii="仿宋" w:hAnsi="仿宋" w:eastAsia="仿宋" w:cs="仿宋"/>
          <w:color w:val="auto"/>
          <w:sz w:val="32"/>
          <w:szCs w:val="32"/>
        </w:rPr>
        <w:t xml:space="preserve">    六、响应方案</w:t>
      </w:r>
      <w:r>
        <w:rPr>
          <w:rFonts w:hint="eastAsia" w:ascii="仿宋" w:hAnsi="仿宋" w:eastAsia="仿宋" w:cs="仿宋"/>
          <w:color w:val="auto"/>
          <w:sz w:val="32"/>
          <w:szCs w:val="32"/>
        </w:rPr>
        <w:br w:type="page"/>
      </w:r>
    </w:p>
    <w:p w14:paraId="00A2E3E4">
      <w:pPr>
        <w:pStyle w:val="3"/>
        <w:jc w:val="center"/>
        <w:rPr>
          <w:rFonts w:ascii="黑体" w:hAnsi="黑体" w:cs="黑体"/>
          <w:b w:val="0"/>
          <w:bCs/>
          <w:color w:val="auto"/>
          <w:sz w:val="36"/>
          <w:szCs w:val="36"/>
        </w:rPr>
      </w:pPr>
      <w:bookmarkStart w:id="151" w:name="_Toc16531"/>
      <w:bookmarkStart w:id="152" w:name="_Toc504488768"/>
      <w:r>
        <w:rPr>
          <w:rFonts w:hint="eastAsia" w:ascii="黑体" w:hAnsi="黑体" w:cs="黑体"/>
          <w:b w:val="0"/>
          <w:bCs/>
          <w:color w:val="auto"/>
          <w:sz w:val="36"/>
          <w:szCs w:val="36"/>
        </w:rPr>
        <w:t>一、</w:t>
      </w:r>
      <w:bookmarkEnd w:id="151"/>
      <w:bookmarkEnd w:id="152"/>
      <w:r>
        <w:rPr>
          <w:rFonts w:hint="eastAsia" w:ascii="黑体" w:hAnsi="黑体" w:cs="黑体"/>
          <w:b w:val="0"/>
          <w:bCs/>
          <w:color w:val="auto"/>
          <w:sz w:val="36"/>
          <w:szCs w:val="36"/>
        </w:rPr>
        <w:t>响应函</w:t>
      </w:r>
    </w:p>
    <w:p w14:paraId="002BCF2D">
      <w:pPr>
        <w:spacing w:line="520" w:lineRule="exact"/>
        <w:rPr>
          <w:rFonts w:ascii="仿宋" w:hAnsi="仿宋" w:eastAsia="仿宋" w:cs="仿宋"/>
          <w:color w:val="auto"/>
          <w:sz w:val="32"/>
          <w:szCs w:val="32"/>
        </w:rPr>
      </w:pPr>
      <w:r>
        <w:rPr>
          <w:rFonts w:hint="eastAsia" w:ascii="仿宋" w:hAnsi="仿宋" w:eastAsia="仿宋" w:cs="仿宋"/>
          <w:color w:val="auto"/>
          <w:sz w:val="32"/>
          <w:szCs w:val="32"/>
        </w:rPr>
        <w:t>陕西锌业有限公司：</w:t>
      </w:r>
    </w:p>
    <w:p w14:paraId="15997B50">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rPr>
        <w:t>询比采购文件的全部内容，愿意以人民币</w:t>
      </w:r>
      <w:r>
        <w:rPr>
          <w:rFonts w:hint="eastAsia" w:ascii="仿宋" w:hAnsi="仿宋" w:eastAsia="仿宋" w:cs="仿宋"/>
          <w:color w:val="auto"/>
          <w:sz w:val="32"/>
          <w:szCs w:val="32"/>
          <w:u w:val="single"/>
        </w:rPr>
        <w:t xml:space="preserve">（大写）   （¥元）     </w:t>
      </w:r>
      <w:r>
        <w:rPr>
          <w:rFonts w:hint="eastAsia" w:ascii="仿宋" w:hAnsi="仿宋" w:eastAsia="仿宋" w:cs="仿宋"/>
          <w:color w:val="auto"/>
          <w:sz w:val="32"/>
          <w:szCs w:val="32"/>
        </w:rPr>
        <w:t>的响应报价，工期：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，并按采购人单位该类项目标准合同模版格式签订合同，履行合同约定的义务。</w:t>
      </w:r>
    </w:p>
    <w:p w14:paraId="7689B6B5">
      <w:pPr>
        <w:spacing w:line="520" w:lineRule="exact"/>
        <w:rPr>
          <w:rFonts w:ascii="仿宋" w:hAnsi="仿宋" w:eastAsia="仿宋" w:cs="仿宋"/>
          <w:color w:val="auto"/>
          <w:sz w:val="32"/>
          <w:szCs w:val="32"/>
        </w:rPr>
      </w:pPr>
      <w:r>
        <w:rPr>
          <w:rFonts w:hint="eastAsia" w:ascii="仿宋" w:hAnsi="仿宋" w:eastAsia="仿宋" w:cs="仿宋"/>
          <w:color w:val="auto"/>
          <w:sz w:val="32"/>
          <w:szCs w:val="32"/>
        </w:rPr>
        <w:t>二、我方的响应文件包括下列内容：</w:t>
      </w:r>
    </w:p>
    <w:p w14:paraId="752ED2BF">
      <w:pPr>
        <w:spacing w:line="520" w:lineRule="exact"/>
        <w:ind w:firstLine="405"/>
        <w:rPr>
          <w:rFonts w:ascii="仿宋" w:hAnsi="仿宋" w:eastAsia="仿宋" w:cs="仿宋"/>
          <w:color w:val="auto"/>
          <w:sz w:val="32"/>
          <w:szCs w:val="32"/>
        </w:rPr>
      </w:pPr>
      <w:r>
        <w:rPr>
          <w:rFonts w:hint="eastAsia" w:ascii="仿宋" w:hAnsi="仿宋" w:eastAsia="仿宋" w:cs="仿宋"/>
          <w:color w:val="auto"/>
          <w:sz w:val="32"/>
          <w:szCs w:val="32"/>
        </w:rPr>
        <w:t>（1）响应函；</w:t>
      </w:r>
    </w:p>
    <w:p w14:paraId="2BD424C0">
      <w:pPr>
        <w:spacing w:line="520" w:lineRule="exact"/>
        <w:ind w:firstLine="405"/>
        <w:rPr>
          <w:rFonts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EFE5DCF">
      <w:pPr>
        <w:spacing w:line="520" w:lineRule="exact"/>
        <w:ind w:firstLine="405"/>
        <w:rPr>
          <w:rFonts w:ascii="仿宋" w:hAnsi="仿宋" w:eastAsia="仿宋" w:cs="仿宋"/>
          <w:color w:val="auto"/>
          <w:sz w:val="32"/>
          <w:szCs w:val="32"/>
        </w:rPr>
      </w:pPr>
      <w:r>
        <w:rPr>
          <w:rFonts w:hint="eastAsia" w:ascii="仿宋" w:hAnsi="仿宋" w:eastAsia="仿宋" w:cs="仿宋"/>
          <w:color w:val="auto"/>
          <w:sz w:val="32"/>
          <w:szCs w:val="32"/>
        </w:rPr>
        <w:t>（3）响应保证金；</w:t>
      </w:r>
    </w:p>
    <w:p w14:paraId="32BFCDE4">
      <w:pPr>
        <w:spacing w:line="520" w:lineRule="exact"/>
        <w:ind w:firstLine="405"/>
        <w:rPr>
          <w:rFonts w:ascii="仿宋" w:hAnsi="仿宋" w:eastAsia="仿宋" w:cs="仿宋"/>
          <w:color w:val="auto"/>
          <w:sz w:val="32"/>
          <w:szCs w:val="32"/>
        </w:rPr>
      </w:pPr>
      <w:r>
        <w:rPr>
          <w:rFonts w:hint="eastAsia" w:ascii="仿宋" w:hAnsi="仿宋" w:eastAsia="仿宋" w:cs="仿宋"/>
          <w:color w:val="auto"/>
          <w:sz w:val="32"/>
          <w:szCs w:val="32"/>
        </w:rPr>
        <w:t>（4）分布分项报价表；</w:t>
      </w:r>
    </w:p>
    <w:p w14:paraId="40193158">
      <w:pPr>
        <w:spacing w:line="520" w:lineRule="exact"/>
        <w:ind w:firstLine="405"/>
        <w:rPr>
          <w:rFonts w:ascii="仿宋" w:hAnsi="仿宋" w:eastAsia="仿宋" w:cs="仿宋"/>
          <w:color w:val="auto"/>
          <w:sz w:val="32"/>
          <w:szCs w:val="32"/>
        </w:rPr>
      </w:pPr>
      <w:r>
        <w:rPr>
          <w:rFonts w:hint="eastAsia" w:ascii="仿宋" w:hAnsi="仿宋" w:eastAsia="仿宋" w:cs="仿宋"/>
          <w:color w:val="auto"/>
          <w:sz w:val="32"/>
          <w:szCs w:val="32"/>
        </w:rPr>
        <w:t>（5）资格审查资料；</w:t>
      </w:r>
    </w:p>
    <w:p w14:paraId="57F4BE24">
      <w:pPr>
        <w:spacing w:line="520" w:lineRule="exact"/>
        <w:ind w:firstLine="405"/>
        <w:rPr>
          <w:rFonts w:ascii="仿宋" w:hAnsi="仿宋" w:eastAsia="仿宋" w:cs="仿宋"/>
          <w:color w:val="auto"/>
          <w:sz w:val="32"/>
          <w:szCs w:val="32"/>
        </w:rPr>
      </w:pPr>
      <w:r>
        <w:rPr>
          <w:rFonts w:hint="eastAsia" w:ascii="仿宋" w:hAnsi="仿宋" w:eastAsia="仿宋" w:cs="仿宋"/>
          <w:color w:val="auto"/>
          <w:sz w:val="32"/>
          <w:szCs w:val="32"/>
        </w:rPr>
        <w:t>（6）响应方案；</w:t>
      </w:r>
    </w:p>
    <w:p w14:paraId="1265EFDF">
      <w:pPr>
        <w:spacing w:line="520" w:lineRule="exact"/>
        <w:ind w:firstLine="405"/>
        <w:rPr>
          <w:rFonts w:ascii="仿宋" w:hAnsi="仿宋" w:eastAsia="仿宋" w:cs="仿宋"/>
          <w:color w:val="auto"/>
          <w:sz w:val="32"/>
          <w:szCs w:val="32"/>
        </w:rPr>
      </w:pPr>
      <w:r>
        <w:rPr>
          <w:rFonts w:hint="eastAsia" w:ascii="仿宋" w:hAnsi="仿宋" w:eastAsia="仿宋" w:cs="仿宋"/>
          <w:color w:val="auto"/>
          <w:sz w:val="32"/>
          <w:szCs w:val="32"/>
        </w:rPr>
        <w:t>（7）资质证书【建筑施工总承包二级及以上资质（包含二级）】；</w:t>
      </w:r>
    </w:p>
    <w:p w14:paraId="77D596A1">
      <w:pPr>
        <w:spacing w:line="520" w:lineRule="exact"/>
        <w:ind w:firstLine="405"/>
        <w:rPr>
          <w:rFonts w:ascii="仿宋" w:hAnsi="仿宋" w:eastAsia="仿宋" w:cs="仿宋"/>
          <w:color w:val="auto"/>
          <w:sz w:val="32"/>
          <w:szCs w:val="32"/>
        </w:rPr>
      </w:pPr>
      <w:r>
        <w:rPr>
          <w:rFonts w:hint="eastAsia" w:ascii="仿宋" w:hAnsi="仿宋" w:eastAsia="仿宋" w:cs="仿宋"/>
          <w:color w:val="auto"/>
          <w:sz w:val="32"/>
          <w:szCs w:val="32"/>
        </w:rPr>
        <w:t>（8）安全生产许可证；</w:t>
      </w:r>
    </w:p>
    <w:p w14:paraId="0FDBD0B6">
      <w:pPr>
        <w:spacing w:line="520" w:lineRule="exact"/>
        <w:ind w:firstLine="405"/>
        <w:rPr>
          <w:rFonts w:ascii="仿宋" w:hAnsi="仿宋" w:eastAsia="仿宋" w:cs="仿宋"/>
          <w:color w:val="auto"/>
          <w:sz w:val="32"/>
          <w:szCs w:val="32"/>
        </w:rPr>
      </w:pPr>
      <w:r>
        <w:rPr>
          <w:rFonts w:hint="eastAsia" w:ascii="仿宋" w:hAnsi="仿宋" w:eastAsia="仿宋" w:cs="仿宋"/>
          <w:color w:val="auto"/>
          <w:sz w:val="32"/>
          <w:szCs w:val="32"/>
        </w:rPr>
        <w:t>（9）注册建造师及安全考核合格证；</w:t>
      </w:r>
    </w:p>
    <w:p w14:paraId="7EB7FA82">
      <w:pPr>
        <w:spacing w:line="520" w:lineRule="exact"/>
        <w:ind w:firstLine="405"/>
        <w:rPr>
          <w:rFonts w:ascii="仿宋" w:hAnsi="仿宋" w:eastAsia="仿宋" w:cs="仿宋"/>
          <w:color w:val="auto"/>
          <w:sz w:val="32"/>
          <w:szCs w:val="32"/>
        </w:rPr>
      </w:pPr>
      <w:r>
        <w:rPr>
          <w:rFonts w:hint="eastAsia" w:ascii="仿宋" w:hAnsi="仿宋" w:eastAsia="仿宋" w:cs="仿宋"/>
          <w:color w:val="auto"/>
          <w:sz w:val="32"/>
          <w:szCs w:val="32"/>
        </w:rPr>
        <w:t>（10）营业执照（三合一）</w:t>
      </w:r>
    </w:p>
    <w:p w14:paraId="12FA454B">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响应文件的上述组成部分如存在内容不一致的，以响应函为准。如存在复印件需加盖响应供应商单位公司红色印章视为有效文件。</w:t>
      </w:r>
    </w:p>
    <w:p w14:paraId="7C30DFBB">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三、我方承诺在询比采购文件规定的响应有效期内不撤销响应文件。</w:t>
      </w:r>
    </w:p>
    <w:p w14:paraId="1B5AB850">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四、如我方成交，我方承诺：</w:t>
      </w:r>
    </w:p>
    <w:p w14:paraId="0A9647A2">
      <w:pPr>
        <w:spacing w:line="520" w:lineRule="exact"/>
        <w:ind w:left="1000" w:leftChars="400" w:hanging="160" w:hangingChars="50"/>
        <w:rPr>
          <w:rFonts w:ascii="仿宋" w:hAnsi="仿宋" w:eastAsia="仿宋" w:cs="仿宋"/>
          <w:color w:val="auto"/>
          <w:sz w:val="32"/>
          <w:szCs w:val="32"/>
        </w:rPr>
      </w:pPr>
      <w:r>
        <w:rPr>
          <w:rFonts w:hint="eastAsia" w:ascii="仿宋" w:hAnsi="仿宋" w:eastAsia="仿宋" w:cs="仿宋"/>
          <w:color w:val="auto"/>
          <w:sz w:val="32"/>
          <w:szCs w:val="32"/>
        </w:rPr>
        <w:t>（1）在收到成交通知书后，在成交通知书规定的期限内与你方签订合同；</w:t>
      </w:r>
    </w:p>
    <w:p w14:paraId="1937ED03">
      <w:pPr>
        <w:spacing w:line="520" w:lineRule="exact"/>
        <w:ind w:left="1000" w:leftChars="400" w:hanging="160" w:hangingChars="50"/>
        <w:rPr>
          <w:rFonts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4F28DA98">
      <w:pPr>
        <w:spacing w:line="520" w:lineRule="exact"/>
        <w:ind w:left="1000" w:leftChars="400" w:hanging="160" w:hangingChars="50"/>
        <w:rPr>
          <w:rFonts w:ascii="仿宋" w:hAnsi="仿宋" w:eastAsia="仿宋" w:cs="仿宋"/>
          <w:color w:val="auto"/>
          <w:sz w:val="32"/>
          <w:szCs w:val="32"/>
        </w:rPr>
      </w:pPr>
      <w:r>
        <w:rPr>
          <w:rFonts w:hint="eastAsia" w:ascii="仿宋" w:hAnsi="仿宋" w:eastAsia="仿宋" w:cs="仿宋"/>
          <w:color w:val="auto"/>
          <w:sz w:val="32"/>
          <w:szCs w:val="32"/>
        </w:rPr>
        <w:t>（3）按照询比采购文件要求提交履约保证金；</w:t>
      </w:r>
    </w:p>
    <w:p w14:paraId="67936B88">
      <w:pPr>
        <w:spacing w:line="520" w:lineRule="exact"/>
        <w:ind w:left="1000" w:leftChars="400" w:hanging="160" w:hangingChars="50"/>
        <w:rPr>
          <w:rFonts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487745BF">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六、我方在此声明，所递交的响应文件及有关资料内容完整、真实和准确，且不存在</w:t>
      </w:r>
      <w:bookmarkStart w:id="153" w:name="OLE_LINK1"/>
      <w:r>
        <w:rPr>
          <w:rFonts w:hint="eastAsia" w:ascii="仿宋" w:hAnsi="仿宋" w:eastAsia="仿宋" w:cs="仿宋"/>
          <w:color w:val="auto"/>
          <w:sz w:val="32"/>
          <w:szCs w:val="32"/>
        </w:rPr>
        <w:t>第一条第九款</w:t>
      </w:r>
      <w:bookmarkEnd w:id="153"/>
      <w:r>
        <w:rPr>
          <w:rFonts w:hint="eastAsia" w:ascii="仿宋" w:hAnsi="仿宋" w:eastAsia="仿宋" w:cs="仿宋"/>
          <w:color w:val="auto"/>
          <w:sz w:val="32"/>
          <w:szCs w:val="32"/>
        </w:rPr>
        <w:t>规定的任何一种情形。</w:t>
      </w:r>
    </w:p>
    <w:p w14:paraId="5A5BEF38">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七、其他补充说明（如有）。</w:t>
      </w:r>
    </w:p>
    <w:p w14:paraId="11A866A3">
      <w:pPr>
        <w:spacing w:line="520" w:lineRule="exact"/>
        <w:ind w:firstLine="640" w:firstLineChars="200"/>
        <w:rPr>
          <w:rFonts w:ascii="仿宋" w:hAnsi="仿宋" w:eastAsia="仿宋" w:cs="仿宋"/>
          <w:color w:val="auto"/>
          <w:sz w:val="32"/>
          <w:szCs w:val="32"/>
        </w:rPr>
      </w:pPr>
    </w:p>
    <w:p w14:paraId="43F96E5D">
      <w:pPr>
        <w:spacing w:line="520" w:lineRule="exact"/>
        <w:ind w:firstLine="3840" w:firstLineChars="1200"/>
        <w:jc w:val="left"/>
        <w:rPr>
          <w:rFonts w:ascii="仿宋" w:hAnsi="仿宋" w:eastAsia="仿宋" w:cs="仿宋"/>
          <w:color w:val="auto"/>
          <w:sz w:val="32"/>
          <w:szCs w:val="32"/>
        </w:rPr>
      </w:pPr>
    </w:p>
    <w:p w14:paraId="07C9990C">
      <w:pPr>
        <w:spacing w:line="520" w:lineRule="exact"/>
        <w:ind w:firstLine="3840" w:firstLineChars="1200"/>
        <w:jc w:val="left"/>
        <w:rPr>
          <w:rFonts w:ascii="仿宋" w:hAnsi="仿宋" w:eastAsia="仿宋" w:cs="仿宋"/>
          <w:color w:val="auto"/>
          <w:sz w:val="32"/>
          <w:szCs w:val="32"/>
        </w:rPr>
      </w:pPr>
      <w:r>
        <w:rPr>
          <w:rFonts w:hint="eastAsia" w:ascii="仿宋" w:hAnsi="仿宋" w:eastAsia="仿宋" w:cs="仿宋"/>
          <w:color w:val="auto"/>
          <w:sz w:val="32"/>
          <w:szCs w:val="32"/>
        </w:rPr>
        <w:t>供应商：</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30C1214">
      <w:pPr>
        <w:spacing w:line="520" w:lineRule="exact"/>
        <w:jc w:val="left"/>
        <w:rPr>
          <w:rFonts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0848A697">
      <w:pPr>
        <w:spacing w:line="520" w:lineRule="exact"/>
        <w:ind w:firstLine="3840" w:firstLineChars="1200"/>
        <w:jc w:val="left"/>
        <w:rPr>
          <w:rFonts w:ascii="仿宋" w:hAnsi="仿宋" w:eastAsia="仿宋" w:cs="仿宋"/>
          <w:color w:val="auto"/>
          <w:sz w:val="32"/>
          <w:szCs w:val="32"/>
        </w:rPr>
      </w:pPr>
      <w:r>
        <w:rPr>
          <w:rFonts w:hint="eastAsia" w:ascii="仿宋" w:hAnsi="仿宋" w:eastAsia="仿宋" w:cs="仿宋"/>
          <w:color w:val="auto"/>
          <w:sz w:val="32"/>
          <w:szCs w:val="32"/>
        </w:rPr>
        <w:t>地址：</w:t>
      </w:r>
    </w:p>
    <w:p w14:paraId="7B8AE5DA">
      <w:pPr>
        <w:spacing w:line="520" w:lineRule="exact"/>
        <w:ind w:firstLine="3840" w:firstLineChars="1200"/>
        <w:jc w:val="left"/>
        <w:rPr>
          <w:rFonts w:ascii="仿宋" w:hAnsi="仿宋" w:eastAsia="仿宋" w:cs="仿宋"/>
          <w:color w:val="auto"/>
          <w:sz w:val="32"/>
          <w:szCs w:val="32"/>
        </w:rPr>
      </w:pPr>
      <w:r>
        <w:rPr>
          <w:rFonts w:hint="eastAsia" w:ascii="仿宋" w:hAnsi="仿宋" w:eastAsia="仿宋" w:cs="仿宋"/>
          <w:color w:val="auto"/>
          <w:sz w:val="32"/>
          <w:szCs w:val="32"/>
        </w:rPr>
        <w:t>邮箱：</w:t>
      </w:r>
    </w:p>
    <w:p w14:paraId="742C0C75">
      <w:pPr>
        <w:spacing w:line="520" w:lineRule="exact"/>
        <w:ind w:firstLine="3840" w:firstLineChars="1200"/>
        <w:jc w:val="left"/>
        <w:rPr>
          <w:rFonts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FE898FA">
      <w:pPr>
        <w:spacing w:line="520" w:lineRule="exact"/>
        <w:ind w:firstLine="3840" w:firstLineChars="1200"/>
        <w:jc w:val="left"/>
        <w:rPr>
          <w:rFonts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B84E408">
      <w:pPr>
        <w:spacing w:line="520" w:lineRule="exact"/>
        <w:ind w:firstLine="7200" w:firstLineChars="2250"/>
        <w:jc w:val="right"/>
        <w:rPr>
          <w:rFonts w:ascii="仿宋" w:hAnsi="仿宋" w:eastAsia="仿宋" w:cs="仿宋"/>
          <w:color w:val="auto"/>
          <w:sz w:val="32"/>
          <w:szCs w:val="32"/>
        </w:rPr>
      </w:pPr>
    </w:p>
    <w:p w14:paraId="16E796FC">
      <w:pPr>
        <w:spacing w:line="520" w:lineRule="exact"/>
        <w:ind w:firstLine="6720" w:firstLineChars="2100"/>
        <w:rPr>
          <w:rFonts w:ascii="仿宋" w:hAnsi="仿宋" w:eastAsia="仿宋" w:cs="仿宋"/>
          <w:color w:val="auto"/>
          <w:sz w:val="32"/>
          <w:szCs w:val="32"/>
        </w:rPr>
      </w:pPr>
    </w:p>
    <w:p w14:paraId="27FAFC40">
      <w:pPr>
        <w:spacing w:line="520" w:lineRule="exact"/>
        <w:ind w:firstLine="5760" w:firstLineChars="1800"/>
        <w:rPr>
          <w:rFonts w:ascii="仿宋" w:hAnsi="仿宋" w:eastAsia="仿宋" w:cs="仿宋"/>
          <w:color w:val="auto"/>
          <w:sz w:val="32"/>
          <w:szCs w:val="32"/>
        </w:rPr>
      </w:pPr>
      <w:r>
        <w:rPr>
          <w:rFonts w:hint="eastAsia" w:ascii="仿宋" w:hAnsi="仿宋" w:eastAsia="仿宋" w:cs="仿宋"/>
          <w:color w:val="auto"/>
          <w:sz w:val="32"/>
          <w:szCs w:val="32"/>
        </w:rPr>
        <w:t>年  月  日</w:t>
      </w:r>
    </w:p>
    <w:p w14:paraId="3AE74E6B">
      <w:pPr>
        <w:spacing w:line="440" w:lineRule="exact"/>
        <w:rPr>
          <w:rFonts w:ascii="仿宋" w:hAnsi="仿宋" w:eastAsia="仿宋" w:cs="仿宋"/>
          <w:color w:val="auto"/>
          <w:sz w:val="32"/>
          <w:szCs w:val="32"/>
        </w:rPr>
      </w:pPr>
    </w:p>
    <w:p w14:paraId="6CD17180">
      <w:pPr>
        <w:spacing w:line="440" w:lineRule="exact"/>
        <w:rPr>
          <w:rFonts w:ascii="仿宋" w:hAnsi="仿宋" w:eastAsia="仿宋" w:cs="仿宋"/>
          <w:color w:val="auto"/>
          <w:sz w:val="32"/>
          <w:szCs w:val="32"/>
        </w:rPr>
      </w:pPr>
    </w:p>
    <w:p w14:paraId="10D5A35D">
      <w:pPr>
        <w:spacing w:line="440" w:lineRule="exact"/>
        <w:rPr>
          <w:rFonts w:ascii="仿宋" w:hAnsi="仿宋" w:eastAsia="仿宋" w:cs="仿宋"/>
          <w:color w:val="auto"/>
          <w:sz w:val="32"/>
          <w:szCs w:val="32"/>
        </w:rPr>
      </w:pPr>
    </w:p>
    <w:p w14:paraId="44F79E73">
      <w:pPr>
        <w:rPr>
          <w:rFonts w:ascii="仿宋" w:hAnsi="仿宋" w:eastAsia="仿宋" w:cs="仿宋"/>
          <w:color w:val="auto"/>
          <w:sz w:val="32"/>
          <w:szCs w:val="32"/>
        </w:rPr>
      </w:pPr>
      <w:r>
        <w:rPr>
          <w:rFonts w:hint="eastAsia" w:ascii="仿宋" w:hAnsi="仿宋" w:eastAsia="仿宋" w:cs="仿宋"/>
          <w:color w:val="auto"/>
          <w:sz w:val="32"/>
          <w:szCs w:val="32"/>
        </w:rPr>
        <w:br w:type="page"/>
      </w:r>
      <w:bookmarkStart w:id="154" w:name="_Toc504488769"/>
      <w:bookmarkStart w:id="155" w:name="_Toc28734"/>
    </w:p>
    <w:p w14:paraId="1780D278">
      <w:pPr>
        <w:pStyle w:val="3"/>
        <w:jc w:val="center"/>
        <w:rPr>
          <w:rFonts w:ascii="黑体" w:hAnsi="黑体" w:cs="黑体"/>
          <w:color w:val="auto"/>
          <w:sz w:val="36"/>
          <w:szCs w:val="36"/>
        </w:rPr>
      </w:pPr>
      <w:r>
        <w:rPr>
          <w:rFonts w:hint="eastAsia" w:ascii="黑体" w:hAnsi="黑体" w:cs="黑体"/>
          <w:color w:val="auto"/>
          <w:sz w:val="36"/>
          <w:szCs w:val="36"/>
        </w:rPr>
        <w:t>二、法定代表人（单位负责人）身份证明</w:t>
      </w:r>
      <w:bookmarkEnd w:id="154"/>
      <w:bookmarkEnd w:id="155"/>
    </w:p>
    <w:p w14:paraId="4D6C6A9D">
      <w:pPr>
        <w:spacing w:line="440" w:lineRule="exact"/>
        <w:rPr>
          <w:rFonts w:ascii="仿宋" w:hAnsi="仿宋" w:eastAsia="仿宋" w:cs="仿宋"/>
          <w:color w:val="auto"/>
          <w:sz w:val="32"/>
          <w:szCs w:val="32"/>
        </w:rPr>
      </w:pPr>
    </w:p>
    <w:p w14:paraId="04C7C253">
      <w:pPr>
        <w:spacing w:line="440" w:lineRule="exact"/>
        <w:rPr>
          <w:rFonts w:ascii="仿宋" w:hAnsi="仿宋" w:eastAsia="仿宋" w:cs="仿宋"/>
          <w:color w:val="auto"/>
          <w:sz w:val="32"/>
          <w:szCs w:val="32"/>
        </w:rPr>
      </w:pPr>
    </w:p>
    <w:p w14:paraId="34AC3B96">
      <w:pPr>
        <w:spacing w:line="560" w:lineRule="exact"/>
        <w:rPr>
          <w:rFonts w:ascii="仿宋" w:hAnsi="仿宋" w:eastAsia="仿宋" w:cs="仿宋"/>
          <w:color w:val="auto"/>
          <w:sz w:val="32"/>
          <w:szCs w:val="32"/>
          <w:u w:val="single"/>
        </w:rPr>
      </w:pPr>
      <w:r>
        <w:rPr>
          <w:rFonts w:hint="eastAsia" w:ascii="仿宋" w:hAnsi="仿宋" w:eastAsia="仿宋" w:cs="仿宋"/>
          <w:color w:val="auto"/>
          <w:sz w:val="32"/>
          <w:szCs w:val="32"/>
        </w:rPr>
        <w:t>供应商名称：</w:t>
      </w:r>
      <w:r>
        <w:rPr>
          <w:rFonts w:hint="eastAsia" w:ascii="仿宋" w:hAnsi="仿宋" w:eastAsia="仿宋" w:cs="仿宋"/>
          <w:color w:val="auto"/>
          <w:sz w:val="32"/>
          <w:szCs w:val="32"/>
          <w:u w:val="single"/>
        </w:rPr>
        <w:t xml:space="preserve">               </w:t>
      </w:r>
    </w:p>
    <w:p w14:paraId="54C84C8E">
      <w:pPr>
        <w:spacing w:line="560" w:lineRule="exact"/>
        <w:rPr>
          <w:rFonts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56" w:name="_Toc352691662"/>
      <w:bookmarkStart w:id="157" w:name="_Toc27897"/>
      <w:bookmarkStart w:id="158"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56"/>
      <w:bookmarkEnd w:id="157"/>
      <w:bookmarkEnd w:id="158"/>
      <w:r>
        <w:rPr>
          <w:rFonts w:hint="eastAsia" w:ascii="仿宋" w:hAnsi="仿宋" w:eastAsia="仿宋" w:cs="仿宋"/>
          <w:color w:val="auto"/>
          <w:sz w:val="32"/>
          <w:szCs w:val="32"/>
        </w:rPr>
        <w:t>龄</w:t>
      </w:r>
      <w:bookmarkStart w:id="159" w:name="_Toc384308377"/>
      <w:bookmarkStart w:id="160" w:name="_Toc361508754"/>
      <w:bookmarkStart w:id="161" w:name="_Toc152042578"/>
      <w:bookmarkStart w:id="162" w:name="_Toc369531699"/>
      <w:bookmarkStart w:id="163" w:name="_Toc152045789"/>
      <w:bookmarkStart w:id="164" w:name="_Toc15573"/>
      <w:bookmarkStart w:id="165" w:name="_Toc247527829"/>
      <w:bookmarkStart w:id="166" w:name="_Toc352691663"/>
      <w:bookmarkStart w:id="167" w:name="_Toc144974858"/>
      <w:bookmarkStart w:id="168" w:name="_Toc247514248"/>
      <w:bookmarkStart w:id="169" w:name="_Toc300835211"/>
      <w:r>
        <w:rPr>
          <w:rFonts w:hint="eastAsia" w:ascii="仿宋" w:hAnsi="仿宋" w:eastAsia="仿宋" w:cs="仿宋"/>
          <w:color w:val="auto"/>
          <w:sz w:val="32"/>
          <w:szCs w:val="32"/>
        </w:rPr>
        <w:t>：</w:t>
      </w:r>
      <w:bookmarkEnd w:id="159"/>
      <w:bookmarkEnd w:id="160"/>
      <w:bookmarkEnd w:id="161"/>
      <w:bookmarkEnd w:id="162"/>
      <w:bookmarkEnd w:id="163"/>
      <w:bookmarkEnd w:id="164"/>
      <w:bookmarkEnd w:id="165"/>
      <w:bookmarkEnd w:id="166"/>
      <w:bookmarkEnd w:id="167"/>
      <w:bookmarkEnd w:id="168"/>
      <w:bookmarkEnd w:id="169"/>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2D7F383A">
      <w:pPr>
        <w:spacing w:line="560" w:lineRule="exact"/>
        <w:rPr>
          <w:rFonts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（供应商名称）的法定代表人（单位负责人）。</w:t>
      </w:r>
    </w:p>
    <w:p w14:paraId="2FE1DF91">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特此证明。</w:t>
      </w:r>
    </w:p>
    <w:p w14:paraId="7E600A9F">
      <w:pPr>
        <w:spacing w:line="560" w:lineRule="exact"/>
        <w:rPr>
          <w:rFonts w:ascii="仿宋" w:hAnsi="仿宋" w:eastAsia="仿宋" w:cs="仿宋"/>
          <w:color w:val="auto"/>
          <w:sz w:val="32"/>
          <w:szCs w:val="32"/>
        </w:rPr>
      </w:pPr>
    </w:p>
    <w:p w14:paraId="2CE93B08">
      <w:pPr>
        <w:spacing w:line="560" w:lineRule="exact"/>
        <w:rPr>
          <w:rFonts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231DF51C">
      <w:pPr>
        <w:spacing w:line="560" w:lineRule="exact"/>
        <w:rPr>
          <w:rFonts w:ascii="仿宋" w:hAnsi="仿宋" w:eastAsia="仿宋" w:cs="仿宋"/>
          <w:color w:val="auto"/>
          <w:sz w:val="32"/>
          <w:szCs w:val="32"/>
        </w:rPr>
      </w:pPr>
    </w:p>
    <w:p w14:paraId="444FEC65">
      <w:pPr>
        <w:spacing w:line="560" w:lineRule="exact"/>
        <w:rPr>
          <w:rFonts w:ascii="仿宋" w:hAnsi="仿宋" w:eastAsia="仿宋" w:cs="仿宋"/>
          <w:color w:val="auto"/>
          <w:sz w:val="32"/>
          <w:szCs w:val="32"/>
        </w:rPr>
      </w:pPr>
      <w:r>
        <w:rPr>
          <w:rFonts w:hint="eastAsia" w:ascii="仿宋" w:hAnsi="仿宋" w:eastAsia="仿宋" w:cs="仿宋"/>
          <w:color w:val="auto"/>
          <w:sz w:val="32"/>
          <w:szCs w:val="32"/>
        </w:rPr>
        <w:t>注：本身份证明需由供应商加盖单位公章。</w:t>
      </w:r>
    </w:p>
    <w:p w14:paraId="41424DB0">
      <w:pPr>
        <w:spacing w:line="560" w:lineRule="exact"/>
        <w:rPr>
          <w:rFonts w:ascii="仿宋" w:hAnsi="仿宋" w:eastAsia="仿宋" w:cs="仿宋"/>
          <w:color w:val="auto"/>
          <w:sz w:val="32"/>
          <w:szCs w:val="32"/>
        </w:rPr>
      </w:pPr>
    </w:p>
    <w:p w14:paraId="0407B4DE">
      <w:pPr>
        <w:spacing w:line="560" w:lineRule="exact"/>
        <w:rPr>
          <w:rFonts w:ascii="仿宋" w:hAnsi="仿宋" w:eastAsia="仿宋" w:cs="仿宋"/>
          <w:color w:val="auto"/>
          <w:sz w:val="32"/>
          <w:szCs w:val="32"/>
        </w:rPr>
      </w:pPr>
    </w:p>
    <w:p w14:paraId="0FE4B190">
      <w:pPr>
        <w:spacing w:line="560" w:lineRule="exact"/>
        <w:jc w:val="center"/>
        <w:rPr>
          <w:rFonts w:ascii="仿宋" w:hAnsi="仿宋" w:eastAsia="仿宋" w:cs="仿宋"/>
          <w:color w:val="auto"/>
          <w:sz w:val="32"/>
          <w:szCs w:val="32"/>
        </w:rPr>
      </w:pPr>
      <w:r>
        <w:rPr>
          <w:rFonts w:hint="eastAsia" w:ascii="仿宋" w:hAnsi="仿宋" w:eastAsia="仿宋" w:cs="仿宋"/>
          <w:color w:val="auto"/>
          <w:sz w:val="32"/>
          <w:szCs w:val="32"/>
        </w:rPr>
        <w:t>响应供应商：（单位公章）</w:t>
      </w:r>
    </w:p>
    <w:p w14:paraId="1B9B004D">
      <w:pPr>
        <w:spacing w:line="560" w:lineRule="exact"/>
        <w:rPr>
          <w:rFonts w:ascii="仿宋" w:hAnsi="仿宋" w:eastAsia="仿宋" w:cs="仿宋"/>
          <w:color w:val="auto"/>
          <w:sz w:val="32"/>
          <w:szCs w:val="32"/>
        </w:rPr>
      </w:pPr>
    </w:p>
    <w:p w14:paraId="7BDC600F">
      <w:pPr>
        <w:spacing w:line="560" w:lineRule="exact"/>
        <w:ind w:firstLine="6400" w:firstLineChars="2000"/>
        <w:rPr>
          <w:rFonts w:ascii="仿宋" w:hAnsi="仿宋" w:eastAsia="仿宋" w:cs="仿宋"/>
          <w:color w:val="auto"/>
          <w:sz w:val="32"/>
          <w:szCs w:val="32"/>
        </w:rPr>
      </w:pPr>
      <w:r>
        <w:rPr>
          <w:rFonts w:hint="eastAsia" w:ascii="仿宋" w:hAnsi="仿宋" w:eastAsia="仿宋" w:cs="仿宋"/>
          <w:color w:val="auto"/>
          <w:sz w:val="32"/>
          <w:szCs w:val="32"/>
        </w:rPr>
        <w:t>年  月  日</w:t>
      </w:r>
    </w:p>
    <w:p w14:paraId="1861A2D8">
      <w:pPr>
        <w:spacing w:line="560" w:lineRule="exact"/>
        <w:rPr>
          <w:rFonts w:ascii="仿宋" w:hAnsi="仿宋" w:eastAsia="仿宋" w:cs="仿宋"/>
          <w:color w:val="auto"/>
          <w:sz w:val="32"/>
          <w:szCs w:val="32"/>
        </w:rPr>
      </w:pPr>
    </w:p>
    <w:p w14:paraId="046BC179">
      <w:pPr>
        <w:spacing w:line="440" w:lineRule="exact"/>
        <w:jc w:val="center"/>
        <w:rPr>
          <w:rFonts w:ascii="仿宋" w:hAnsi="仿宋" w:eastAsia="仿宋" w:cs="仿宋"/>
          <w:color w:val="auto"/>
          <w:sz w:val="32"/>
          <w:szCs w:val="32"/>
        </w:rPr>
      </w:pPr>
      <w:r>
        <w:rPr>
          <w:rFonts w:hint="eastAsia" w:ascii="仿宋" w:hAnsi="仿宋" w:eastAsia="仿宋" w:cs="仿宋"/>
          <w:color w:val="auto"/>
          <w:sz w:val="32"/>
          <w:szCs w:val="32"/>
        </w:rPr>
        <w:br w:type="page"/>
      </w:r>
    </w:p>
    <w:p w14:paraId="392D8E7F">
      <w:pPr>
        <w:pStyle w:val="3"/>
        <w:jc w:val="center"/>
        <w:rPr>
          <w:rFonts w:ascii="黑体" w:hAnsi="黑体" w:cs="黑体"/>
          <w:color w:val="auto"/>
          <w:sz w:val="36"/>
          <w:szCs w:val="36"/>
        </w:rPr>
      </w:pPr>
      <w:bookmarkStart w:id="170" w:name="_Toc2777"/>
      <w:bookmarkStart w:id="171" w:name="_Toc504488770"/>
      <w:r>
        <w:rPr>
          <w:rFonts w:hint="eastAsia" w:ascii="黑体" w:hAnsi="黑体" w:cs="黑体"/>
          <w:color w:val="auto"/>
          <w:sz w:val="36"/>
          <w:szCs w:val="36"/>
        </w:rPr>
        <w:t>三、授权委托书</w:t>
      </w:r>
      <w:bookmarkEnd w:id="170"/>
      <w:bookmarkEnd w:id="171"/>
    </w:p>
    <w:p w14:paraId="61B9D2A0">
      <w:pPr>
        <w:spacing w:line="440" w:lineRule="exact"/>
        <w:rPr>
          <w:rFonts w:ascii="仿宋" w:hAnsi="仿宋" w:eastAsia="仿宋" w:cs="仿宋"/>
          <w:color w:val="auto"/>
          <w:sz w:val="32"/>
          <w:szCs w:val="32"/>
        </w:rPr>
      </w:pPr>
    </w:p>
    <w:p w14:paraId="64F82B55">
      <w:pPr>
        <w:topLinePunct/>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（供应商名称）的法定代表人（单位负责人），现委托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rPr>
        <w:t>采购项目响应文件、签订合同和处理有关事宜，其法律后果由我方承担。</w:t>
      </w:r>
    </w:p>
    <w:p w14:paraId="43D28F15">
      <w:pPr>
        <w:spacing w:line="520" w:lineRule="exact"/>
        <w:rPr>
          <w:rFonts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自本授权签署之日起至响应有效期截止之日止</w:t>
      </w:r>
      <w:r>
        <w:rPr>
          <w:rFonts w:hint="eastAsia" w:ascii="仿宋" w:hAnsi="仿宋" w:eastAsia="仿宋" w:cs="仿宋"/>
          <w:color w:val="auto"/>
          <w:sz w:val="32"/>
          <w:szCs w:val="32"/>
        </w:rPr>
        <w:t>。</w:t>
      </w:r>
    </w:p>
    <w:p w14:paraId="4FD3BC7B">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代理人无转委托权。</w:t>
      </w:r>
    </w:p>
    <w:p w14:paraId="03E15159">
      <w:pPr>
        <w:spacing w:line="520" w:lineRule="exact"/>
        <w:ind w:firstLine="640" w:firstLineChars="200"/>
        <w:rPr>
          <w:rFonts w:ascii="仿宋" w:hAnsi="仿宋" w:eastAsia="仿宋" w:cs="仿宋"/>
          <w:color w:val="auto"/>
          <w:sz w:val="32"/>
          <w:szCs w:val="32"/>
        </w:rPr>
      </w:pPr>
    </w:p>
    <w:p w14:paraId="5FA4D737">
      <w:pPr>
        <w:spacing w:line="520" w:lineRule="exact"/>
        <w:rPr>
          <w:rFonts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6A8BF865">
      <w:pPr>
        <w:spacing w:line="520" w:lineRule="exact"/>
        <w:rPr>
          <w:rFonts w:ascii="仿宋" w:hAnsi="仿宋" w:eastAsia="仿宋" w:cs="仿宋"/>
          <w:color w:val="auto"/>
          <w:sz w:val="32"/>
          <w:szCs w:val="32"/>
        </w:rPr>
      </w:pPr>
    </w:p>
    <w:p w14:paraId="7B7C3339">
      <w:pPr>
        <w:spacing w:line="520" w:lineRule="exact"/>
        <w:rPr>
          <w:rFonts w:ascii="仿宋" w:hAnsi="仿宋" w:eastAsia="仿宋" w:cs="仿宋"/>
          <w:color w:val="auto"/>
          <w:sz w:val="32"/>
          <w:szCs w:val="32"/>
        </w:rPr>
      </w:pPr>
      <w:r>
        <w:rPr>
          <w:rFonts w:hint="eastAsia" w:ascii="仿宋" w:hAnsi="仿宋" w:eastAsia="仿宋" w:cs="仿宋"/>
          <w:color w:val="auto"/>
          <w:sz w:val="32"/>
          <w:szCs w:val="32"/>
        </w:rPr>
        <w:t>注：本授权委托书需由供应商加盖单位公章并由其法定代表人（单位负责人）和委托代理人签字或盖章。</w:t>
      </w:r>
    </w:p>
    <w:p w14:paraId="154FDE0C">
      <w:pPr>
        <w:spacing w:line="520" w:lineRule="exact"/>
        <w:rPr>
          <w:rFonts w:ascii="仿宋" w:hAnsi="仿宋" w:eastAsia="仿宋" w:cs="仿宋"/>
          <w:color w:val="auto"/>
          <w:sz w:val="32"/>
          <w:szCs w:val="32"/>
        </w:rPr>
      </w:pPr>
    </w:p>
    <w:p w14:paraId="154136D1">
      <w:pPr>
        <w:spacing w:line="640" w:lineRule="exact"/>
        <w:ind w:firstLine="1920" w:firstLineChars="600"/>
        <w:rPr>
          <w:rFonts w:ascii="仿宋" w:hAnsi="仿宋" w:eastAsia="仿宋" w:cs="仿宋"/>
          <w:color w:val="auto"/>
          <w:sz w:val="32"/>
          <w:szCs w:val="32"/>
        </w:rPr>
      </w:pPr>
      <w:r>
        <w:rPr>
          <w:rFonts w:hint="eastAsia" w:ascii="仿宋" w:hAnsi="仿宋" w:eastAsia="仿宋" w:cs="仿宋"/>
          <w:color w:val="auto"/>
          <w:sz w:val="32"/>
          <w:szCs w:val="32"/>
        </w:rPr>
        <w:t>供应商：</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450186DF">
      <w:pPr>
        <w:spacing w:line="640" w:lineRule="exact"/>
        <w:ind w:firstLine="1920" w:firstLineChars="600"/>
        <w:jc w:val="left"/>
        <w:rPr>
          <w:rFonts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（签章）</w:t>
      </w:r>
    </w:p>
    <w:p w14:paraId="04857D0F">
      <w:pPr>
        <w:spacing w:line="640" w:lineRule="exact"/>
        <w:ind w:firstLine="1920" w:firstLineChars="600"/>
        <w:rPr>
          <w:rFonts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4C238BDF">
      <w:pPr>
        <w:spacing w:line="640" w:lineRule="exact"/>
        <w:ind w:firstLine="1920" w:firstLineChars="600"/>
        <w:rPr>
          <w:rFonts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122DF59C">
      <w:pPr>
        <w:spacing w:line="640" w:lineRule="exact"/>
        <w:ind w:firstLine="1920" w:firstLineChars="600"/>
        <w:rPr>
          <w:rFonts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7F37B73F">
      <w:pPr>
        <w:spacing w:line="520" w:lineRule="exact"/>
        <w:rPr>
          <w:rFonts w:ascii="仿宋" w:hAnsi="仿宋" w:eastAsia="仿宋" w:cs="仿宋"/>
          <w:color w:val="auto"/>
          <w:sz w:val="32"/>
          <w:szCs w:val="32"/>
        </w:rPr>
      </w:pPr>
    </w:p>
    <w:p w14:paraId="0CF8EAB0">
      <w:pPr>
        <w:spacing w:line="520" w:lineRule="exact"/>
        <w:ind w:firstLine="6182" w:firstLineChars="1932"/>
        <w:rPr>
          <w:rFonts w:ascii="仿宋" w:hAnsi="仿宋" w:eastAsia="仿宋" w:cs="仿宋"/>
          <w:color w:val="auto"/>
          <w:sz w:val="32"/>
          <w:szCs w:val="32"/>
        </w:rPr>
      </w:pPr>
      <w:r>
        <w:rPr>
          <w:rFonts w:hint="eastAsia" w:ascii="仿宋" w:hAnsi="仿宋" w:eastAsia="仿宋" w:cs="仿宋"/>
          <w:color w:val="auto"/>
          <w:sz w:val="32"/>
          <w:szCs w:val="32"/>
        </w:rPr>
        <w:t>年   月   日</w:t>
      </w:r>
    </w:p>
    <w:p w14:paraId="362C7235">
      <w:pPr>
        <w:spacing w:line="520" w:lineRule="exact"/>
        <w:ind w:firstLine="6182" w:firstLineChars="1932"/>
        <w:jc w:val="right"/>
        <w:rPr>
          <w:rFonts w:ascii="仿宋" w:hAnsi="仿宋" w:eastAsia="仿宋" w:cs="仿宋"/>
          <w:color w:val="auto"/>
          <w:sz w:val="32"/>
          <w:szCs w:val="32"/>
        </w:rPr>
      </w:pPr>
      <w:r>
        <w:rPr>
          <w:rFonts w:hint="eastAsia" w:ascii="仿宋" w:hAnsi="仿宋" w:eastAsia="仿宋" w:cs="仿宋"/>
          <w:color w:val="auto"/>
          <w:sz w:val="32"/>
          <w:szCs w:val="32"/>
        </w:rPr>
        <w:br w:type="page"/>
      </w:r>
    </w:p>
    <w:p w14:paraId="76B571AE">
      <w:pPr>
        <w:pStyle w:val="3"/>
        <w:spacing w:after="0" w:line="413" w:lineRule="auto"/>
        <w:jc w:val="center"/>
        <w:rPr>
          <w:rFonts w:ascii="黑体" w:hAnsi="黑体" w:cs="黑体"/>
          <w:color w:val="auto"/>
          <w:sz w:val="36"/>
          <w:szCs w:val="36"/>
          <w:u w:val="single"/>
        </w:rPr>
      </w:pPr>
      <w:bookmarkStart w:id="172" w:name="_Toc7842"/>
      <w:bookmarkStart w:id="173" w:name="_Toc504488772"/>
      <w:r>
        <w:rPr>
          <w:rFonts w:hint="eastAsia" w:ascii="黑体" w:hAnsi="黑体" w:cs="黑体"/>
          <w:color w:val="auto"/>
          <w:sz w:val="36"/>
          <w:szCs w:val="36"/>
        </w:rPr>
        <w:t>四、</w:t>
      </w:r>
      <w:bookmarkEnd w:id="172"/>
      <w:bookmarkEnd w:id="173"/>
      <w:r>
        <w:rPr>
          <w:rFonts w:hint="eastAsia" w:ascii="黑体" w:hAnsi="黑体" w:cs="黑体"/>
          <w:color w:val="auto"/>
          <w:sz w:val="36"/>
          <w:szCs w:val="36"/>
        </w:rPr>
        <w:t>响应保证金</w:t>
      </w:r>
    </w:p>
    <w:p w14:paraId="763BEE41">
      <w:pPr>
        <w:spacing w:line="440" w:lineRule="exact"/>
        <w:rPr>
          <w:rFonts w:ascii="仿宋" w:hAnsi="仿宋" w:eastAsia="仿宋" w:cs="仿宋"/>
          <w:b/>
          <w:bCs/>
          <w:color w:val="auto"/>
          <w:sz w:val="32"/>
          <w:szCs w:val="32"/>
        </w:rPr>
      </w:pPr>
    </w:p>
    <w:p w14:paraId="257491D6">
      <w:pPr>
        <w:spacing w:line="440" w:lineRule="exact"/>
        <w:rPr>
          <w:rFonts w:ascii="仿宋" w:hAnsi="仿宋" w:eastAsia="仿宋" w:cs="仿宋"/>
          <w:color w:val="auto"/>
          <w:sz w:val="32"/>
          <w:szCs w:val="32"/>
        </w:rPr>
      </w:pPr>
      <w:r>
        <w:rPr>
          <w:rFonts w:hint="eastAsia" w:ascii="仿宋" w:hAnsi="仿宋" w:eastAsia="仿宋" w:cs="仿宋"/>
          <w:b/>
          <w:bCs/>
          <w:color w:val="auto"/>
          <w:sz w:val="32"/>
          <w:szCs w:val="32"/>
        </w:rPr>
        <w:t>附：响应保证金凭据（复印件）</w:t>
      </w:r>
    </w:p>
    <w:p w14:paraId="00D2C813">
      <w:pPr>
        <w:widowControl/>
        <w:jc w:val="left"/>
        <w:rPr>
          <w:rFonts w:ascii="Times New Roman" w:hAnsi="Times New Roman"/>
          <w:color w:val="auto"/>
          <w:sz w:val="24"/>
        </w:rPr>
      </w:pPr>
    </w:p>
    <w:p w14:paraId="1CD9A825">
      <w:pPr>
        <w:spacing w:line="440" w:lineRule="exact"/>
        <w:jc w:val="center"/>
        <w:rPr>
          <w:rFonts w:ascii="Times New Roman" w:hAnsi="Times New Roman" w:eastAsia="黑体"/>
          <w:color w:val="auto"/>
          <w:sz w:val="27"/>
          <w:szCs w:val="27"/>
        </w:rPr>
      </w:pPr>
    </w:p>
    <w:p w14:paraId="4EC05845">
      <w:pPr>
        <w:spacing w:line="440" w:lineRule="exact"/>
        <w:ind w:firstLine="420" w:firstLineChars="200"/>
        <w:rPr>
          <w:rFonts w:ascii="Times New Roman" w:hAnsi="Times New Roman"/>
          <w:color w:val="auto"/>
          <w:szCs w:val="21"/>
        </w:rPr>
      </w:pPr>
    </w:p>
    <w:p w14:paraId="4C736451">
      <w:pPr>
        <w:spacing w:line="440" w:lineRule="exact"/>
        <w:rPr>
          <w:rFonts w:ascii="黑体" w:hAnsi="黑体" w:eastAsia="黑体" w:cs="黑体"/>
          <w:b/>
          <w:bCs/>
          <w:color w:val="auto"/>
          <w:sz w:val="36"/>
          <w:szCs w:val="36"/>
        </w:rPr>
      </w:pPr>
      <w:r>
        <w:rPr>
          <w:rFonts w:ascii="Times New Roman" w:hAnsi="Times New Roman" w:eastAsia="黑体"/>
          <w:color w:val="auto"/>
          <w:sz w:val="20"/>
        </w:rPr>
        <w:br w:type="page"/>
      </w:r>
      <w:bookmarkStart w:id="174" w:name="_Toc1755"/>
      <w:bookmarkStart w:id="175" w:name="_Toc504488775"/>
    </w:p>
    <w:p w14:paraId="35522950">
      <w:pPr>
        <w:pStyle w:val="3"/>
        <w:spacing w:after="0"/>
        <w:jc w:val="center"/>
        <w:rPr>
          <w:rFonts w:ascii="Times New Roman" w:hAnsi="Times New Roman"/>
          <w:color w:val="auto"/>
        </w:rPr>
      </w:pPr>
      <w:r>
        <w:rPr>
          <w:rFonts w:hint="eastAsia" w:ascii="Times New Roman" w:hAnsi="Times New Roman"/>
          <w:color w:val="auto"/>
          <w:kern w:val="0"/>
        </w:rPr>
        <w:t>五</w:t>
      </w:r>
      <w:r>
        <w:rPr>
          <w:rFonts w:hint="eastAsia" w:ascii="Times New Roman" w:hAnsi="Times New Roman"/>
          <w:color w:val="auto"/>
        </w:rPr>
        <w:t>、资格审查资料</w:t>
      </w:r>
      <w:bookmarkEnd w:id="174"/>
      <w:bookmarkEnd w:id="175"/>
    </w:p>
    <w:p w14:paraId="62668093">
      <w:pPr>
        <w:pStyle w:val="4"/>
        <w:spacing w:before="20" w:after="0"/>
        <w:ind w:firstLine="157"/>
        <w:rPr>
          <w:rFonts w:ascii="Times New Roman"/>
          <w:color w:val="auto"/>
          <w:sz w:val="32"/>
          <w:szCs w:val="32"/>
        </w:rPr>
      </w:pPr>
      <w:bookmarkStart w:id="176" w:name="_Toc13906"/>
      <w:bookmarkStart w:id="177" w:name="_Toc504488776"/>
      <w:r>
        <w:rPr>
          <w:rFonts w:hint="eastAsia" w:ascii="Times New Roman"/>
          <w:color w:val="auto"/>
          <w:sz w:val="32"/>
          <w:szCs w:val="32"/>
        </w:rPr>
        <w:t>（一）基本情况表</w:t>
      </w:r>
      <w:bookmarkEnd w:id="176"/>
      <w:bookmarkEnd w:id="177"/>
    </w:p>
    <w:tbl>
      <w:tblPr>
        <w:tblStyle w:val="12"/>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1D19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vAlign w:val="center"/>
          </w:tcPr>
          <w:p w14:paraId="0BFC528E">
            <w:pPr>
              <w:topLinePunct/>
              <w:spacing w:line="320" w:lineRule="exact"/>
              <w:jc w:val="center"/>
              <w:rPr>
                <w:rFonts w:ascii="宋体" w:hAnsi="宋体"/>
                <w:color w:val="auto"/>
                <w:szCs w:val="21"/>
              </w:rPr>
            </w:pPr>
            <w:r>
              <w:rPr>
                <w:rFonts w:hint="eastAsia" w:ascii="宋体" w:hAnsi="宋体"/>
                <w:color w:val="auto"/>
                <w:szCs w:val="21"/>
              </w:rPr>
              <w:t>供应商名称</w:t>
            </w:r>
          </w:p>
        </w:tc>
        <w:tc>
          <w:tcPr>
            <w:tcW w:w="6307" w:type="dxa"/>
            <w:gridSpan w:val="4"/>
            <w:tcBorders>
              <w:top w:val="single" w:color="auto" w:sz="4" w:space="0"/>
              <w:left w:val="single" w:color="auto" w:sz="4" w:space="0"/>
              <w:bottom w:val="single" w:color="auto" w:sz="4" w:space="0"/>
            </w:tcBorders>
            <w:vAlign w:val="center"/>
          </w:tcPr>
          <w:p w14:paraId="653E4079">
            <w:pPr>
              <w:topLinePunct/>
              <w:spacing w:line="320" w:lineRule="exact"/>
              <w:jc w:val="center"/>
              <w:rPr>
                <w:rFonts w:ascii="宋体" w:hAnsi="宋体"/>
                <w:color w:val="auto"/>
                <w:szCs w:val="21"/>
              </w:rPr>
            </w:pPr>
          </w:p>
        </w:tc>
      </w:tr>
      <w:tr w14:paraId="38ADC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vAlign w:val="center"/>
          </w:tcPr>
          <w:p w14:paraId="76A2DF4B">
            <w:pPr>
              <w:topLinePunct/>
              <w:spacing w:line="320" w:lineRule="exact"/>
              <w:jc w:val="center"/>
              <w:rPr>
                <w:rFonts w:ascii="宋体" w:hAnsi="宋体"/>
                <w:color w:val="auto"/>
                <w:szCs w:val="21"/>
              </w:rPr>
            </w:pPr>
            <w:r>
              <w:rPr>
                <w:rFonts w:hint="eastAsia" w:ascii="宋体" w:hAnsi="宋体"/>
                <w:color w:val="auto"/>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vAlign w:val="center"/>
          </w:tcPr>
          <w:p w14:paraId="76449CFE">
            <w:pPr>
              <w:topLinePunct/>
              <w:spacing w:line="320" w:lineRule="exact"/>
              <w:jc w:val="center"/>
              <w:rPr>
                <w:rFonts w:ascii="宋体" w:hAnsi="宋体"/>
                <w:color w:val="auto"/>
                <w:szCs w:val="21"/>
              </w:rPr>
            </w:pPr>
          </w:p>
        </w:tc>
        <w:tc>
          <w:tcPr>
            <w:tcW w:w="1273" w:type="dxa"/>
            <w:tcBorders>
              <w:top w:val="single" w:color="auto" w:sz="4" w:space="0"/>
              <w:left w:val="single" w:color="auto" w:sz="4" w:space="0"/>
              <w:bottom w:val="single" w:color="auto" w:sz="4" w:space="0"/>
              <w:right w:val="single" w:color="auto" w:sz="4" w:space="0"/>
            </w:tcBorders>
            <w:vAlign w:val="center"/>
          </w:tcPr>
          <w:p w14:paraId="4A7A3E1B">
            <w:pPr>
              <w:topLinePunct/>
              <w:spacing w:line="320" w:lineRule="exact"/>
              <w:jc w:val="center"/>
              <w:rPr>
                <w:rFonts w:ascii="宋体" w:hAnsi="宋体"/>
                <w:color w:val="auto"/>
                <w:szCs w:val="21"/>
              </w:rPr>
            </w:pPr>
            <w:r>
              <w:rPr>
                <w:rFonts w:hint="eastAsia" w:ascii="宋体" w:hAnsi="宋体"/>
                <w:color w:val="auto"/>
                <w:szCs w:val="21"/>
              </w:rPr>
              <w:t>成立时间</w:t>
            </w:r>
          </w:p>
        </w:tc>
        <w:tc>
          <w:tcPr>
            <w:tcW w:w="1958" w:type="dxa"/>
            <w:tcBorders>
              <w:top w:val="single" w:color="auto" w:sz="4" w:space="0"/>
              <w:left w:val="single" w:color="auto" w:sz="4" w:space="0"/>
              <w:bottom w:val="single" w:color="auto" w:sz="4" w:space="0"/>
            </w:tcBorders>
            <w:vAlign w:val="center"/>
          </w:tcPr>
          <w:p w14:paraId="5E0E62BA">
            <w:pPr>
              <w:topLinePunct/>
              <w:spacing w:line="320" w:lineRule="exact"/>
              <w:jc w:val="center"/>
              <w:rPr>
                <w:rFonts w:ascii="宋体" w:hAnsi="宋体"/>
                <w:color w:val="auto"/>
                <w:szCs w:val="21"/>
              </w:rPr>
            </w:pPr>
          </w:p>
        </w:tc>
      </w:tr>
      <w:tr w14:paraId="78F61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vAlign w:val="center"/>
          </w:tcPr>
          <w:p w14:paraId="17365D85">
            <w:pPr>
              <w:topLinePunct/>
              <w:spacing w:line="320" w:lineRule="exact"/>
              <w:jc w:val="center"/>
              <w:rPr>
                <w:rFonts w:ascii="宋体" w:hAnsi="宋体"/>
                <w:color w:val="auto"/>
                <w:szCs w:val="21"/>
              </w:rPr>
            </w:pPr>
            <w:r>
              <w:rPr>
                <w:rFonts w:hint="eastAsia" w:ascii="宋体" w:hAnsi="宋体"/>
                <w:color w:val="auto"/>
                <w:szCs w:val="21"/>
              </w:rPr>
              <w:t>注册地址</w:t>
            </w:r>
          </w:p>
        </w:tc>
        <w:tc>
          <w:tcPr>
            <w:tcW w:w="6307" w:type="dxa"/>
            <w:gridSpan w:val="4"/>
            <w:tcBorders>
              <w:top w:val="single" w:color="auto" w:sz="4" w:space="0"/>
              <w:left w:val="single" w:color="auto" w:sz="4" w:space="0"/>
              <w:bottom w:val="single" w:color="auto" w:sz="4" w:space="0"/>
            </w:tcBorders>
            <w:vAlign w:val="center"/>
          </w:tcPr>
          <w:p w14:paraId="6E51DB8A">
            <w:pPr>
              <w:topLinePunct/>
              <w:spacing w:line="320" w:lineRule="exact"/>
              <w:jc w:val="center"/>
              <w:rPr>
                <w:rFonts w:ascii="宋体" w:hAnsi="宋体"/>
                <w:color w:val="auto"/>
                <w:szCs w:val="21"/>
              </w:rPr>
            </w:pPr>
          </w:p>
        </w:tc>
      </w:tr>
      <w:tr w14:paraId="09420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vAlign w:val="center"/>
          </w:tcPr>
          <w:p w14:paraId="576C02ED">
            <w:pPr>
              <w:topLinePunct/>
              <w:spacing w:line="320" w:lineRule="exact"/>
              <w:jc w:val="center"/>
              <w:rPr>
                <w:rFonts w:ascii="宋体" w:hAnsi="宋体"/>
                <w:color w:val="auto"/>
                <w:szCs w:val="21"/>
              </w:rPr>
            </w:pPr>
            <w:r>
              <w:rPr>
                <w:rFonts w:hint="eastAsia" w:ascii="宋体" w:hAnsi="宋体"/>
                <w:color w:val="auto"/>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vAlign w:val="center"/>
          </w:tcPr>
          <w:p w14:paraId="6E257534">
            <w:pPr>
              <w:topLinePunct/>
              <w:spacing w:line="320" w:lineRule="exact"/>
              <w:jc w:val="center"/>
              <w:rPr>
                <w:rFonts w:ascii="宋体" w:hAnsi="宋体"/>
                <w:color w:val="auto"/>
                <w:szCs w:val="21"/>
              </w:rPr>
            </w:pPr>
          </w:p>
        </w:tc>
        <w:tc>
          <w:tcPr>
            <w:tcW w:w="1273" w:type="dxa"/>
            <w:tcBorders>
              <w:top w:val="single" w:color="auto" w:sz="4" w:space="0"/>
              <w:left w:val="single" w:color="auto" w:sz="4" w:space="0"/>
              <w:bottom w:val="single" w:color="auto" w:sz="4" w:space="0"/>
              <w:right w:val="single" w:color="auto" w:sz="4" w:space="0"/>
            </w:tcBorders>
            <w:vAlign w:val="center"/>
          </w:tcPr>
          <w:p w14:paraId="79385A09">
            <w:pPr>
              <w:topLinePunct/>
              <w:spacing w:line="320" w:lineRule="exact"/>
              <w:jc w:val="center"/>
              <w:rPr>
                <w:rFonts w:ascii="宋体" w:hAnsi="宋体"/>
                <w:color w:val="auto"/>
                <w:szCs w:val="21"/>
              </w:rPr>
            </w:pPr>
            <w:r>
              <w:rPr>
                <w:rFonts w:hint="eastAsia" w:ascii="宋体" w:hAnsi="宋体"/>
                <w:color w:val="auto"/>
                <w:szCs w:val="21"/>
              </w:rPr>
              <w:t>员工总数</w:t>
            </w:r>
          </w:p>
        </w:tc>
        <w:tc>
          <w:tcPr>
            <w:tcW w:w="1958" w:type="dxa"/>
            <w:tcBorders>
              <w:top w:val="single" w:color="auto" w:sz="4" w:space="0"/>
              <w:left w:val="single" w:color="auto" w:sz="4" w:space="0"/>
              <w:bottom w:val="single" w:color="auto" w:sz="4" w:space="0"/>
            </w:tcBorders>
            <w:vAlign w:val="center"/>
          </w:tcPr>
          <w:p w14:paraId="69EEBCB6">
            <w:pPr>
              <w:topLinePunct/>
              <w:spacing w:line="320" w:lineRule="exact"/>
              <w:jc w:val="center"/>
              <w:rPr>
                <w:rFonts w:ascii="宋体" w:hAnsi="宋体"/>
                <w:color w:val="auto"/>
                <w:szCs w:val="21"/>
              </w:rPr>
            </w:pPr>
          </w:p>
        </w:tc>
      </w:tr>
      <w:tr w14:paraId="2D0E0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vAlign w:val="center"/>
          </w:tcPr>
          <w:p w14:paraId="4D9A0EFF">
            <w:pPr>
              <w:topLinePunct/>
              <w:spacing w:line="320" w:lineRule="exact"/>
              <w:jc w:val="center"/>
              <w:rPr>
                <w:rFonts w:ascii="宋体" w:hAnsi="宋体"/>
                <w:color w:val="auto"/>
                <w:szCs w:val="21"/>
              </w:rPr>
            </w:pPr>
            <w:r>
              <w:rPr>
                <w:rFonts w:hint="eastAsia" w:ascii="宋体" w:hAnsi="宋体"/>
                <w:color w:val="auto"/>
                <w:szCs w:val="21"/>
              </w:rPr>
              <w:t>联系方式</w:t>
            </w:r>
          </w:p>
        </w:tc>
        <w:tc>
          <w:tcPr>
            <w:tcW w:w="973" w:type="dxa"/>
            <w:tcBorders>
              <w:top w:val="single" w:color="auto" w:sz="4" w:space="0"/>
              <w:left w:val="single" w:color="auto" w:sz="4" w:space="0"/>
              <w:bottom w:val="single" w:color="auto" w:sz="4" w:space="0"/>
              <w:right w:val="single" w:color="auto" w:sz="4" w:space="0"/>
            </w:tcBorders>
            <w:vAlign w:val="center"/>
          </w:tcPr>
          <w:p w14:paraId="06DE423C">
            <w:pPr>
              <w:topLinePunct/>
              <w:spacing w:line="320" w:lineRule="exact"/>
              <w:jc w:val="center"/>
              <w:rPr>
                <w:rFonts w:ascii="宋体" w:hAnsi="宋体"/>
                <w:color w:val="auto"/>
                <w:szCs w:val="21"/>
              </w:rPr>
            </w:pPr>
            <w:r>
              <w:rPr>
                <w:rFonts w:hint="eastAsia" w:ascii="宋体" w:hAnsi="宋体"/>
                <w:color w:val="auto"/>
                <w:szCs w:val="21"/>
              </w:rPr>
              <w:t>联系人</w:t>
            </w:r>
          </w:p>
        </w:tc>
        <w:tc>
          <w:tcPr>
            <w:tcW w:w="2103" w:type="dxa"/>
            <w:tcBorders>
              <w:top w:val="single" w:color="auto" w:sz="4" w:space="0"/>
              <w:left w:val="single" w:color="auto" w:sz="4" w:space="0"/>
              <w:bottom w:val="single" w:color="auto" w:sz="4" w:space="0"/>
              <w:right w:val="single" w:color="auto" w:sz="4" w:space="0"/>
            </w:tcBorders>
            <w:vAlign w:val="center"/>
          </w:tcPr>
          <w:p w14:paraId="0043D045">
            <w:pPr>
              <w:topLinePunct/>
              <w:spacing w:line="320" w:lineRule="exact"/>
              <w:jc w:val="center"/>
              <w:rPr>
                <w:rFonts w:ascii="宋体" w:hAnsi="宋体"/>
                <w:color w:val="auto"/>
                <w:szCs w:val="21"/>
              </w:rPr>
            </w:pPr>
          </w:p>
        </w:tc>
        <w:tc>
          <w:tcPr>
            <w:tcW w:w="1273" w:type="dxa"/>
            <w:tcBorders>
              <w:top w:val="single" w:color="auto" w:sz="4" w:space="0"/>
              <w:left w:val="single" w:color="auto" w:sz="4" w:space="0"/>
              <w:bottom w:val="single" w:color="auto" w:sz="4" w:space="0"/>
              <w:right w:val="single" w:color="auto" w:sz="4" w:space="0"/>
            </w:tcBorders>
            <w:vAlign w:val="center"/>
          </w:tcPr>
          <w:p w14:paraId="55DA5570">
            <w:pPr>
              <w:topLinePunct/>
              <w:spacing w:line="320" w:lineRule="exact"/>
              <w:jc w:val="center"/>
              <w:rPr>
                <w:rFonts w:ascii="宋体" w:hAnsi="宋体"/>
                <w:color w:val="auto"/>
                <w:szCs w:val="21"/>
              </w:rPr>
            </w:pPr>
            <w:r>
              <w:rPr>
                <w:rFonts w:hint="eastAsia" w:ascii="宋体" w:hAnsi="宋体"/>
                <w:color w:val="auto"/>
                <w:szCs w:val="21"/>
              </w:rPr>
              <w:t>电话</w:t>
            </w:r>
          </w:p>
        </w:tc>
        <w:tc>
          <w:tcPr>
            <w:tcW w:w="1958" w:type="dxa"/>
            <w:tcBorders>
              <w:top w:val="single" w:color="auto" w:sz="4" w:space="0"/>
              <w:left w:val="single" w:color="auto" w:sz="4" w:space="0"/>
              <w:bottom w:val="single" w:color="auto" w:sz="4" w:space="0"/>
            </w:tcBorders>
            <w:vAlign w:val="center"/>
          </w:tcPr>
          <w:p w14:paraId="38C03780">
            <w:pPr>
              <w:topLinePunct/>
              <w:spacing w:line="320" w:lineRule="exact"/>
              <w:jc w:val="center"/>
              <w:rPr>
                <w:rFonts w:ascii="宋体" w:hAnsi="宋体"/>
                <w:color w:val="auto"/>
                <w:szCs w:val="21"/>
              </w:rPr>
            </w:pPr>
          </w:p>
        </w:tc>
      </w:tr>
      <w:tr w14:paraId="3D9B7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vAlign w:val="center"/>
          </w:tcPr>
          <w:p w14:paraId="5E8D103F">
            <w:pPr>
              <w:spacing w:line="320" w:lineRule="exact"/>
              <w:rPr>
                <w:rFonts w:ascii="宋体" w:hAnsi="宋体"/>
                <w:color w:val="auto"/>
                <w:szCs w:val="21"/>
              </w:rPr>
            </w:pPr>
          </w:p>
        </w:tc>
        <w:tc>
          <w:tcPr>
            <w:tcW w:w="973" w:type="dxa"/>
            <w:tcBorders>
              <w:top w:val="single" w:color="auto" w:sz="4" w:space="0"/>
              <w:left w:val="single" w:color="auto" w:sz="4" w:space="0"/>
              <w:bottom w:val="single" w:color="auto" w:sz="4" w:space="0"/>
              <w:right w:val="single" w:color="auto" w:sz="4" w:space="0"/>
            </w:tcBorders>
            <w:vAlign w:val="center"/>
          </w:tcPr>
          <w:p w14:paraId="7E2236F3">
            <w:pPr>
              <w:topLinePunct/>
              <w:spacing w:line="320" w:lineRule="exact"/>
              <w:jc w:val="center"/>
              <w:rPr>
                <w:rFonts w:ascii="宋体" w:hAnsi="宋体"/>
                <w:color w:val="auto"/>
                <w:szCs w:val="21"/>
              </w:rPr>
            </w:pPr>
            <w:r>
              <w:rPr>
                <w:rFonts w:hint="eastAsia" w:ascii="宋体" w:hAnsi="宋体"/>
                <w:color w:val="auto"/>
                <w:szCs w:val="21"/>
              </w:rPr>
              <w:t>网址</w:t>
            </w:r>
          </w:p>
        </w:tc>
        <w:tc>
          <w:tcPr>
            <w:tcW w:w="2103" w:type="dxa"/>
            <w:tcBorders>
              <w:top w:val="single" w:color="auto" w:sz="4" w:space="0"/>
              <w:left w:val="single" w:color="auto" w:sz="4" w:space="0"/>
              <w:bottom w:val="single" w:color="auto" w:sz="4" w:space="0"/>
              <w:right w:val="single" w:color="auto" w:sz="4" w:space="0"/>
            </w:tcBorders>
            <w:vAlign w:val="center"/>
          </w:tcPr>
          <w:p w14:paraId="7491EE07">
            <w:pPr>
              <w:topLinePunct/>
              <w:spacing w:line="320" w:lineRule="exact"/>
              <w:jc w:val="center"/>
              <w:rPr>
                <w:rFonts w:ascii="宋体" w:hAnsi="宋体"/>
                <w:color w:val="auto"/>
                <w:szCs w:val="21"/>
              </w:rPr>
            </w:pPr>
          </w:p>
        </w:tc>
        <w:tc>
          <w:tcPr>
            <w:tcW w:w="1273" w:type="dxa"/>
            <w:tcBorders>
              <w:top w:val="single" w:color="auto" w:sz="4" w:space="0"/>
              <w:left w:val="single" w:color="auto" w:sz="4" w:space="0"/>
              <w:bottom w:val="single" w:color="auto" w:sz="4" w:space="0"/>
              <w:right w:val="single" w:color="auto" w:sz="4" w:space="0"/>
            </w:tcBorders>
            <w:vAlign w:val="center"/>
          </w:tcPr>
          <w:p w14:paraId="2E301656">
            <w:pPr>
              <w:topLinePunct/>
              <w:spacing w:line="320" w:lineRule="exact"/>
              <w:jc w:val="center"/>
              <w:rPr>
                <w:rFonts w:ascii="宋体" w:hAnsi="宋体"/>
                <w:color w:val="auto"/>
                <w:szCs w:val="21"/>
              </w:rPr>
            </w:pPr>
            <w:r>
              <w:rPr>
                <w:rFonts w:hint="eastAsia" w:ascii="宋体" w:hAnsi="宋体"/>
                <w:color w:val="auto"/>
                <w:szCs w:val="21"/>
              </w:rPr>
              <w:t>传真</w:t>
            </w:r>
          </w:p>
        </w:tc>
        <w:tc>
          <w:tcPr>
            <w:tcW w:w="1958" w:type="dxa"/>
            <w:tcBorders>
              <w:top w:val="single" w:color="auto" w:sz="4" w:space="0"/>
              <w:left w:val="single" w:color="auto" w:sz="4" w:space="0"/>
              <w:bottom w:val="single" w:color="auto" w:sz="4" w:space="0"/>
            </w:tcBorders>
            <w:vAlign w:val="center"/>
          </w:tcPr>
          <w:p w14:paraId="125A49D2">
            <w:pPr>
              <w:topLinePunct/>
              <w:spacing w:line="320" w:lineRule="exact"/>
              <w:jc w:val="center"/>
              <w:rPr>
                <w:rFonts w:ascii="宋体" w:hAnsi="宋体"/>
                <w:color w:val="auto"/>
                <w:szCs w:val="21"/>
              </w:rPr>
            </w:pPr>
          </w:p>
        </w:tc>
      </w:tr>
      <w:tr w14:paraId="50190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vAlign w:val="center"/>
          </w:tcPr>
          <w:p w14:paraId="647461C8">
            <w:pPr>
              <w:topLinePunct/>
              <w:spacing w:line="320" w:lineRule="exact"/>
              <w:jc w:val="center"/>
              <w:rPr>
                <w:rFonts w:ascii="宋体" w:hAnsi="宋体"/>
                <w:color w:val="auto"/>
                <w:szCs w:val="21"/>
              </w:rPr>
            </w:pPr>
            <w:r>
              <w:rPr>
                <w:rFonts w:hint="eastAsia" w:ascii="宋体" w:hAnsi="宋体"/>
                <w:color w:val="auto"/>
                <w:szCs w:val="21"/>
              </w:rPr>
              <w:t>法定代表人</w:t>
            </w:r>
          </w:p>
          <w:p w14:paraId="05EC1038">
            <w:pPr>
              <w:topLinePunct/>
              <w:spacing w:line="320" w:lineRule="exact"/>
              <w:jc w:val="center"/>
              <w:rPr>
                <w:rFonts w:ascii="宋体" w:hAnsi="宋体"/>
                <w:color w:val="auto"/>
                <w:szCs w:val="21"/>
              </w:rPr>
            </w:pPr>
            <w:r>
              <w:rPr>
                <w:rFonts w:hint="eastAsia" w:ascii="宋体" w:hAnsi="宋体"/>
                <w:color w:val="auto"/>
                <w:szCs w:val="21"/>
              </w:rPr>
              <w:t>（单位负责人）</w:t>
            </w:r>
          </w:p>
        </w:tc>
        <w:tc>
          <w:tcPr>
            <w:tcW w:w="973" w:type="dxa"/>
            <w:tcBorders>
              <w:top w:val="single" w:color="auto" w:sz="4" w:space="0"/>
              <w:left w:val="single" w:color="auto" w:sz="4" w:space="0"/>
              <w:bottom w:val="single" w:color="auto" w:sz="4" w:space="0"/>
              <w:right w:val="single" w:color="auto" w:sz="4" w:space="0"/>
            </w:tcBorders>
            <w:vAlign w:val="center"/>
          </w:tcPr>
          <w:p w14:paraId="32C50028">
            <w:pPr>
              <w:topLinePunct/>
              <w:spacing w:line="320" w:lineRule="exact"/>
              <w:jc w:val="center"/>
              <w:rPr>
                <w:rFonts w:ascii="宋体" w:hAnsi="宋体"/>
                <w:color w:val="auto"/>
                <w:szCs w:val="21"/>
              </w:rPr>
            </w:pPr>
            <w:r>
              <w:rPr>
                <w:rFonts w:hint="eastAsia" w:ascii="宋体" w:hAnsi="宋体"/>
                <w:color w:val="auto"/>
                <w:szCs w:val="21"/>
              </w:rPr>
              <w:t>姓名</w:t>
            </w:r>
          </w:p>
        </w:tc>
        <w:tc>
          <w:tcPr>
            <w:tcW w:w="2103" w:type="dxa"/>
            <w:tcBorders>
              <w:top w:val="single" w:color="auto" w:sz="4" w:space="0"/>
              <w:left w:val="single" w:color="auto" w:sz="4" w:space="0"/>
              <w:bottom w:val="single" w:color="auto" w:sz="4" w:space="0"/>
              <w:right w:val="single" w:color="auto" w:sz="4" w:space="0"/>
            </w:tcBorders>
            <w:vAlign w:val="center"/>
          </w:tcPr>
          <w:p w14:paraId="74A2720D">
            <w:pPr>
              <w:topLinePunct/>
              <w:spacing w:line="320" w:lineRule="exact"/>
              <w:jc w:val="center"/>
              <w:rPr>
                <w:rFonts w:ascii="宋体" w:hAnsi="宋体"/>
                <w:color w:val="auto"/>
                <w:szCs w:val="21"/>
              </w:rPr>
            </w:pPr>
          </w:p>
        </w:tc>
        <w:tc>
          <w:tcPr>
            <w:tcW w:w="1273" w:type="dxa"/>
            <w:tcBorders>
              <w:top w:val="single" w:color="auto" w:sz="4" w:space="0"/>
              <w:left w:val="single" w:color="auto" w:sz="4" w:space="0"/>
              <w:bottom w:val="single" w:color="auto" w:sz="4" w:space="0"/>
              <w:right w:val="single" w:color="auto" w:sz="4" w:space="0"/>
            </w:tcBorders>
            <w:vAlign w:val="center"/>
          </w:tcPr>
          <w:p w14:paraId="62F5F6F7">
            <w:pPr>
              <w:topLinePunct/>
              <w:spacing w:line="320" w:lineRule="exact"/>
              <w:jc w:val="center"/>
              <w:rPr>
                <w:rFonts w:ascii="宋体" w:hAnsi="宋体"/>
                <w:color w:val="auto"/>
                <w:szCs w:val="21"/>
              </w:rPr>
            </w:pPr>
            <w:r>
              <w:rPr>
                <w:rFonts w:hint="eastAsia" w:ascii="宋体" w:hAnsi="宋体"/>
                <w:color w:val="auto"/>
                <w:szCs w:val="21"/>
              </w:rPr>
              <w:t>电话</w:t>
            </w:r>
          </w:p>
        </w:tc>
        <w:tc>
          <w:tcPr>
            <w:tcW w:w="1958" w:type="dxa"/>
            <w:tcBorders>
              <w:top w:val="single" w:color="auto" w:sz="4" w:space="0"/>
              <w:left w:val="single" w:color="auto" w:sz="4" w:space="0"/>
              <w:bottom w:val="single" w:color="auto" w:sz="4" w:space="0"/>
            </w:tcBorders>
            <w:vAlign w:val="center"/>
          </w:tcPr>
          <w:p w14:paraId="0A1EE3CB">
            <w:pPr>
              <w:topLinePunct/>
              <w:spacing w:line="320" w:lineRule="exact"/>
              <w:jc w:val="center"/>
              <w:rPr>
                <w:rFonts w:ascii="宋体" w:hAnsi="宋体"/>
                <w:color w:val="auto"/>
                <w:szCs w:val="21"/>
              </w:rPr>
            </w:pPr>
          </w:p>
        </w:tc>
      </w:tr>
      <w:tr w14:paraId="4B8DAC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vAlign w:val="center"/>
          </w:tcPr>
          <w:p w14:paraId="3ED70085">
            <w:pPr>
              <w:topLinePunct/>
              <w:spacing w:line="320" w:lineRule="exact"/>
              <w:jc w:val="left"/>
              <w:rPr>
                <w:rFonts w:ascii="宋体" w:hAnsi="宋体"/>
                <w:color w:val="auto"/>
                <w:szCs w:val="21"/>
              </w:rPr>
            </w:pPr>
            <w:r>
              <w:rPr>
                <w:rFonts w:hint="eastAsia" w:ascii="宋体" w:hAnsi="宋体"/>
                <w:color w:val="auto"/>
                <w:szCs w:val="21"/>
              </w:rPr>
              <w:t>供应商须知要求供应商需具有的各类资质证书</w:t>
            </w:r>
          </w:p>
        </w:tc>
        <w:tc>
          <w:tcPr>
            <w:tcW w:w="6307" w:type="dxa"/>
            <w:gridSpan w:val="4"/>
            <w:tcBorders>
              <w:top w:val="single" w:color="auto" w:sz="4" w:space="0"/>
              <w:left w:val="single" w:color="auto" w:sz="4" w:space="0"/>
              <w:bottom w:val="single" w:color="auto" w:sz="4" w:space="0"/>
            </w:tcBorders>
            <w:vAlign w:val="center"/>
          </w:tcPr>
          <w:p w14:paraId="3F502038">
            <w:pPr>
              <w:topLinePunct/>
              <w:spacing w:line="320" w:lineRule="exact"/>
              <w:ind w:firstLine="105" w:firstLineChars="50"/>
              <w:rPr>
                <w:rFonts w:ascii="宋体" w:hAnsi="宋体"/>
                <w:color w:val="auto"/>
                <w:szCs w:val="21"/>
              </w:rPr>
            </w:pPr>
            <w:r>
              <w:rPr>
                <w:rFonts w:hint="eastAsia" w:ascii="宋体" w:hAnsi="宋体"/>
                <w:color w:val="auto"/>
                <w:szCs w:val="21"/>
              </w:rPr>
              <w:t>类型：   等级：    证书号：</w:t>
            </w:r>
          </w:p>
        </w:tc>
      </w:tr>
      <w:tr w14:paraId="1FF01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vAlign w:val="center"/>
          </w:tcPr>
          <w:p w14:paraId="4CCE5F90">
            <w:pPr>
              <w:topLinePunct/>
              <w:spacing w:line="320" w:lineRule="exact"/>
              <w:jc w:val="center"/>
              <w:rPr>
                <w:rFonts w:ascii="宋体" w:hAnsi="宋体"/>
                <w:color w:val="auto"/>
                <w:szCs w:val="21"/>
              </w:rPr>
            </w:pPr>
            <w:r>
              <w:rPr>
                <w:rFonts w:hint="eastAsia" w:ascii="宋体" w:hAnsi="宋体"/>
                <w:color w:val="auto"/>
                <w:szCs w:val="21"/>
              </w:rPr>
              <w:t>开户银行</w:t>
            </w:r>
          </w:p>
        </w:tc>
        <w:tc>
          <w:tcPr>
            <w:tcW w:w="6307" w:type="dxa"/>
            <w:gridSpan w:val="4"/>
            <w:tcBorders>
              <w:top w:val="single" w:color="auto" w:sz="4" w:space="0"/>
              <w:left w:val="single" w:color="auto" w:sz="4" w:space="0"/>
              <w:bottom w:val="single" w:color="auto" w:sz="4" w:space="0"/>
            </w:tcBorders>
            <w:vAlign w:val="center"/>
          </w:tcPr>
          <w:p w14:paraId="2D086AB0">
            <w:pPr>
              <w:topLinePunct/>
              <w:spacing w:line="320" w:lineRule="exact"/>
              <w:ind w:firstLine="105" w:firstLineChars="50"/>
              <w:rPr>
                <w:rFonts w:ascii="宋体" w:hAnsi="宋体"/>
                <w:color w:val="auto"/>
                <w:szCs w:val="21"/>
              </w:rPr>
            </w:pPr>
          </w:p>
        </w:tc>
      </w:tr>
      <w:tr w14:paraId="01761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vAlign w:val="center"/>
          </w:tcPr>
          <w:p w14:paraId="5C4F7353">
            <w:pPr>
              <w:topLinePunct/>
              <w:spacing w:line="320" w:lineRule="exact"/>
              <w:jc w:val="center"/>
              <w:rPr>
                <w:rFonts w:ascii="宋体" w:hAnsi="宋体"/>
                <w:color w:val="auto"/>
                <w:szCs w:val="21"/>
              </w:rPr>
            </w:pPr>
            <w:r>
              <w:rPr>
                <w:rFonts w:hint="eastAsia" w:ascii="宋体" w:hAnsi="宋体"/>
                <w:color w:val="auto"/>
                <w:szCs w:val="21"/>
              </w:rPr>
              <w:t>银行账号</w:t>
            </w:r>
          </w:p>
        </w:tc>
        <w:tc>
          <w:tcPr>
            <w:tcW w:w="6307" w:type="dxa"/>
            <w:gridSpan w:val="4"/>
            <w:tcBorders>
              <w:top w:val="single" w:color="auto" w:sz="4" w:space="0"/>
              <w:left w:val="single" w:color="auto" w:sz="4" w:space="0"/>
            </w:tcBorders>
            <w:vAlign w:val="center"/>
          </w:tcPr>
          <w:p w14:paraId="7AFE4E7A">
            <w:pPr>
              <w:topLinePunct/>
              <w:spacing w:line="320" w:lineRule="exact"/>
              <w:rPr>
                <w:rFonts w:ascii="宋体" w:hAnsi="宋体"/>
                <w:color w:val="auto"/>
                <w:szCs w:val="21"/>
              </w:rPr>
            </w:pPr>
          </w:p>
        </w:tc>
      </w:tr>
      <w:tr w14:paraId="11285D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vAlign w:val="center"/>
          </w:tcPr>
          <w:p w14:paraId="5CBA619D">
            <w:pPr>
              <w:topLinePunct/>
              <w:spacing w:line="320" w:lineRule="exact"/>
              <w:jc w:val="center"/>
              <w:rPr>
                <w:rFonts w:ascii="宋体" w:hAnsi="宋体"/>
                <w:color w:val="auto"/>
                <w:szCs w:val="21"/>
              </w:rPr>
            </w:pPr>
            <w:r>
              <w:rPr>
                <w:rFonts w:hint="eastAsia" w:ascii="宋体" w:hAnsi="宋体"/>
                <w:color w:val="auto"/>
                <w:szCs w:val="21"/>
              </w:rPr>
              <w:t>近三年营业额</w:t>
            </w:r>
          </w:p>
        </w:tc>
        <w:tc>
          <w:tcPr>
            <w:tcW w:w="6307" w:type="dxa"/>
            <w:gridSpan w:val="4"/>
            <w:tcBorders>
              <w:top w:val="single" w:color="auto" w:sz="4" w:space="0"/>
              <w:left w:val="single" w:color="auto" w:sz="4" w:space="0"/>
            </w:tcBorders>
            <w:vAlign w:val="center"/>
          </w:tcPr>
          <w:p w14:paraId="273248CB">
            <w:pPr>
              <w:topLinePunct/>
              <w:spacing w:line="320" w:lineRule="exact"/>
              <w:rPr>
                <w:rFonts w:ascii="宋体" w:hAnsi="宋体"/>
                <w:color w:val="auto"/>
                <w:szCs w:val="21"/>
              </w:rPr>
            </w:pPr>
          </w:p>
        </w:tc>
      </w:tr>
      <w:tr w14:paraId="4F8DC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vAlign w:val="center"/>
          </w:tcPr>
          <w:p w14:paraId="01DC7DB2">
            <w:pPr>
              <w:topLinePunct/>
              <w:spacing w:line="320" w:lineRule="exact"/>
              <w:jc w:val="left"/>
              <w:rPr>
                <w:rFonts w:ascii="宋体" w:hAnsi="宋体"/>
                <w:color w:val="auto"/>
                <w:szCs w:val="21"/>
              </w:rPr>
            </w:pPr>
            <w:r>
              <w:rPr>
                <w:rFonts w:hint="eastAsia" w:ascii="宋体" w:hAnsi="宋体"/>
                <w:color w:val="auto"/>
                <w:szCs w:val="21"/>
              </w:rPr>
              <w:t>响应文件所供产品制造商名称</w:t>
            </w:r>
          </w:p>
        </w:tc>
        <w:tc>
          <w:tcPr>
            <w:tcW w:w="6307" w:type="dxa"/>
            <w:gridSpan w:val="4"/>
            <w:tcBorders>
              <w:top w:val="single" w:color="auto" w:sz="4" w:space="0"/>
              <w:left w:val="single" w:color="auto" w:sz="4" w:space="0"/>
            </w:tcBorders>
            <w:vAlign w:val="center"/>
          </w:tcPr>
          <w:p w14:paraId="292A6487">
            <w:pPr>
              <w:topLinePunct/>
              <w:spacing w:line="320" w:lineRule="exact"/>
              <w:rPr>
                <w:rFonts w:ascii="宋体" w:hAnsi="宋体"/>
                <w:color w:val="auto"/>
                <w:szCs w:val="21"/>
              </w:rPr>
            </w:pPr>
          </w:p>
        </w:tc>
      </w:tr>
      <w:tr w14:paraId="36CB8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vAlign w:val="center"/>
          </w:tcPr>
          <w:p w14:paraId="69292FD9">
            <w:pPr>
              <w:topLinePunct/>
              <w:spacing w:line="320" w:lineRule="exact"/>
              <w:jc w:val="center"/>
              <w:rPr>
                <w:rFonts w:ascii="宋体" w:hAnsi="宋体"/>
                <w:color w:val="auto"/>
                <w:szCs w:val="21"/>
              </w:rPr>
            </w:pPr>
            <w:r>
              <w:rPr>
                <w:rFonts w:hint="eastAsia" w:ascii="宋体" w:hAnsi="宋体"/>
                <w:color w:val="auto"/>
                <w:szCs w:val="21"/>
              </w:rPr>
              <w:t>备注</w:t>
            </w:r>
          </w:p>
        </w:tc>
        <w:tc>
          <w:tcPr>
            <w:tcW w:w="6307" w:type="dxa"/>
            <w:gridSpan w:val="4"/>
            <w:tcBorders>
              <w:top w:val="single" w:color="auto" w:sz="4" w:space="0"/>
              <w:left w:val="single" w:color="auto" w:sz="4" w:space="0"/>
              <w:bottom w:val="single" w:color="auto" w:sz="4" w:space="0"/>
            </w:tcBorders>
            <w:vAlign w:val="center"/>
          </w:tcPr>
          <w:p w14:paraId="5B6D78DA">
            <w:pPr>
              <w:topLinePunct/>
              <w:spacing w:line="320" w:lineRule="exact"/>
              <w:jc w:val="center"/>
              <w:rPr>
                <w:rFonts w:ascii="宋体" w:hAnsi="宋体"/>
                <w:color w:val="auto"/>
                <w:szCs w:val="21"/>
              </w:rPr>
            </w:pPr>
          </w:p>
        </w:tc>
      </w:tr>
    </w:tbl>
    <w:p w14:paraId="7ACAED84">
      <w:pPr>
        <w:spacing w:line="360" w:lineRule="auto"/>
        <w:rPr>
          <w:rFonts w:ascii="宋体" w:hAnsi="宋体"/>
          <w:color w:val="auto"/>
          <w:sz w:val="24"/>
        </w:rPr>
      </w:pPr>
      <w:r>
        <w:rPr>
          <w:rFonts w:hint="eastAsia" w:ascii="宋体" w:hAnsi="宋体"/>
          <w:color w:val="auto"/>
          <w:sz w:val="24"/>
        </w:rPr>
        <w:t>注：1. 供应商应根据采购邀请函第一条第九款的要求在本表后附相关证明材料。</w:t>
      </w:r>
    </w:p>
    <w:p w14:paraId="67E2B824">
      <w:pPr>
        <w:spacing w:line="360" w:lineRule="auto"/>
        <w:ind w:firstLine="420"/>
        <w:rPr>
          <w:rFonts w:ascii="宋体" w:hAnsi="宋体"/>
          <w:color w:val="auto"/>
          <w:sz w:val="24"/>
        </w:rPr>
      </w:pPr>
      <w:r>
        <w:rPr>
          <w:rFonts w:hint="eastAsia" w:ascii="宋体" w:hAnsi="宋体"/>
          <w:color w:val="auto"/>
          <w:sz w:val="24"/>
        </w:rPr>
        <w:t>2. 附营业执照复印件、供应商不得在“信用中国-中国执行信息公开网”被列为失信被执行人（提供查询截图，如未提供的或提供的截图评审小组无法进行判定的，失信被执行人信息以评标时网上查询结果为准）。</w:t>
      </w:r>
    </w:p>
    <w:p w14:paraId="558C59CB">
      <w:pPr>
        <w:rPr>
          <w:b/>
          <w:color w:val="auto"/>
          <w:sz w:val="28"/>
          <w:szCs w:val="28"/>
        </w:rPr>
      </w:pPr>
      <w:r>
        <w:rPr>
          <w:rFonts w:hint="eastAsia" w:ascii="宋体" w:hAnsi="宋体"/>
          <w:color w:val="auto"/>
          <w:sz w:val="24"/>
        </w:rPr>
        <w:br w:type="page"/>
      </w:r>
    </w:p>
    <w:p w14:paraId="74A9CC74">
      <w:pPr>
        <w:spacing w:line="440" w:lineRule="exact"/>
        <w:jc w:val="center"/>
        <w:rPr>
          <w:rFonts w:ascii="黑体" w:hAnsi="黑体" w:eastAsia="黑体" w:cs="黑体"/>
          <w:b/>
          <w:color w:val="auto"/>
          <w:sz w:val="36"/>
          <w:szCs w:val="36"/>
        </w:rPr>
      </w:pPr>
      <w:r>
        <w:rPr>
          <w:rFonts w:hint="eastAsia" w:ascii="黑体" w:hAnsi="黑体" w:eastAsia="黑体" w:cs="黑体"/>
          <w:b/>
          <w:color w:val="auto"/>
          <w:sz w:val="36"/>
          <w:szCs w:val="36"/>
        </w:rPr>
        <w:t>财务状况承诺</w:t>
      </w:r>
    </w:p>
    <w:p w14:paraId="7C3C02B5">
      <w:pPr>
        <w:spacing w:line="440" w:lineRule="exact"/>
        <w:ind w:firstLine="643" w:firstLineChars="200"/>
        <w:jc w:val="left"/>
        <w:rPr>
          <w:rFonts w:ascii="仿宋" w:hAnsi="仿宋" w:eastAsia="仿宋" w:cs="仿宋"/>
          <w:b/>
          <w:color w:val="auto"/>
          <w:sz w:val="32"/>
          <w:szCs w:val="32"/>
          <w:u w:val="single"/>
        </w:rPr>
      </w:pPr>
    </w:p>
    <w:p w14:paraId="6597174A">
      <w:pPr>
        <w:spacing w:line="520" w:lineRule="exact"/>
        <w:ind w:firstLine="643" w:firstLineChars="200"/>
        <w:jc w:val="left"/>
        <w:rPr>
          <w:rFonts w:ascii="仿宋" w:hAnsi="仿宋" w:eastAsia="仿宋" w:cs="仿宋"/>
          <w:b/>
          <w:color w:val="auto"/>
          <w:sz w:val="32"/>
          <w:szCs w:val="32"/>
          <w:u w:val="single"/>
        </w:rPr>
      </w:pPr>
      <w:r>
        <w:rPr>
          <w:rFonts w:hint="eastAsia" w:ascii="仿宋" w:hAnsi="仿宋" w:eastAsia="仿宋" w:cs="仿宋"/>
          <w:b/>
          <w:color w:val="auto"/>
          <w:sz w:val="32"/>
          <w:szCs w:val="32"/>
          <w:u w:val="single"/>
        </w:rPr>
        <w:t>致采购人：陕西锌业有限公司</w:t>
      </w:r>
    </w:p>
    <w:p w14:paraId="70FA1508">
      <w:pPr>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77BD2278">
      <w:pPr>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特此承诺！</w:t>
      </w:r>
    </w:p>
    <w:p w14:paraId="64475A5E">
      <w:pPr>
        <w:spacing w:line="520" w:lineRule="exact"/>
        <w:ind w:firstLine="640" w:firstLineChars="200"/>
        <w:jc w:val="left"/>
        <w:rPr>
          <w:rFonts w:ascii="仿宋" w:hAnsi="仿宋" w:eastAsia="仿宋" w:cs="仿宋"/>
          <w:color w:val="auto"/>
          <w:sz w:val="32"/>
          <w:szCs w:val="32"/>
        </w:rPr>
      </w:pPr>
    </w:p>
    <w:p w14:paraId="27D5F01D">
      <w:pPr>
        <w:autoSpaceDE w:val="0"/>
        <w:autoSpaceDN w:val="0"/>
        <w:adjustRightInd w:val="0"/>
        <w:snapToGrid w:val="0"/>
        <w:spacing w:line="520" w:lineRule="exact"/>
        <w:ind w:firstLine="5120" w:firstLineChars="1600"/>
        <w:rPr>
          <w:rFonts w:ascii="仿宋" w:hAnsi="仿宋" w:eastAsia="仿宋" w:cs="仿宋"/>
          <w:color w:val="auto"/>
          <w:sz w:val="32"/>
          <w:szCs w:val="32"/>
          <w:lang w:val="zh-CN"/>
        </w:rPr>
      </w:pPr>
    </w:p>
    <w:p w14:paraId="53DF22C3">
      <w:pPr>
        <w:autoSpaceDE w:val="0"/>
        <w:autoSpaceDN w:val="0"/>
        <w:adjustRightInd w:val="0"/>
        <w:snapToGrid w:val="0"/>
        <w:spacing w:line="520" w:lineRule="exact"/>
        <w:ind w:firstLine="5120" w:firstLineChars="1600"/>
        <w:rPr>
          <w:rFonts w:ascii="仿宋" w:hAnsi="仿宋" w:eastAsia="仿宋" w:cs="仿宋"/>
          <w:color w:val="auto"/>
          <w:sz w:val="32"/>
          <w:szCs w:val="32"/>
          <w:lang w:val="zh-CN"/>
        </w:rPr>
      </w:pPr>
    </w:p>
    <w:p w14:paraId="7B67C0D5">
      <w:pPr>
        <w:autoSpaceDE w:val="0"/>
        <w:autoSpaceDN w:val="0"/>
        <w:adjustRightInd w:val="0"/>
        <w:snapToGrid w:val="0"/>
        <w:spacing w:line="520" w:lineRule="exact"/>
        <w:ind w:firstLine="2880" w:firstLineChars="900"/>
        <w:rPr>
          <w:rFonts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7D9FF254">
      <w:pPr>
        <w:autoSpaceDE w:val="0"/>
        <w:autoSpaceDN w:val="0"/>
        <w:adjustRightInd w:val="0"/>
        <w:snapToGrid w:val="0"/>
        <w:spacing w:line="520" w:lineRule="exact"/>
        <w:ind w:firstLine="160" w:firstLineChars="50"/>
        <w:rPr>
          <w:rFonts w:ascii="仿宋" w:hAnsi="仿宋" w:eastAsia="仿宋" w:cs="仿宋"/>
          <w:color w:val="auto"/>
          <w:sz w:val="32"/>
          <w:szCs w:val="32"/>
        </w:rPr>
      </w:pPr>
    </w:p>
    <w:p w14:paraId="1C5396ED">
      <w:pPr>
        <w:autoSpaceDE w:val="0"/>
        <w:autoSpaceDN w:val="0"/>
        <w:adjustRightInd w:val="0"/>
        <w:snapToGrid w:val="0"/>
        <w:spacing w:line="520" w:lineRule="exact"/>
        <w:ind w:firstLine="2880" w:firstLineChars="900"/>
        <w:rPr>
          <w:rFonts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60F0D9ED">
      <w:pPr>
        <w:autoSpaceDE w:val="0"/>
        <w:autoSpaceDN w:val="0"/>
        <w:adjustRightInd w:val="0"/>
        <w:snapToGrid w:val="0"/>
        <w:spacing w:line="520" w:lineRule="exact"/>
        <w:rPr>
          <w:rFonts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9392297">
      <w:pPr>
        <w:autoSpaceDE w:val="0"/>
        <w:autoSpaceDN w:val="0"/>
        <w:adjustRightInd w:val="0"/>
        <w:snapToGrid w:val="0"/>
        <w:spacing w:line="520" w:lineRule="exact"/>
        <w:ind w:firstLine="320" w:firstLineChars="100"/>
        <w:rPr>
          <w:rFonts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EC910AA">
      <w:pPr>
        <w:spacing w:line="540" w:lineRule="exact"/>
        <w:rPr>
          <w:rFonts w:ascii="仿宋" w:hAnsi="仿宋" w:eastAsia="仿宋" w:cs="仿宋"/>
          <w:color w:val="auto"/>
          <w:sz w:val="32"/>
          <w:szCs w:val="32"/>
        </w:rPr>
      </w:pPr>
    </w:p>
    <w:p w14:paraId="3A2F2407">
      <w:pPr>
        <w:pStyle w:val="4"/>
        <w:ind w:firstLine="103"/>
        <w:rPr>
          <w:rFonts w:ascii="Times New Roman"/>
          <w:color w:val="auto"/>
          <w:sz w:val="32"/>
          <w:szCs w:val="32"/>
        </w:rPr>
      </w:pPr>
      <w:bookmarkStart w:id="178" w:name="_Toc504488778"/>
      <w:bookmarkStart w:id="179" w:name="_Toc19475"/>
      <w:r>
        <w:rPr>
          <w:rFonts w:hint="eastAsia" w:ascii="Times New Roman"/>
          <w:color w:val="auto"/>
        </w:rPr>
        <w:br w:type="page"/>
      </w:r>
      <w:r>
        <w:rPr>
          <w:rFonts w:hint="eastAsia" w:ascii="Times New Roman"/>
          <w:color w:val="auto"/>
          <w:sz w:val="32"/>
          <w:szCs w:val="32"/>
        </w:rPr>
        <w:t>（二）</w:t>
      </w:r>
      <w:bookmarkStart w:id="180" w:name="OLE_LINK7"/>
      <w:bookmarkStart w:id="181" w:name="OLE_LINK6"/>
      <w:r>
        <w:rPr>
          <w:rFonts w:hint="eastAsia" w:ascii="Times New Roman"/>
          <w:color w:val="auto"/>
          <w:sz w:val="32"/>
          <w:szCs w:val="32"/>
        </w:rPr>
        <w:t>近两年完成的建筑施工项目业绩情况</w:t>
      </w:r>
      <w:bookmarkEnd w:id="178"/>
      <w:bookmarkEnd w:id="179"/>
      <w:bookmarkEnd w:id="180"/>
      <w:bookmarkEnd w:id="181"/>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1D25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vAlign w:val="center"/>
          </w:tcPr>
          <w:p w14:paraId="33BD7E76">
            <w:pPr>
              <w:topLinePunct/>
              <w:spacing w:line="320" w:lineRule="exact"/>
              <w:rPr>
                <w:rFonts w:ascii="Times New Roman" w:hAnsi="Times New Roman"/>
                <w:color w:val="auto"/>
                <w:sz w:val="24"/>
              </w:rPr>
            </w:pPr>
            <w:r>
              <w:rPr>
                <w:rFonts w:hint="eastAsia" w:ascii="Times New Roman" w:hAnsi="Times New Roman"/>
                <w:color w:val="auto"/>
                <w:sz w:val="24"/>
              </w:rPr>
              <w:t>序号</w:t>
            </w:r>
          </w:p>
        </w:tc>
        <w:tc>
          <w:tcPr>
            <w:tcW w:w="7795" w:type="dxa"/>
            <w:vAlign w:val="center"/>
          </w:tcPr>
          <w:p w14:paraId="67829A11">
            <w:pPr>
              <w:topLinePunct/>
              <w:spacing w:line="320" w:lineRule="exact"/>
              <w:jc w:val="center"/>
              <w:rPr>
                <w:rFonts w:ascii="Times New Roman" w:hAnsi="Times New Roman"/>
                <w:color w:val="auto"/>
                <w:sz w:val="24"/>
              </w:rPr>
            </w:pPr>
            <w:r>
              <w:rPr>
                <w:rFonts w:hint="eastAsia" w:ascii="Times New Roman" w:hAnsi="Times New Roman"/>
                <w:color w:val="auto"/>
                <w:sz w:val="24"/>
              </w:rPr>
              <w:t>合同名称</w:t>
            </w:r>
          </w:p>
        </w:tc>
      </w:tr>
      <w:tr w14:paraId="44A3D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vAlign w:val="center"/>
          </w:tcPr>
          <w:p w14:paraId="576A9912">
            <w:pPr>
              <w:topLinePunct/>
              <w:spacing w:line="320" w:lineRule="exact"/>
              <w:jc w:val="center"/>
              <w:rPr>
                <w:rFonts w:ascii="Times New Roman" w:hAnsi="Times New Roman"/>
                <w:color w:val="auto"/>
                <w:sz w:val="24"/>
              </w:rPr>
            </w:pPr>
            <w:r>
              <w:rPr>
                <w:rFonts w:hint="eastAsia" w:ascii="Times New Roman" w:hAnsi="Times New Roman"/>
                <w:color w:val="auto"/>
                <w:sz w:val="24"/>
              </w:rPr>
              <w:t>1</w:t>
            </w:r>
          </w:p>
        </w:tc>
        <w:tc>
          <w:tcPr>
            <w:tcW w:w="7795" w:type="dxa"/>
          </w:tcPr>
          <w:p w14:paraId="07E20D60">
            <w:pPr>
              <w:topLinePunct/>
              <w:spacing w:line="320" w:lineRule="exact"/>
              <w:rPr>
                <w:rFonts w:ascii="Times New Roman" w:hAnsi="Times New Roman"/>
                <w:color w:val="auto"/>
                <w:sz w:val="24"/>
              </w:rPr>
            </w:pPr>
          </w:p>
        </w:tc>
      </w:tr>
      <w:tr w14:paraId="795BB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vAlign w:val="center"/>
          </w:tcPr>
          <w:p w14:paraId="553C6122">
            <w:pPr>
              <w:topLinePunct/>
              <w:spacing w:line="320" w:lineRule="exact"/>
              <w:jc w:val="center"/>
              <w:rPr>
                <w:rFonts w:ascii="Times New Roman" w:hAnsi="Times New Roman"/>
                <w:color w:val="auto"/>
                <w:sz w:val="24"/>
              </w:rPr>
            </w:pPr>
            <w:r>
              <w:rPr>
                <w:rFonts w:hint="eastAsia" w:ascii="Times New Roman" w:hAnsi="Times New Roman"/>
                <w:color w:val="auto"/>
                <w:sz w:val="24"/>
              </w:rPr>
              <w:t>2</w:t>
            </w:r>
          </w:p>
        </w:tc>
        <w:tc>
          <w:tcPr>
            <w:tcW w:w="7795" w:type="dxa"/>
          </w:tcPr>
          <w:p w14:paraId="2125D654">
            <w:pPr>
              <w:topLinePunct/>
              <w:spacing w:line="320" w:lineRule="exact"/>
              <w:rPr>
                <w:rFonts w:ascii="Times New Roman" w:hAnsi="Times New Roman"/>
                <w:color w:val="auto"/>
                <w:sz w:val="24"/>
              </w:rPr>
            </w:pPr>
          </w:p>
        </w:tc>
      </w:tr>
      <w:tr w14:paraId="501B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vAlign w:val="center"/>
          </w:tcPr>
          <w:p w14:paraId="654590A7">
            <w:pPr>
              <w:topLinePunct/>
              <w:spacing w:line="320" w:lineRule="exact"/>
              <w:jc w:val="center"/>
              <w:rPr>
                <w:rFonts w:ascii="Times New Roman" w:hAnsi="Times New Roman"/>
                <w:color w:val="auto"/>
                <w:sz w:val="24"/>
              </w:rPr>
            </w:pPr>
            <w:r>
              <w:rPr>
                <w:rFonts w:hint="eastAsia" w:ascii="Times New Roman" w:hAnsi="Times New Roman"/>
                <w:color w:val="auto"/>
                <w:sz w:val="24"/>
              </w:rPr>
              <w:t>3</w:t>
            </w:r>
          </w:p>
        </w:tc>
        <w:tc>
          <w:tcPr>
            <w:tcW w:w="7795" w:type="dxa"/>
          </w:tcPr>
          <w:p w14:paraId="6A8427BC">
            <w:pPr>
              <w:topLinePunct/>
              <w:spacing w:line="320" w:lineRule="exact"/>
              <w:rPr>
                <w:rFonts w:ascii="Times New Roman" w:hAnsi="Times New Roman"/>
                <w:color w:val="auto"/>
                <w:sz w:val="24"/>
              </w:rPr>
            </w:pPr>
          </w:p>
        </w:tc>
      </w:tr>
      <w:tr w14:paraId="3E68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vAlign w:val="center"/>
          </w:tcPr>
          <w:p w14:paraId="30B8441E">
            <w:pPr>
              <w:topLinePunct/>
              <w:spacing w:line="320" w:lineRule="exact"/>
              <w:jc w:val="center"/>
              <w:rPr>
                <w:rFonts w:ascii="Times New Roman" w:hAnsi="Times New Roman"/>
                <w:color w:val="auto"/>
                <w:sz w:val="24"/>
              </w:rPr>
            </w:pPr>
            <w:r>
              <w:rPr>
                <w:rFonts w:hint="eastAsia" w:ascii="Times New Roman" w:hAnsi="Times New Roman"/>
                <w:color w:val="auto"/>
                <w:sz w:val="24"/>
              </w:rPr>
              <w:t>4</w:t>
            </w:r>
          </w:p>
        </w:tc>
        <w:tc>
          <w:tcPr>
            <w:tcW w:w="7795" w:type="dxa"/>
          </w:tcPr>
          <w:p w14:paraId="79D40976">
            <w:pPr>
              <w:topLinePunct/>
              <w:spacing w:line="320" w:lineRule="exact"/>
              <w:rPr>
                <w:rFonts w:ascii="Times New Roman" w:hAnsi="Times New Roman"/>
                <w:color w:val="auto"/>
                <w:sz w:val="24"/>
              </w:rPr>
            </w:pPr>
          </w:p>
        </w:tc>
      </w:tr>
      <w:tr w14:paraId="416C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vAlign w:val="center"/>
          </w:tcPr>
          <w:p w14:paraId="0C462ABA">
            <w:pPr>
              <w:topLinePunct/>
              <w:spacing w:line="320" w:lineRule="exact"/>
              <w:jc w:val="center"/>
              <w:rPr>
                <w:rFonts w:ascii="Times New Roman" w:hAnsi="Times New Roman"/>
                <w:color w:val="auto"/>
                <w:sz w:val="24"/>
              </w:rPr>
            </w:pPr>
            <w:r>
              <w:rPr>
                <w:rFonts w:hint="eastAsia" w:ascii="Times New Roman" w:hAnsi="Times New Roman"/>
                <w:color w:val="auto"/>
                <w:sz w:val="24"/>
              </w:rPr>
              <w:t>备注</w:t>
            </w:r>
          </w:p>
        </w:tc>
        <w:tc>
          <w:tcPr>
            <w:tcW w:w="7795" w:type="dxa"/>
          </w:tcPr>
          <w:p w14:paraId="6B94CCB1">
            <w:pPr>
              <w:topLinePunct/>
              <w:spacing w:line="320" w:lineRule="exact"/>
              <w:rPr>
                <w:rFonts w:ascii="Times New Roman" w:hAnsi="Times New Roman"/>
                <w:color w:val="auto"/>
                <w:sz w:val="24"/>
              </w:rPr>
            </w:pPr>
          </w:p>
        </w:tc>
      </w:tr>
    </w:tbl>
    <w:p w14:paraId="37D015F2">
      <w:pPr>
        <w:spacing w:line="440" w:lineRule="exact"/>
        <w:rPr>
          <w:rFonts w:ascii="Times New Roman" w:hAnsi="Times New Roman"/>
          <w:color w:val="auto"/>
          <w:sz w:val="24"/>
        </w:rPr>
      </w:pPr>
      <w:r>
        <w:rPr>
          <w:rFonts w:hint="eastAsia" w:ascii="Times New Roman" w:hAnsi="Times New Roman"/>
          <w:color w:val="auto"/>
          <w:sz w:val="24"/>
        </w:rPr>
        <w:t>注：附业绩合同复印件，价格可隐去，时间以合同签订时间为准。</w:t>
      </w:r>
    </w:p>
    <w:p w14:paraId="3521F44D">
      <w:pPr>
        <w:topLinePunct/>
        <w:spacing w:line="440" w:lineRule="exact"/>
        <w:rPr>
          <w:color w:val="auto"/>
        </w:rPr>
      </w:pPr>
    </w:p>
    <w:p w14:paraId="70123184">
      <w:pPr>
        <w:topLinePunct/>
        <w:spacing w:line="440" w:lineRule="exact"/>
        <w:rPr>
          <w:color w:val="auto"/>
        </w:rPr>
      </w:pPr>
    </w:p>
    <w:p w14:paraId="4E87770C">
      <w:pPr>
        <w:topLinePunct/>
        <w:spacing w:line="440" w:lineRule="exact"/>
        <w:rPr>
          <w:color w:val="auto"/>
        </w:rPr>
      </w:pPr>
    </w:p>
    <w:p w14:paraId="27E417BB">
      <w:pPr>
        <w:topLinePunct/>
        <w:spacing w:line="440" w:lineRule="exact"/>
        <w:rPr>
          <w:color w:val="auto"/>
        </w:rPr>
      </w:pPr>
    </w:p>
    <w:p w14:paraId="71649CA5">
      <w:pPr>
        <w:topLinePunct/>
        <w:spacing w:line="440" w:lineRule="exact"/>
        <w:rPr>
          <w:color w:val="auto"/>
        </w:rPr>
      </w:pPr>
    </w:p>
    <w:p w14:paraId="0DDFBBEC">
      <w:pPr>
        <w:topLinePunct/>
        <w:spacing w:line="440" w:lineRule="exact"/>
        <w:rPr>
          <w:color w:val="auto"/>
        </w:rPr>
      </w:pPr>
    </w:p>
    <w:p w14:paraId="19A733C2">
      <w:pPr>
        <w:topLinePunct/>
        <w:spacing w:line="440" w:lineRule="exact"/>
        <w:rPr>
          <w:color w:val="auto"/>
        </w:rPr>
      </w:pPr>
    </w:p>
    <w:p w14:paraId="208CBB4C">
      <w:pPr>
        <w:topLinePunct/>
        <w:spacing w:line="440" w:lineRule="exact"/>
        <w:rPr>
          <w:color w:val="auto"/>
        </w:rPr>
      </w:pPr>
    </w:p>
    <w:p w14:paraId="55E02762">
      <w:pPr>
        <w:topLinePunct/>
        <w:spacing w:line="440" w:lineRule="exact"/>
        <w:rPr>
          <w:color w:val="auto"/>
        </w:rPr>
      </w:pPr>
    </w:p>
    <w:p w14:paraId="3D290A78">
      <w:pPr>
        <w:topLinePunct/>
        <w:spacing w:line="440" w:lineRule="exact"/>
        <w:rPr>
          <w:color w:val="auto"/>
        </w:rPr>
      </w:pPr>
    </w:p>
    <w:p w14:paraId="2064C5ED">
      <w:pPr>
        <w:topLinePunct/>
        <w:spacing w:line="440" w:lineRule="exact"/>
        <w:rPr>
          <w:color w:val="auto"/>
        </w:rPr>
      </w:pPr>
    </w:p>
    <w:p w14:paraId="2E11FCA8">
      <w:pPr>
        <w:topLinePunct/>
        <w:spacing w:line="440" w:lineRule="exact"/>
        <w:rPr>
          <w:color w:val="auto"/>
        </w:rPr>
      </w:pPr>
    </w:p>
    <w:p w14:paraId="54A1E515">
      <w:pPr>
        <w:topLinePunct/>
        <w:spacing w:line="440" w:lineRule="exact"/>
        <w:rPr>
          <w:color w:val="auto"/>
        </w:rPr>
      </w:pPr>
    </w:p>
    <w:p w14:paraId="44909E3D">
      <w:pPr>
        <w:topLinePunct/>
        <w:spacing w:line="440" w:lineRule="exact"/>
        <w:rPr>
          <w:color w:val="auto"/>
        </w:rPr>
      </w:pPr>
    </w:p>
    <w:p w14:paraId="2EE4A102">
      <w:pPr>
        <w:topLinePunct/>
        <w:spacing w:line="440" w:lineRule="exact"/>
        <w:rPr>
          <w:color w:val="auto"/>
        </w:rPr>
      </w:pPr>
    </w:p>
    <w:p w14:paraId="2DF9CB1B">
      <w:pPr>
        <w:topLinePunct/>
        <w:spacing w:line="440" w:lineRule="exact"/>
        <w:rPr>
          <w:color w:val="auto"/>
        </w:rPr>
      </w:pPr>
    </w:p>
    <w:p w14:paraId="007BBBB5">
      <w:pPr>
        <w:topLinePunct/>
        <w:spacing w:line="440" w:lineRule="exact"/>
        <w:rPr>
          <w:color w:val="auto"/>
        </w:rPr>
      </w:pPr>
    </w:p>
    <w:p w14:paraId="41BCED4F">
      <w:pPr>
        <w:topLinePunct/>
        <w:spacing w:line="440" w:lineRule="exact"/>
        <w:rPr>
          <w:color w:val="auto"/>
        </w:rPr>
      </w:pPr>
    </w:p>
    <w:p w14:paraId="369D68D0">
      <w:pPr>
        <w:topLinePunct/>
        <w:spacing w:line="440" w:lineRule="exact"/>
        <w:rPr>
          <w:color w:val="auto"/>
        </w:rPr>
      </w:pPr>
    </w:p>
    <w:p w14:paraId="7908794C">
      <w:pPr>
        <w:topLinePunct/>
        <w:spacing w:line="440" w:lineRule="exact"/>
        <w:rPr>
          <w:color w:val="auto"/>
        </w:rPr>
      </w:pPr>
    </w:p>
    <w:p w14:paraId="61A7D2DE">
      <w:pPr>
        <w:topLinePunct/>
        <w:spacing w:line="440" w:lineRule="exact"/>
        <w:jc w:val="center"/>
        <w:rPr>
          <w:rFonts w:ascii="黑体" w:hAnsi="黑体" w:eastAsia="黑体" w:cs="黑体"/>
          <w:color w:val="auto"/>
          <w:sz w:val="36"/>
          <w:szCs w:val="36"/>
        </w:rPr>
      </w:pPr>
      <w:r>
        <w:rPr>
          <w:rFonts w:hint="eastAsia" w:ascii="黑体" w:hAnsi="黑体" w:eastAsia="黑体" w:cs="黑体"/>
          <w:color w:val="auto"/>
          <w:sz w:val="36"/>
          <w:szCs w:val="36"/>
        </w:rPr>
        <w:t>六、响应方案、（如有）</w:t>
      </w:r>
    </w:p>
    <w:p w14:paraId="01A53ACC">
      <w:pPr>
        <w:spacing w:line="576" w:lineRule="exact"/>
        <w:ind w:firstLine="640" w:firstLineChars="200"/>
        <w:jc w:val="left"/>
        <w:rPr>
          <w:rFonts w:ascii="仿宋" w:hAnsi="仿宋" w:eastAsia="仿宋" w:cs="仿宋"/>
          <w:color w:val="auto"/>
          <w:sz w:val="32"/>
          <w:szCs w:val="32"/>
        </w:rPr>
      </w:pPr>
      <w:r>
        <w:rPr>
          <w:rFonts w:hint="eastAsia" w:ascii="仿宋" w:hAnsi="仿宋" w:eastAsia="仿宋"/>
          <w:color w:val="auto"/>
          <w:sz w:val="32"/>
          <w:szCs w:val="32"/>
        </w:rPr>
        <w:t>1.</w:t>
      </w:r>
      <w:r>
        <w:rPr>
          <w:rFonts w:hint="eastAsia" w:ascii="仿宋" w:hAnsi="仿宋" w:eastAsia="仿宋" w:cs="仿宋"/>
          <w:color w:val="auto"/>
          <w:sz w:val="32"/>
          <w:szCs w:val="32"/>
        </w:rPr>
        <w:t>施工部署及施工方案；</w:t>
      </w:r>
    </w:p>
    <w:p w14:paraId="5D50BEDD">
      <w:pPr>
        <w:spacing w:line="576"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2.确保工程质量的技术组织措施；</w:t>
      </w:r>
    </w:p>
    <w:p w14:paraId="3B7A4C96">
      <w:pPr>
        <w:spacing w:line="576"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3.确保安全文明生产的技术组织措施；</w:t>
      </w:r>
    </w:p>
    <w:p w14:paraId="6129AA31">
      <w:pPr>
        <w:spacing w:line="576"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4.确保施工工期的技术组织措施；</w:t>
      </w:r>
    </w:p>
    <w:p w14:paraId="422155C4">
      <w:pPr>
        <w:spacing w:line="576"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5.主要物资、机具、设备和劳动力的配置；</w:t>
      </w:r>
    </w:p>
    <w:p w14:paraId="58D01EC7">
      <w:pPr>
        <w:spacing w:line="576"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6.施工进度计划表或工期网络图；</w:t>
      </w:r>
    </w:p>
    <w:p w14:paraId="445B9D69">
      <w:pPr>
        <w:topLinePunct/>
        <w:spacing w:line="440" w:lineRule="exact"/>
        <w:jc w:val="left"/>
        <w:rPr>
          <w:rFonts w:ascii="黑体" w:hAnsi="黑体" w:eastAsia="黑体" w:cs="黑体"/>
          <w:color w:val="auto"/>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6AD09A-12FB-4F05-9BB0-70655B5446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2" w:fontKey="{6F25A216-77EC-4203-8969-115F283508C0}"/>
  </w:font>
  <w:font w:name="仿宋">
    <w:panose1 w:val="02010609060101010101"/>
    <w:charset w:val="86"/>
    <w:family w:val="modern"/>
    <w:pitch w:val="default"/>
    <w:sig w:usb0="800002BF" w:usb1="38CF7CFA" w:usb2="00000016" w:usb3="00000000" w:csb0="00040001" w:csb1="00000000"/>
    <w:embedRegular r:id="rId3" w:fontKey="{38D19A96-CACE-40E0-81B2-B60BDAD718DE}"/>
  </w:font>
  <w:font w:name="微软雅黑">
    <w:panose1 w:val="020B0503020204020204"/>
    <w:charset w:val="86"/>
    <w:family w:val="swiss"/>
    <w:pitch w:val="default"/>
    <w:sig w:usb0="80000287" w:usb1="2ACF3C50" w:usb2="00000016" w:usb3="00000000" w:csb0="0004001F" w:csb1="00000000"/>
    <w:embedRegular r:id="rId4" w:fontKey="{1C2A36EE-49D4-41AB-B01D-721D5202C58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22B80">
    <w:pPr>
      <w:pStyle w:val="18"/>
      <w:spacing w:line="240" w:lineRule="atLeast"/>
      <w:jc w:val="center"/>
      <w:rPr>
        <w:rFonts w:hAnsi="宋体"/>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B1A1219">
                          <w:pPr>
                            <w:pStyle w:val="9"/>
                          </w:pPr>
                          <w:r>
                            <w:fldChar w:fldCharType="begin"/>
                          </w:r>
                          <w:r>
                            <w:instrText xml:space="preserve"> PAGE  \* MERGEFORMAT </w:instrText>
                          </w:r>
                          <w:r>
                            <w:fldChar w:fldCharType="separate"/>
                          </w:r>
                          <w:r>
                            <w:t>12</w:t>
                          </w:r>
                          <w: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14:paraId="6B1A1219">
                    <w:pPr>
                      <w:pStyle w:val="9"/>
                    </w:pPr>
                    <w:r>
                      <w:fldChar w:fldCharType="begin"/>
                    </w:r>
                    <w:r>
                      <w:instrText xml:space="preserve"> PAGE  \* MERGEFORMAT </w:instrText>
                    </w:r>
                    <w:r>
                      <w:fldChar w:fldCharType="separate"/>
                    </w:r>
                    <w:r>
                      <w:t>12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2C582">
    <w:pPr>
      <w:pStyle w:val="23"/>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17D2545">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315A1">
    <w:pPr>
      <w:pStyle w:val="2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195"/>
    <w:rsid w:val="00034152"/>
    <w:rsid w:val="00107BE2"/>
    <w:rsid w:val="00114D29"/>
    <w:rsid w:val="00166ADD"/>
    <w:rsid w:val="00180195"/>
    <w:rsid w:val="00346D86"/>
    <w:rsid w:val="00437195"/>
    <w:rsid w:val="00484DAE"/>
    <w:rsid w:val="004D3F55"/>
    <w:rsid w:val="00537DEB"/>
    <w:rsid w:val="005A0CC8"/>
    <w:rsid w:val="005D052D"/>
    <w:rsid w:val="005D4600"/>
    <w:rsid w:val="00647644"/>
    <w:rsid w:val="00795636"/>
    <w:rsid w:val="007E018D"/>
    <w:rsid w:val="00822DE1"/>
    <w:rsid w:val="0086517A"/>
    <w:rsid w:val="008C4B3A"/>
    <w:rsid w:val="009218A9"/>
    <w:rsid w:val="009A2429"/>
    <w:rsid w:val="009B1DF0"/>
    <w:rsid w:val="009D0BDD"/>
    <w:rsid w:val="009E6445"/>
    <w:rsid w:val="00AD5709"/>
    <w:rsid w:val="00B50487"/>
    <w:rsid w:val="00C20472"/>
    <w:rsid w:val="00C94D0E"/>
    <w:rsid w:val="00D0299F"/>
    <w:rsid w:val="00E859FD"/>
    <w:rsid w:val="00EA2B19"/>
    <w:rsid w:val="02754C75"/>
    <w:rsid w:val="0F381D69"/>
    <w:rsid w:val="1230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Times New Roman"/>
      <w:b/>
      <w:bCs/>
      <w:kern w:val="44"/>
      <w:sz w:val="48"/>
      <w:szCs w:val="48"/>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paragraph" w:styleId="5">
    <w:name w:val="heading 4"/>
    <w:basedOn w:val="1"/>
    <w:next w:val="1"/>
    <w:qFormat/>
    <w:uiPriority w:val="9"/>
    <w:pPr>
      <w:keepNext/>
      <w:keepLines/>
      <w:spacing w:before="280" w:after="290" w:line="376" w:lineRule="auto"/>
      <w:outlineLvl w:val="3"/>
    </w:pPr>
    <w:rPr>
      <w:rFonts w:ascii="Calibri Light" w:hAnsi="Calibri Light" w:cs="Times New Roman"/>
      <w:b/>
      <w:bCs/>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spacing w:beforeLines="10" w:afterLines="10" w:line="360" w:lineRule="auto"/>
      <w:ind w:firstLine="420" w:firstLineChars="200"/>
    </w:pPr>
    <w:rPr>
      <w:rFonts w:ascii="Times New Roman" w:hAnsi="Times New Roman" w:cs="Times New Roman"/>
      <w:sz w:val="24"/>
    </w:rPr>
  </w:style>
  <w:style w:type="paragraph" w:styleId="7">
    <w:name w:val="Body Text Indent"/>
    <w:basedOn w:val="1"/>
    <w:qFormat/>
    <w:uiPriority w:val="0"/>
    <w:pPr>
      <w:spacing w:after="120"/>
      <w:ind w:left="420" w:leftChars="200"/>
    </w:pPr>
    <w:rPr>
      <w:rFonts w:ascii="Times New Roman" w:hAnsi="Times New Roman" w:cs="Times New Roman"/>
    </w:rPr>
  </w:style>
  <w:style w:type="paragraph" w:styleId="8">
    <w:name w:val="Balloon Text"/>
    <w:basedOn w:val="1"/>
    <w:link w:val="26"/>
    <w:qFormat/>
    <w:uiPriority w:val="0"/>
    <w:rPr>
      <w:sz w:val="18"/>
      <w:szCs w:val="18"/>
    </w:rPr>
  </w:style>
  <w:style w:type="paragraph" w:styleId="9">
    <w:name w:val="footer"/>
    <w:basedOn w:val="1"/>
    <w:qFormat/>
    <w:uiPriority w:val="0"/>
    <w:pPr>
      <w:tabs>
        <w:tab w:val="center" w:pos="4153"/>
        <w:tab w:val="right" w:pos="8306"/>
      </w:tabs>
      <w:snapToGrid w:val="0"/>
      <w:jc w:val="left"/>
    </w:pPr>
    <w:rPr>
      <w:rFonts w:ascii="Times New Roman" w:hAnsi="Times New Roman" w:cs="Times New Roman"/>
      <w:sz w:val="18"/>
    </w:rPr>
  </w:style>
  <w:style w:type="paragraph" w:styleId="10">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paragraph" w:customStyle="1" w:styleId="17">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8">
    <w:name w:val="Salutation1"/>
    <w:basedOn w:val="1"/>
    <w:next w:val="1"/>
    <w:qFormat/>
    <w:uiPriority w:val="0"/>
    <w:pPr>
      <w:adjustRightInd w:val="0"/>
      <w:spacing w:line="360" w:lineRule="atLeast"/>
      <w:textAlignment w:val="baseline"/>
    </w:pPr>
    <w:rPr>
      <w:rFonts w:ascii="Times New Roman" w:hAnsi="Times New Roman" w:cs="Times New Roman"/>
    </w:rPr>
  </w:style>
  <w:style w:type="character" w:customStyle="1" w:styleId="19">
    <w:name w:val="font71"/>
    <w:basedOn w:val="14"/>
    <w:qFormat/>
    <w:uiPriority w:val="0"/>
    <w:rPr>
      <w:rFonts w:hint="eastAsia" w:ascii="宋体" w:hAnsi="宋体" w:eastAsia="宋体" w:cs="宋体"/>
      <w:b/>
      <w:bCs/>
      <w:color w:val="000000"/>
      <w:sz w:val="24"/>
      <w:szCs w:val="24"/>
      <w:u w:val="none"/>
    </w:rPr>
  </w:style>
  <w:style w:type="character" w:customStyle="1" w:styleId="20">
    <w:name w:val="font81"/>
    <w:basedOn w:val="14"/>
    <w:qFormat/>
    <w:uiPriority w:val="0"/>
    <w:rPr>
      <w:rFonts w:hint="eastAsia" w:ascii="宋体" w:hAnsi="宋体" w:eastAsia="宋体" w:cs="宋体"/>
      <w:color w:val="000000"/>
      <w:sz w:val="24"/>
      <w:szCs w:val="24"/>
      <w:u w:val="none"/>
    </w:rPr>
  </w:style>
  <w:style w:type="character" w:customStyle="1" w:styleId="21">
    <w:name w:val="font91"/>
    <w:basedOn w:val="14"/>
    <w:qFormat/>
    <w:uiPriority w:val="0"/>
    <w:rPr>
      <w:rFonts w:hint="eastAsia" w:ascii="宋体" w:hAnsi="宋体" w:eastAsia="宋体" w:cs="宋体"/>
      <w:color w:val="000000"/>
      <w:sz w:val="21"/>
      <w:szCs w:val="21"/>
      <w:u w:val="none"/>
    </w:rPr>
  </w:style>
  <w:style w:type="paragraph" w:customStyle="1" w:styleId="22">
    <w:name w:val="Header1"/>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customStyle="1" w:styleId="23">
    <w:name w:val="Footer1"/>
    <w:basedOn w:val="1"/>
    <w:qFormat/>
    <w:uiPriority w:val="0"/>
    <w:pPr>
      <w:tabs>
        <w:tab w:val="center" w:pos="4153"/>
        <w:tab w:val="right" w:pos="8306"/>
      </w:tabs>
      <w:snapToGrid w:val="0"/>
      <w:jc w:val="left"/>
    </w:pPr>
    <w:rPr>
      <w:rFonts w:ascii="Times New Roman" w:hAnsi="Times New Roman" w:cs="Times New Roman"/>
      <w:sz w:val="18"/>
      <w:szCs w:val="18"/>
    </w:rPr>
  </w:style>
  <w:style w:type="character" w:customStyle="1" w:styleId="24">
    <w:name w:val="Page Number1"/>
    <w:basedOn w:val="14"/>
    <w:qFormat/>
    <w:uiPriority w:val="0"/>
    <w:rPr>
      <w:rFonts w:ascii="Times New Roman" w:hAnsi="Times New Roman" w:eastAsia="宋体" w:cs="Times New Roman"/>
    </w:rPr>
  </w:style>
  <w:style w:type="character" w:customStyle="1" w:styleId="25">
    <w:name w:val="页眉 Char"/>
    <w:basedOn w:val="14"/>
    <w:link w:val="10"/>
    <w:qFormat/>
    <w:uiPriority w:val="0"/>
    <w:rPr>
      <w:rFonts w:ascii="Calibri" w:hAnsi="Calibri" w:eastAsia="宋体" w:cs="宋体"/>
      <w:kern w:val="2"/>
      <w:sz w:val="18"/>
      <w:szCs w:val="18"/>
    </w:rPr>
  </w:style>
  <w:style w:type="character" w:customStyle="1" w:styleId="26">
    <w:name w:val="批注框文本 Char"/>
    <w:basedOn w:val="14"/>
    <w:link w:val="8"/>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B4D288-3029-414C-BA2A-F769A095B857}">
  <ds:schemaRefs/>
</ds:datastoreItem>
</file>

<file path=docProps/app.xml><?xml version="1.0" encoding="utf-8"?>
<Properties xmlns="http://schemas.openxmlformats.org/officeDocument/2006/extended-properties" xmlns:vt="http://schemas.openxmlformats.org/officeDocument/2006/docPropsVTypes">
  <Template>Normal</Template>
  <Pages>23</Pages>
  <Words>6965</Words>
  <Characters>7161</Characters>
  <Lines>55</Lines>
  <Paragraphs>15</Paragraphs>
  <TotalTime>3</TotalTime>
  <ScaleCrop>false</ScaleCrop>
  <LinksUpToDate>false</LinksUpToDate>
  <CharactersWithSpaces>7472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管勇</cp:lastModifiedBy>
  <dcterms:modified xsi:type="dcterms:W3CDTF">2025-05-08T06:32:08Z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87747c4f972d440ea01192dd70ee954f_23</vt:lpwstr>
  </property>
  <property fmtid="{D5CDD505-2E9C-101B-9397-08002B2CF9AE}" pid="4" name="KSOTemplateDocerSaveRecord">
    <vt:lpwstr>eyJoZGlkIjoiYjBkNGExNDk1MDZlMTc4MTE0NzY4Mzk5YmYxNzVjY2UiLCJ1c2VySWQiOiI0Nzg2MzQwNjYifQ==</vt:lpwstr>
  </property>
</Properties>
</file>