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XB20250509-06</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2025年5月份采购计划输送设备及配件采购项目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五月九日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2025年5月份采购计划输送设备及配件采购项目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输送设备及配件一批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33795775"/>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1471"/>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5月份采购计划输送设备及配件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500"/>
        <w:gridCol w:w="3210"/>
        <w:gridCol w:w="555"/>
        <w:gridCol w:w="590"/>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0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1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90"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7C7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14:paraId="233F4461">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500" w:type="dxa"/>
            <w:vAlign w:val="center"/>
          </w:tcPr>
          <w:p w14:paraId="19CA195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螺旋输送机（电机能效等级一级）</w:t>
            </w:r>
          </w:p>
        </w:tc>
        <w:tc>
          <w:tcPr>
            <w:tcW w:w="3210" w:type="dxa"/>
            <w:vAlign w:val="center"/>
          </w:tcPr>
          <w:p w14:paraId="16BEC9F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LXSS377*5500,转速：30转/min,P=7.5KW(张家港永旺机械)，内部叶片δ=8mm，出厂编码：20241107，双出料口，进料口距离螺旋一端面1.7m,两侧出料口分别距离螺旋两端面0.42m.</w:t>
            </w:r>
          </w:p>
        </w:tc>
        <w:tc>
          <w:tcPr>
            <w:tcW w:w="555" w:type="dxa"/>
            <w:vAlign w:val="center"/>
          </w:tcPr>
          <w:p w14:paraId="7B1853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90" w:type="dxa"/>
            <w:vAlign w:val="center"/>
          </w:tcPr>
          <w:p w14:paraId="52C22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248F85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686872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09" w:type="dxa"/>
            <w:vAlign w:val="center"/>
          </w:tcPr>
          <w:p w14:paraId="040C5D62">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150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料斗（中深斗）</w:t>
            </w:r>
          </w:p>
        </w:tc>
        <w:tc>
          <w:tcPr>
            <w:tcW w:w="3210" w:type="dxa"/>
            <w:vMerge w:val="restart"/>
            <w:vAlign w:val="center"/>
          </w:tcPr>
          <w:p w14:paraId="61908D69">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TH-315斗式提升机，输送量15T/h（南通仝鼎）</w:t>
            </w:r>
          </w:p>
        </w:tc>
        <w:tc>
          <w:tcPr>
            <w:tcW w:w="555"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9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78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09" w:type="dxa"/>
            <w:vAlign w:val="center"/>
          </w:tcPr>
          <w:p w14:paraId="28F5B9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00" w:type="dxa"/>
            <w:vAlign w:val="center"/>
          </w:tcPr>
          <w:p w14:paraId="21E09B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U型环（M14)</w:t>
            </w:r>
          </w:p>
        </w:tc>
        <w:tc>
          <w:tcPr>
            <w:tcW w:w="3210" w:type="dxa"/>
            <w:vMerge w:val="continue"/>
            <w:vAlign w:val="center"/>
          </w:tcPr>
          <w:p w14:paraId="1C430546">
            <w:pPr>
              <w:jc w:val="center"/>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154650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90" w:type="dxa"/>
            <w:vAlign w:val="center"/>
          </w:tcPr>
          <w:p w14:paraId="0146FB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23721E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D89BE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09" w:type="dxa"/>
            <w:vAlign w:val="center"/>
          </w:tcPr>
          <w:p w14:paraId="7BE9E94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0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链条（7环链）</w:t>
            </w:r>
          </w:p>
        </w:tc>
        <w:tc>
          <w:tcPr>
            <w:tcW w:w="3210" w:type="dxa"/>
            <w:vMerge w:val="continue"/>
            <w:vAlign w:val="center"/>
          </w:tcPr>
          <w:p w14:paraId="0EC8D90D">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300</w:t>
            </w:r>
          </w:p>
        </w:tc>
        <w:tc>
          <w:tcPr>
            <w:tcW w:w="590"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条</w:t>
            </w:r>
          </w:p>
        </w:tc>
        <w:tc>
          <w:tcPr>
            <w:tcW w:w="964"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09" w:type="dxa"/>
            <w:vAlign w:val="center"/>
          </w:tcPr>
          <w:p w14:paraId="1D06EC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500" w:type="dxa"/>
            <w:vAlign w:val="center"/>
          </w:tcPr>
          <w:p w14:paraId="7D41F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提升机斗子</w:t>
            </w:r>
          </w:p>
        </w:tc>
        <w:tc>
          <w:tcPr>
            <w:tcW w:w="3210"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板链提升机NE30配件,斗宽300mm，南通仝鼎  </w:t>
            </w:r>
          </w:p>
        </w:tc>
        <w:tc>
          <w:tcPr>
            <w:tcW w:w="555" w:type="dxa"/>
            <w:vAlign w:val="center"/>
          </w:tcPr>
          <w:p w14:paraId="26AC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590" w:type="dxa"/>
            <w:vAlign w:val="center"/>
          </w:tcPr>
          <w:p w14:paraId="432B7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0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50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1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90"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cs="仿宋" w:eastAsiaTheme="minorEastAsia"/>
                <w:color w:val="auto"/>
                <w:sz w:val="32"/>
                <w:szCs w:val="32"/>
                <w:vertAlign w:val="baseline"/>
                <w:lang w:val="en-US" w:eastAsia="zh-CN"/>
              </w:rPr>
            </w:pPr>
            <w:r>
              <w:rPr>
                <w:rFonts w:hint="eastAsia"/>
              </w:rPr>
              <w:t>备注：</w:t>
            </w:r>
            <w:r>
              <w:rPr>
                <w:rFonts w:hint="eastAsia"/>
                <w:lang w:val="en-US" w:eastAsia="zh-CN"/>
              </w:rPr>
              <w:t>必须按规定品牌要求报价，否则报价无效</w:t>
            </w:r>
            <w:r>
              <w:rPr>
                <w:rFonts w:hint="eastAsia"/>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33795778"/>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369531529"/>
      <w:bookmarkStart w:id="14" w:name="_Toc352691486"/>
      <w:bookmarkStart w:id="15" w:name="_Toc144974510"/>
      <w:bookmarkStart w:id="16" w:name="_Toc25772"/>
      <w:bookmarkStart w:id="17" w:name="_Toc300834963"/>
      <w:bookmarkStart w:id="18" w:name="_Toc247513966"/>
      <w:bookmarkStart w:id="19" w:name="_Toc152045542"/>
      <w:bookmarkStart w:id="20" w:name="_Toc247527567"/>
      <w:bookmarkStart w:id="21" w:name="_Toc152042318"/>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84308224"/>
      <w:bookmarkStart w:id="25" w:name="_Toc300834964"/>
      <w:bookmarkStart w:id="26" w:name="_Toc247527568"/>
      <w:bookmarkStart w:id="27" w:name="_Toc152042319"/>
      <w:bookmarkStart w:id="28" w:name="_Toc361508599"/>
      <w:bookmarkStart w:id="29" w:name="_Toc152045543"/>
      <w:bookmarkStart w:id="30" w:name="_Toc369531530"/>
      <w:bookmarkStart w:id="31" w:name="_Toc247513967"/>
      <w:bookmarkStart w:id="32" w:name="_Toc352691487"/>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9531533"/>
      <w:bookmarkStart w:id="36" w:name="_Toc384308227"/>
      <w:bookmarkStart w:id="37" w:name="_Toc361508602"/>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52691491"/>
      <w:bookmarkStart w:id="40" w:name="_Toc247513970"/>
      <w:bookmarkStart w:id="41" w:name="_Toc144974514"/>
      <w:bookmarkStart w:id="42" w:name="_Toc384308228"/>
      <w:bookmarkStart w:id="43" w:name="_Toc14751"/>
      <w:bookmarkStart w:id="44" w:name="_Toc369531534"/>
      <w:bookmarkStart w:id="45" w:name="_Toc152042322"/>
      <w:bookmarkStart w:id="46" w:name="_Toc247527571"/>
      <w:bookmarkStart w:id="47" w:name="_Toc152045546"/>
      <w:bookmarkStart w:id="48" w:name="_Toc300834967"/>
      <w:bookmarkStart w:id="49" w:name="_Toc361508603"/>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5547"/>
      <w:bookmarkStart w:id="51" w:name="_Toc300834968"/>
      <w:bookmarkStart w:id="52" w:name="_Toc369531535"/>
      <w:bookmarkStart w:id="53" w:name="_Toc144974515"/>
      <w:bookmarkStart w:id="54" w:name="_Toc247527572"/>
      <w:bookmarkStart w:id="55" w:name="_Toc152042323"/>
      <w:bookmarkStart w:id="56" w:name="_Toc361508604"/>
      <w:bookmarkStart w:id="57" w:name="_Toc247513971"/>
      <w:bookmarkStart w:id="58" w:name="_Toc352691492"/>
      <w:bookmarkStart w:id="59" w:name="_Toc17952"/>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13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13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144974570"/>
      <w:bookmarkStart w:id="67" w:name="_Toc152042380"/>
      <w:bookmarkStart w:id="68" w:name="_Toc247527628"/>
      <w:bookmarkStart w:id="69" w:name="_Toc152045603"/>
      <w:bookmarkStart w:id="70" w:name="_Toc300835013"/>
      <w:bookmarkStart w:id="71" w:name="_Toc361508651"/>
      <w:bookmarkStart w:id="72" w:name="_Toc384308277"/>
      <w:bookmarkStart w:id="73" w:name="_Toc369531582"/>
      <w:bookmarkStart w:id="74" w:name="_Toc247514027"/>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0852"/>
      <w:bookmarkStart w:id="89" w:name="_Toc33795808"/>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9079"/>
      <w:bookmarkStart w:id="93" w:name="_Toc10372"/>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247527586"/>
      <w:bookmarkStart w:id="97" w:name="_Toc152045561"/>
      <w:bookmarkStart w:id="98" w:name="_Toc300834982"/>
      <w:bookmarkStart w:id="99" w:name="_Toc369531549"/>
      <w:bookmarkStart w:id="100" w:name="_Toc144974529"/>
      <w:bookmarkStart w:id="101" w:name="_Toc247513985"/>
      <w:bookmarkStart w:id="102" w:name="_Toc30095"/>
      <w:bookmarkStart w:id="103" w:name="_Toc384308243"/>
      <w:bookmarkStart w:id="104" w:name="_Toc361508618"/>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69531550"/>
      <w:bookmarkStart w:id="120" w:name="_Toc300834983"/>
      <w:bookmarkStart w:id="121" w:name="_Toc5668"/>
      <w:bookmarkStart w:id="122" w:name="_Toc352691506"/>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33795813"/>
      <w:bookmarkStart w:id="126" w:name="_Toc30705"/>
      <w:bookmarkStart w:id="127"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671"/>
      <w:bookmarkStart w:id="129" w:name="_Toc11183"/>
      <w:bookmarkStart w:id="130" w:name="_Toc33795814"/>
      <w:bookmarkStart w:id="131" w:name="_Toc14362"/>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384308247"/>
      <w:bookmarkStart w:id="134" w:name="_Toc152045564"/>
      <w:bookmarkStart w:id="135" w:name="_Toc144974532"/>
      <w:bookmarkStart w:id="136" w:name="_Toc361508622"/>
      <w:bookmarkStart w:id="137" w:name="_Toc247513988"/>
      <w:bookmarkStart w:id="138" w:name="_Toc300834986"/>
      <w:bookmarkStart w:id="139" w:name="_Toc152042340"/>
      <w:bookmarkStart w:id="140" w:name="_Toc4656"/>
      <w:bookmarkStart w:id="141" w:name="_Toc369531553"/>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300834987"/>
      <w:bookmarkStart w:id="145" w:name="_Toc144974533"/>
      <w:bookmarkStart w:id="146" w:name="_Toc352691510"/>
      <w:bookmarkStart w:id="147" w:name="_Toc384308248"/>
      <w:bookmarkStart w:id="148" w:name="_Toc361508623"/>
      <w:bookmarkStart w:id="149" w:name="_Toc18247"/>
      <w:bookmarkStart w:id="150" w:name="_Toc247513989"/>
      <w:bookmarkStart w:id="151" w:name="_Toc152042341"/>
      <w:bookmarkStart w:id="152" w:name="_Toc369531554"/>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247527593"/>
      <w:bookmarkStart w:id="158" w:name="_Toc144974536"/>
      <w:bookmarkStart w:id="159" w:name="_Toc152042344"/>
      <w:bookmarkStart w:id="160" w:name="_Toc300834991"/>
      <w:bookmarkStart w:id="161" w:name="_Toc152045568"/>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52691515"/>
      <w:bookmarkStart w:id="169" w:name="_Toc384308253"/>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55F50CE4">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2025年05月09日</w:t>
      </w:r>
    </w:p>
    <w:p w14:paraId="086247EF">
      <w:pPr>
        <w:pStyle w:val="2"/>
        <w:jc w:val="both"/>
        <w:rPr>
          <w:rFonts w:hint="eastAsia" w:ascii="宋体" w:hAnsi="宋体" w:eastAsia="宋体" w:cs="宋体"/>
          <w:color w:val="auto"/>
          <w:sz w:val="36"/>
          <w:szCs w:val="36"/>
          <w:lang w:val="en-US" w:eastAsia="zh-CN"/>
        </w:rPr>
      </w:pPr>
    </w:p>
    <w:p w14:paraId="31F9132F">
      <w:pPr>
        <w:pStyle w:val="2"/>
        <w:jc w:val="both"/>
        <w:rPr>
          <w:rFonts w:hint="eastAsia" w:ascii="宋体" w:hAnsi="宋体" w:eastAsia="宋体" w:cs="宋体"/>
          <w:color w:val="auto"/>
          <w:sz w:val="36"/>
          <w:szCs w:val="36"/>
          <w:lang w:val="en-US" w:eastAsia="zh-CN"/>
        </w:rPr>
      </w:pPr>
    </w:p>
    <w:p w14:paraId="12063DAF">
      <w:pPr>
        <w:pStyle w:val="2"/>
        <w:jc w:val="both"/>
        <w:rPr>
          <w:rFonts w:hint="eastAsia" w:ascii="仿宋" w:hAnsi="仿宋" w:eastAsia="仿宋" w:cs="仿宋"/>
          <w:color w:val="auto"/>
          <w:sz w:val="32"/>
          <w:szCs w:val="32"/>
          <w:highlight w:val="none"/>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XB20250509-06</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bookmarkStart w:id="207" w:name="_GoBack"/>
      <w:bookmarkEnd w:id="207"/>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5月份采购计划输送设备及配件</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573"/>
      <w:bookmarkStart w:id="186" w:name="_Toc247514248"/>
      <w:bookmarkStart w:id="187" w:name="_Toc352691663"/>
      <w:bookmarkStart w:id="188" w:name="_Toc361508754"/>
      <w:bookmarkStart w:id="189" w:name="_Toc152042578"/>
      <w:bookmarkStart w:id="190" w:name="_Toc384308377"/>
      <w:bookmarkStart w:id="191" w:name="_Toc369531699"/>
      <w:bookmarkStart w:id="192" w:name="_Toc247527829"/>
      <w:bookmarkStart w:id="193" w:name="_Toc144974858"/>
      <w:bookmarkStart w:id="194" w:name="_Toc300835211"/>
      <w:bookmarkStart w:id="195" w:name="_Toc15204578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0"/>
        <w:gridCol w:w="2970"/>
        <w:gridCol w:w="555"/>
        <w:gridCol w:w="555"/>
        <w:gridCol w:w="960"/>
        <w:gridCol w:w="1035"/>
        <w:gridCol w:w="915"/>
      </w:tblGrid>
      <w:tr w14:paraId="5D14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A5D8F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60" w:type="dxa"/>
            <w:vAlign w:val="center"/>
          </w:tcPr>
          <w:p w14:paraId="6C392267">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970" w:type="dxa"/>
            <w:vAlign w:val="center"/>
          </w:tcPr>
          <w:p w14:paraId="0F9235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4F95276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55" w:type="dxa"/>
            <w:vAlign w:val="center"/>
          </w:tcPr>
          <w:p w14:paraId="1184645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5ED6AD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35" w:type="dxa"/>
            <w:vAlign w:val="center"/>
          </w:tcPr>
          <w:p w14:paraId="32EA60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15" w:type="dxa"/>
            <w:vAlign w:val="center"/>
          </w:tcPr>
          <w:p w14:paraId="340B659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51A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D3C12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560" w:type="dxa"/>
            <w:vAlign w:val="center"/>
          </w:tcPr>
          <w:p w14:paraId="2358325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螺旋输送机（电机能效等级一级）</w:t>
            </w:r>
          </w:p>
        </w:tc>
        <w:tc>
          <w:tcPr>
            <w:tcW w:w="2970" w:type="dxa"/>
            <w:vAlign w:val="center"/>
          </w:tcPr>
          <w:p w14:paraId="7E3D090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LXSS377*5500,转速：30转/min,P=7.5KW(张家港永旺机械)，内部叶片δ=8mm，出厂编码：20241107，双出料口，进料口距离螺旋一端面1.7m,两侧出料口分别距离螺旋两端面0.42m.</w:t>
            </w:r>
          </w:p>
        </w:tc>
        <w:tc>
          <w:tcPr>
            <w:tcW w:w="555" w:type="dxa"/>
            <w:vAlign w:val="center"/>
          </w:tcPr>
          <w:p w14:paraId="229E174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55" w:type="dxa"/>
            <w:vAlign w:val="center"/>
          </w:tcPr>
          <w:p w14:paraId="30A8B6B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0" w:type="dxa"/>
            <w:vAlign w:val="center"/>
          </w:tcPr>
          <w:p w14:paraId="240915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35" w:type="dxa"/>
            <w:vAlign w:val="center"/>
          </w:tcPr>
          <w:p w14:paraId="009E29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15" w:type="dxa"/>
            <w:vAlign w:val="center"/>
          </w:tcPr>
          <w:p w14:paraId="587421E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024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54AD37E">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2</w:t>
            </w:r>
          </w:p>
        </w:tc>
        <w:tc>
          <w:tcPr>
            <w:tcW w:w="1560" w:type="dxa"/>
            <w:vAlign w:val="center"/>
          </w:tcPr>
          <w:p w14:paraId="5A51707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料斗（中深斗）</w:t>
            </w:r>
          </w:p>
        </w:tc>
        <w:tc>
          <w:tcPr>
            <w:tcW w:w="2970" w:type="dxa"/>
            <w:vMerge w:val="restart"/>
            <w:vAlign w:val="center"/>
          </w:tcPr>
          <w:p w14:paraId="55EED570">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TH-315斗式提升机，输送量15T/h（南通仝鼎）</w:t>
            </w:r>
          </w:p>
        </w:tc>
        <w:tc>
          <w:tcPr>
            <w:tcW w:w="555" w:type="dxa"/>
            <w:vAlign w:val="center"/>
          </w:tcPr>
          <w:p w14:paraId="6C5A03D4">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55" w:type="dxa"/>
            <w:vAlign w:val="center"/>
          </w:tcPr>
          <w:p w14:paraId="55832C1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3B86E1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038999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15" w:type="dxa"/>
            <w:vAlign w:val="center"/>
          </w:tcPr>
          <w:p w14:paraId="7E22B08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14F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34" w:type="dxa"/>
            <w:vAlign w:val="center"/>
          </w:tcPr>
          <w:p w14:paraId="0580CB9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560" w:type="dxa"/>
            <w:vAlign w:val="center"/>
          </w:tcPr>
          <w:p w14:paraId="1BAC89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U型环（M14)</w:t>
            </w:r>
          </w:p>
        </w:tc>
        <w:tc>
          <w:tcPr>
            <w:tcW w:w="2970" w:type="dxa"/>
            <w:vMerge w:val="continue"/>
            <w:vAlign w:val="center"/>
          </w:tcPr>
          <w:p w14:paraId="4CFCCFDB">
            <w:pPr>
              <w:jc w:val="center"/>
              <w:rPr>
                <w:rFonts w:hint="eastAsia" w:ascii="宋体" w:hAnsi="宋体" w:eastAsia="宋体" w:cs="宋体"/>
                <w:i w:val="0"/>
                <w:iCs w:val="0"/>
                <w:color w:val="auto"/>
                <w:kern w:val="0"/>
                <w:sz w:val="21"/>
                <w:szCs w:val="21"/>
                <w:u w:val="none"/>
                <w:lang w:val="en-US" w:eastAsia="zh-CN" w:bidi="ar"/>
              </w:rPr>
            </w:pPr>
          </w:p>
        </w:tc>
        <w:tc>
          <w:tcPr>
            <w:tcW w:w="555" w:type="dxa"/>
            <w:vAlign w:val="center"/>
          </w:tcPr>
          <w:p w14:paraId="30D3A9E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500</w:t>
            </w:r>
          </w:p>
        </w:tc>
        <w:tc>
          <w:tcPr>
            <w:tcW w:w="555" w:type="dxa"/>
            <w:vAlign w:val="center"/>
          </w:tcPr>
          <w:p w14:paraId="4E0AE82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5D69E6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369FF8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15" w:type="dxa"/>
            <w:vAlign w:val="center"/>
          </w:tcPr>
          <w:p w14:paraId="23C6FD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BCC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34" w:type="dxa"/>
            <w:vAlign w:val="center"/>
          </w:tcPr>
          <w:p w14:paraId="4D5EFB5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60" w:type="dxa"/>
            <w:vAlign w:val="center"/>
          </w:tcPr>
          <w:p w14:paraId="78B0A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链条（7环链）</w:t>
            </w:r>
          </w:p>
        </w:tc>
        <w:tc>
          <w:tcPr>
            <w:tcW w:w="2970" w:type="dxa"/>
            <w:vMerge w:val="continue"/>
            <w:vAlign w:val="center"/>
          </w:tcPr>
          <w:p w14:paraId="476369BE">
            <w:pPr>
              <w:jc w:val="center"/>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5A687B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555" w:type="dxa"/>
            <w:vAlign w:val="center"/>
          </w:tcPr>
          <w:p w14:paraId="057781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960" w:type="dxa"/>
            <w:vAlign w:val="center"/>
          </w:tcPr>
          <w:p w14:paraId="3774ED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651AB8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15" w:type="dxa"/>
            <w:vAlign w:val="center"/>
          </w:tcPr>
          <w:p w14:paraId="057C83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8B7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4" w:type="dxa"/>
            <w:vAlign w:val="center"/>
          </w:tcPr>
          <w:p w14:paraId="562A705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1560" w:type="dxa"/>
            <w:vAlign w:val="center"/>
          </w:tcPr>
          <w:p w14:paraId="2A44D2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提升机斗子</w:t>
            </w:r>
          </w:p>
        </w:tc>
        <w:tc>
          <w:tcPr>
            <w:tcW w:w="2970" w:type="dxa"/>
            <w:vAlign w:val="center"/>
          </w:tcPr>
          <w:p w14:paraId="3BC10E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板链提升机NE30配件,斗宽300mm，南通仝鼎  </w:t>
            </w:r>
          </w:p>
        </w:tc>
        <w:tc>
          <w:tcPr>
            <w:tcW w:w="555" w:type="dxa"/>
            <w:vAlign w:val="center"/>
          </w:tcPr>
          <w:p w14:paraId="28480DE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555" w:type="dxa"/>
            <w:vAlign w:val="center"/>
          </w:tcPr>
          <w:p w14:paraId="5BC2EF2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60" w:type="dxa"/>
            <w:vAlign w:val="center"/>
          </w:tcPr>
          <w:p w14:paraId="3503A1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4180CE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15" w:type="dxa"/>
            <w:vAlign w:val="center"/>
          </w:tcPr>
          <w:p w14:paraId="602357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B43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4" w:type="dxa"/>
            <w:vAlign w:val="center"/>
          </w:tcPr>
          <w:p w14:paraId="7D506B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60" w:type="dxa"/>
            <w:vAlign w:val="center"/>
          </w:tcPr>
          <w:p w14:paraId="549F30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70" w:type="dxa"/>
            <w:vAlign w:val="top"/>
          </w:tcPr>
          <w:p w14:paraId="1E672E5E">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1D1A94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09AC81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Align w:val="center"/>
          </w:tcPr>
          <w:p w14:paraId="535F4D5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35" w:type="dxa"/>
            <w:vAlign w:val="center"/>
          </w:tcPr>
          <w:p w14:paraId="713363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15" w:type="dxa"/>
            <w:vAlign w:val="center"/>
          </w:tcPr>
          <w:p w14:paraId="33192D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12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084" w:type="dxa"/>
            <w:gridSpan w:val="8"/>
            <w:vAlign w:val="center"/>
          </w:tcPr>
          <w:p w14:paraId="63ABFB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必须按规定品牌要求报价，否则报价无效</w:t>
            </w:r>
            <w:r>
              <w:rPr>
                <w:rFonts w:hint="eastAsia"/>
              </w:rPr>
              <w:t>。</w:t>
            </w:r>
            <w:r>
              <w:rPr>
                <w:rFonts w:hint="eastAsia"/>
                <w:lang w:val="en-US" w:eastAsia="zh-CN"/>
              </w:rPr>
              <w:t>报价时除原有的PDF报价单还必须同时上传一份电子文档报价单。</w:t>
            </w:r>
          </w:p>
        </w:tc>
      </w:tr>
    </w:tbl>
    <w:p w14:paraId="437ADB5A">
      <w:pPr>
        <w:pStyle w:val="3"/>
        <w:spacing w:after="0"/>
        <w:jc w:val="both"/>
        <w:rPr>
          <w:rFonts w:hint="eastAsia" w:ascii="Times New Roman" w:hAnsi="Times New Roman"/>
          <w:color w:val="auto"/>
          <w:kern w:val="0"/>
          <w:lang w:val="en-US" w:eastAsia="zh-CN"/>
        </w:rPr>
      </w:pPr>
    </w:p>
    <w:p w14:paraId="1E5F1FFD">
      <w:pPr>
        <w:rPr>
          <w:rFonts w:hint="eastAsia" w:ascii="Times New Roman" w:hAnsi="Times New Roman"/>
          <w:color w:val="auto"/>
          <w:kern w:val="0"/>
          <w:lang w:val="en-US" w:eastAsia="zh-CN"/>
        </w:rPr>
      </w:pPr>
    </w:p>
    <w:p w14:paraId="4C5B3639">
      <w:pPr>
        <w:rPr>
          <w:rFonts w:hint="eastAsia" w:ascii="Times New Roman" w:hAnsi="Times New Roman"/>
          <w:color w:val="auto"/>
          <w:kern w:val="0"/>
          <w:lang w:val="en-US" w:eastAsia="zh-CN"/>
        </w:rPr>
      </w:pPr>
    </w:p>
    <w:p w14:paraId="5D60EF3C">
      <w:pPr>
        <w:rPr>
          <w:rFonts w:hint="eastAsia" w:ascii="Times New Roman" w:hAnsi="Times New Roman"/>
          <w:color w:val="auto"/>
          <w:kern w:val="0"/>
          <w:lang w:val="en-US" w:eastAsia="zh-CN"/>
        </w:rPr>
      </w:pPr>
    </w:p>
    <w:p w14:paraId="3DB88C4E">
      <w:pPr>
        <w:rPr>
          <w:rFonts w:hint="eastAsia" w:ascii="Times New Roman" w:hAnsi="Times New Roman"/>
          <w:color w:val="auto"/>
          <w:kern w:val="0"/>
          <w:lang w:val="en-US" w:eastAsia="zh-CN"/>
        </w:rPr>
      </w:pPr>
    </w:p>
    <w:p w14:paraId="17D39629">
      <w:pPr>
        <w:rPr>
          <w:rFonts w:hint="eastAsia" w:ascii="Times New Roman" w:hAnsi="Times New Roman"/>
          <w:color w:val="auto"/>
          <w:kern w:val="0"/>
          <w:lang w:val="en-US" w:eastAsia="zh-CN"/>
        </w:rPr>
      </w:pPr>
    </w:p>
    <w:p w14:paraId="1228D0FC">
      <w:pPr>
        <w:rPr>
          <w:rFonts w:hint="eastAsia" w:ascii="Times New Roman" w:hAnsi="Times New Roman"/>
          <w:color w:val="auto"/>
          <w:kern w:val="0"/>
          <w:lang w:val="en-US" w:eastAsia="zh-CN"/>
        </w:rPr>
      </w:pPr>
    </w:p>
    <w:p w14:paraId="7F116F55">
      <w:pPr>
        <w:rPr>
          <w:rFonts w:hint="eastAsia" w:ascii="Times New Roman" w:hAnsi="Times New Roman"/>
          <w:color w:val="auto"/>
          <w:kern w:val="0"/>
          <w:lang w:val="en-US" w:eastAsia="zh-CN"/>
        </w:rPr>
      </w:pPr>
    </w:p>
    <w:p w14:paraId="6FBEB6F1">
      <w:pPr>
        <w:rPr>
          <w:rFonts w:hint="eastAsia" w:ascii="Times New Roman" w:hAnsi="Times New Roman"/>
          <w:color w:val="auto"/>
          <w:kern w:val="0"/>
          <w:lang w:val="en-US" w:eastAsia="zh-CN"/>
        </w:rPr>
      </w:pPr>
    </w:p>
    <w:p w14:paraId="10932C31">
      <w:pPr>
        <w:rPr>
          <w:rFonts w:hint="eastAsia" w:ascii="Times New Roman" w:hAnsi="Times New Roman"/>
          <w:color w:val="auto"/>
          <w:kern w:val="0"/>
          <w:lang w:val="en-US" w:eastAsia="zh-CN"/>
        </w:rPr>
      </w:pPr>
    </w:p>
    <w:p w14:paraId="0FBF57A1">
      <w:pPr>
        <w:rPr>
          <w:rFonts w:hint="eastAsia" w:ascii="Times New Roman" w:hAnsi="Times New Roman"/>
          <w:color w:val="auto"/>
          <w:kern w:val="0"/>
          <w:lang w:val="en-US" w:eastAsia="zh-CN"/>
        </w:rPr>
      </w:pPr>
    </w:p>
    <w:p w14:paraId="17869D60">
      <w:pPr>
        <w:rPr>
          <w:rFonts w:hint="eastAsia" w:ascii="Times New Roman" w:hAnsi="Times New Roman"/>
          <w:color w:val="auto"/>
          <w:kern w:val="0"/>
          <w:lang w:val="en-US" w:eastAsia="zh-CN"/>
        </w:rPr>
      </w:pPr>
    </w:p>
    <w:p w14:paraId="55800CAC">
      <w:pPr>
        <w:rPr>
          <w:rFonts w:hint="eastAsia" w:ascii="Times New Roman" w:hAnsi="Times New Roman"/>
          <w:color w:val="auto"/>
          <w:kern w:val="0"/>
          <w:lang w:val="en-US" w:eastAsia="zh-CN"/>
        </w:rPr>
      </w:pPr>
    </w:p>
    <w:p w14:paraId="05CD0BA1">
      <w:pPr>
        <w:rPr>
          <w:rFonts w:hint="eastAsia" w:ascii="Times New Roman" w:hAnsi="Times New Roman"/>
          <w:color w:val="auto"/>
          <w:kern w:val="0"/>
          <w:lang w:val="en-US" w:eastAsia="zh-CN"/>
        </w:rPr>
      </w:pPr>
    </w:p>
    <w:p w14:paraId="338DAAAE">
      <w:pPr>
        <w:rPr>
          <w:rFonts w:hint="eastAsia" w:ascii="Times New Roman" w:hAnsi="Times New Roman"/>
          <w:color w:val="auto"/>
          <w:kern w:val="0"/>
          <w:lang w:val="en-US" w:eastAsia="zh-CN"/>
        </w:rPr>
      </w:pPr>
    </w:p>
    <w:p w14:paraId="4AA6311B">
      <w:pPr>
        <w:rPr>
          <w:rFonts w:hint="eastAsia" w:ascii="Times New Roman" w:hAnsi="Times New Roman"/>
          <w:color w:val="auto"/>
          <w:kern w:val="0"/>
          <w:lang w:val="en-US" w:eastAsia="zh-CN"/>
        </w:rPr>
      </w:pPr>
    </w:p>
    <w:p w14:paraId="4A14FA2A">
      <w:pPr>
        <w:rPr>
          <w:rFonts w:hint="eastAsia" w:ascii="Times New Roman" w:hAnsi="Times New Roman"/>
          <w:color w:val="auto"/>
          <w:kern w:val="0"/>
          <w:lang w:val="en-US" w:eastAsia="zh-CN"/>
        </w:rPr>
      </w:pPr>
    </w:p>
    <w:p w14:paraId="1F82597B">
      <w:pPr>
        <w:rPr>
          <w:rFonts w:hint="eastAsia" w:ascii="Times New Roman" w:hAnsi="Times New Roman"/>
          <w:color w:val="auto"/>
          <w:kern w:val="0"/>
          <w:lang w:val="en-US" w:eastAsia="zh-CN"/>
        </w:rPr>
      </w:pPr>
    </w:p>
    <w:p w14:paraId="726DA867">
      <w:pPr>
        <w:rPr>
          <w:rFonts w:hint="eastAsia" w:ascii="Times New Roman" w:hAnsi="Times New Roman"/>
          <w:color w:val="auto"/>
          <w:kern w:val="0"/>
          <w:lang w:val="en-US" w:eastAsia="zh-CN"/>
        </w:rPr>
      </w:pPr>
    </w:p>
    <w:p w14:paraId="0A6C521C">
      <w:pPr>
        <w:rPr>
          <w:rFonts w:hint="eastAsia" w:ascii="Times New Roman" w:hAnsi="Times New Roman"/>
          <w:color w:val="auto"/>
          <w:kern w:val="0"/>
          <w:lang w:val="en-US" w:eastAsia="zh-CN"/>
        </w:rPr>
      </w:pPr>
    </w:p>
    <w:p w14:paraId="0AFFB71F">
      <w:pPr>
        <w:rPr>
          <w:rFonts w:hint="eastAsia" w:ascii="Times New Roman" w:hAnsi="Times New Roman"/>
          <w:color w:val="auto"/>
          <w:kern w:val="0"/>
          <w:lang w:val="en-US" w:eastAsia="zh-CN"/>
        </w:rPr>
      </w:pPr>
    </w:p>
    <w:p w14:paraId="0CF57D4A">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BBF64F-6ACD-48E5-AAE2-7DF8F19275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35AD44C6-1A38-49CA-8F1A-0802F4D605BB}"/>
  </w:font>
  <w:font w:name="方正小标宋简体">
    <w:panose1 w:val="02000000000000000000"/>
    <w:charset w:val="86"/>
    <w:family w:val="auto"/>
    <w:pitch w:val="default"/>
    <w:sig w:usb0="00000001" w:usb1="08000000" w:usb2="00000000" w:usb3="00000000" w:csb0="00040000" w:csb1="00000000"/>
    <w:embedRegular r:id="rId3" w:fontKey="{E721D097-F6D2-4407-86F4-04E4A98065D8}"/>
  </w:font>
  <w:font w:name="微软雅黑">
    <w:panose1 w:val="020B0503020204020204"/>
    <w:charset w:val="86"/>
    <w:family w:val="auto"/>
    <w:pitch w:val="default"/>
    <w:sig w:usb0="80000287" w:usb1="2ACF3C50" w:usb2="00000016" w:usb3="00000000" w:csb0="0004001F" w:csb1="00000000"/>
    <w:embedRegular r:id="rId4" w:fontKey="{4CE32465-9B96-42B7-A88C-80779330C8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4EA05EA"/>
    <w:rsid w:val="051379D8"/>
    <w:rsid w:val="052319B7"/>
    <w:rsid w:val="05BE40FB"/>
    <w:rsid w:val="06141C07"/>
    <w:rsid w:val="06B01054"/>
    <w:rsid w:val="076A5F83"/>
    <w:rsid w:val="07720B9B"/>
    <w:rsid w:val="08D00E36"/>
    <w:rsid w:val="098B21E0"/>
    <w:rsid w:val="0AA3355A"/>
    <w:rsid w:val="0CAF4DC4"/>
    <w:rsid w:val="102F1EF5"/>
    <w:rsid w:val="10CA5CE4"/>
    <w:rsid w:val="114161E7"/>
    <w:rsid w:val="12957C2C"/>
    <w:rsid w:val="130628D8"/>
    <w:rsid w:val="14F74BCE"/>
    <w:rsid w:val="14F90946"/>
    <w:rsid w:val="14FD19B0"/>
    <w:rsid w:val="15350822"/>
    <w:rsid w:val="17725CE9"/>
    <w:rsid w:val="19B65298"/>
    <w:rsid w:val="19BF0744"/>
    <w:rsid w:val="19BF485E"/>
    <w:rsid w:val="19EF056A"/>
    <w:rsid w:val="1AEC4493"/>
    <w:rsid w:val="1B177D78"/>
    <w:rsid w:val="1DA8115B"/>
    <w:rsid w:val="1DB27CC5"/>
    <w:rsid w:val="1DD30B53"/>
    <w:rsid w:val="1E1E31CB"/>
    <w:rsid w:val="1E34479D"/>
    <w:rsid w:val="200F6D9D"/>
    <w:rsid w:val="207E073E"/>
    <w:rsid w:val="21834158"/>
    <w:rsid w:val="220426D8"/>
    <w:rsid w:val="22F5715A"/>
    <w:rsid w:val="231A6657"/>
    <w:rsid w:val="241430A6"/>
    <w:rsid w:val="2452597D"/>
    <w:rsid w:val="24BE1264"/>
    <w:rsid w:val="257B5469"/>
    <w:rsid w:val="25B75F7D"/>
    <w:rsid w:val="27C9064C"/>
    <w:rsid w:val="27CC3C98"/>
    <w:rsid w:val="297D7484"/>
    <w:rsid w:val="29C75F1D"/>
    <w:rsid w:val="2A2E0C3A"/>
    <w:rsid w:val="2A4B3DED"/>
    <w:rsid w:val="2C3D6F12"/>
    <w:rsid w:val="2DE05E9B"/>
    <w:rsid w:val="2E033918"/>
    <w:rsid w:val="2EA4771D"/>
    <w:rsid w:val="31832E12"/>
    <w:rsid w:val="32A1627D"/>
    <w:rsid w:val="32CB34CA"/>
    <w:rsid w:val="33260700"/>
    <w:rsid w:val="333C7F24"/>
    <w:rsid w:val="333D3C9C"/>
    <w:rsid w:val="339B5162"/>
    <w:rsid w:val="34DF16EF"/>
    <w:rsid w:val="358E6037"/>
    <w:rsid w:val="37887BDC"/>
    <w:rsid w:val="37991DE9"/>
    <w:rsid w:val="384C6E5B"/>
    <w:rsid w:val="38C369F1"/>
    <w:rsid w:val="38F82B3F"/>
    <w:rsid w:val="39974106"/>
    <w:rsid w:val="3A3A65D2"/>
    <w:rsid w:val="3A561988"/>
    <w:rsid w:val="3BCB2FF2"/>
    <w:rsid w:val="3BFF184D"/>
    <w:rsid w:val="3CB63F34"/>
    <w:rsid w:val="3CEB6517"/>
    <w:rsid w:val="3CFB6595"/>
    <w:rsid w:val="3CFD6BB7"/>
    <w:rsid w:val="3D34475C"/>
    <w:rsid w:val="3E3C01FF"/>
    <w:rsid w:val="3FE9293F"/>
    <w:rsid w:val="405A4224"/>
    <w:rsid w:val="407D392A"/>
    <w:rsid w:val="414361F2"/>
    <w:rsid w:val="427A5715"/>
    <w:rsid w:val="43160791"/>
    <w:rsid w:val="433C5D1E"/>
    <w:rsid w:val="44107006"/>
    <w:rsid w:val="44920CB0"/>
    <w:rsid w:val="45726E52"/>
    <w:rsid w:val="45A00D58"/>
    <w:rsid w:val="460F14C8"/>
    <w:rsid w:val="46637C62"/>
    <w:rsid w:val="46933C70"/>
    <w:rsid w:val="473E2065"/>
    <w:rsid w:val="4B4A7A14"/>
    <w:rsid w:val="4B896DF6"/>
    <w:rsid w:val="4CB27A82"/>
    <w:rsid w:val="4D66647C"/>
    <w:rsid w:val="4E6B74B7"/>
    <w:rsid w:val="4F18763F"/>
    <w:rsid w:val="4F2D1733"/>
    <w:rsid w:val="500261D8"/>
    <w:rsid w:val="50610B72"/>
    <w:rsid w:val="509B2FD7"/>
    <w:rsid w:val="523676EA"/>
    <w:rsid w:val="524F1A19"/>
    <w:rsid w:val="54C76E9D"/>
    <w:rsid w:val="55EF7BB3"/>
    <w:rsid w:val="55F20E2B"/>
    <w:rsid w:val="56737851"/>
    <w:rsid w:val="5680683F"/>
    <w:rsid w:val="56F815DC"/>
    <w:rsid w:val="57711FE2"/>
    <w:rsid w:val="59907EED"/>
    <w:rsid w:val="5A715E56"/>
    <w:rsid w:val="5B97061C"/>
    <w:rsid w:val="5C02145B"/>
    <w:rsid w:val="5C2B04AE"/>
    <w:rsid w:val="5C594DF3"/>
    <w:rsid w:val="5CA029F3"/>
    <w:rsid w:val="5D042FB1"/>
    <w:rsid w:val="5DA87DE0"/>
    <w:rsid w:val="5DCA09A3"/>
    <w:rsid w:val="5E8D407E"/>
    <w:rsid w:val="5F213A10"/>
    <w:rsid w:val="5F8C5DB5"/>
    <w:rsid w:val="5FBC6DF6"/>
    <w:rsid w:val="60323E17"/>
    <w:rsid w:val="60C97FB7"/>
    <w:rsid w:val="61137C66"/>
    <w:rsid w:val="61483E9A"/>
    <w:rsid w:val="61581B1D"/>
    <w:rsid w:val="61E47735"/>
    <w:rsid w:val="646B1B68"/>
    <w:rsid w:val="65AE4402"/>
    <w:rsid w:val="661E50E3"/>
    <w:rsid w:val="66452F0C"/>
    <w:rsid w:val="665E1984"/>
    <w:rsid w:val="6667362D"/>
    <w:rsid w:val="671D4BFD"/>
    <w:rsid w:val="672C3830"/>
    <w:rsid w:val="68365066"/>
    <w:rsid w:val="69E314DA"/>
    <w:rsid w:val="69F446AA"/>
    <w:rsid w:val="6A445335"/>
    <w:rsid w:val="6BD87931"/>
    <w:rsid w:val="6C2347F8"/>
    <w:rsid w:val="6CCD1611"/>
    <w:rsid w:val="6CE26D5D"/>
    <w:rsid w:val="6DB30807"/>
    <w:rsid w:val="6F4D07E7"/>
    <w:rsid w:val="70626755"/>
    <w:rsid w:val="707458D8"/>
    <w:rsid w:val="72E3289C"/>
    <w:rsid w:val="736305DA"/>
    <w:rsid w:val="74F87447"/>
    <w:rsid w:val="7555324A"/>
    <w:rsid w:val="76987E92"/>
    <w:rsid w:val="76AC7B4F"/>
    <w:rsid w:val="78A771BA"/>
    <w:rsid w:val="7BCC1ED5"/>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7254</Words>
  <Characters>7580</Characters>
  <Lines>0</Lines>
  <Paragraphs>0</Paragraphs>
  <TotalTime>0</TotalTime>
  <ScaleCrop>false</ScaleCrop>
  <LinksUpToDate>false</LinksUpToDate>
  <CharactersWithSpaces>7978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2025-05-09T01:15:53Z</cp:lastPrinted>
  <dcterms:modified xsi:type="dcterms:W3CDTF">2025-05-09T01:44:54Z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