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44AD4">
      <w:pPr>
        <w:spacing w:line="400" w:lineRule="exact"/>
        <w:rPr>
          <w:rFonts w:hint="default" w:ascii="Times New Roman" w:hAnsi="Times New Roman" w:eastAsia="黑体"/>
          <w:color w:val="auto"/>
          <w:sz w:val="28"/>
          <w:szCs w:val="28"/>
          <w:highlight w:val="none"/>
          <w:lang w:val="en-US" w:eastAsia="zh-CN"/>
        </w:rPr>
      </w:pPr>
      <w:r>
        <w:rPr>
          <w:rFonts w:hint="eastAsia" w:ascii="Times New Roman" w:hAnsi="Times New Roman" w:eastAsia="黑体"/>
          <w:color w:val="auto"/>
          <w:sz w:val="28"/>
          <w:szCs w:val="28"/>
          <w:highlight w:val="none"/>
        </w:rPr>
        <w:t>项目编号：</w:t>
      </w:r>
      <w:r>
        <w:rPr>
          <w:rFonts w:hint="eastAsia" w:ascii="Times New Roman" w:hAnsi="Times New Roman" w:eastAsia="黑体"/>
          <w:color w:val="auto"/>
          <w:sz w:val="28"/>
          <w:szCs w:val="28"/>
          <w:highlight w:val="none"/>
          <w:lang w:val="en-US" w:eastAsia="zh-CN"/>
        </w:rPr>
        <w:t>XB20250520-01</w:t>
      </w:r>
    </w:p>
    <w:p w14:paraId="0BCA51C7">
      <w:pPr>
        <w:spacing w:line="400" w:lineRule="exact"/>
        <w:rPr>
          <w:rFonts w:hint="default" w:ascii="Times New Roman" w:hAnsi="Times New Roman" w:eastAsia="黑体"/>
          <w:color w:val="auto"/>
          <w:sz w:val="28"/>
          <w:szCs w:val="28"/>
          <w:highlight w:val="none"/>
          <w:lang w:val="en-US" w:eastAsia="zh-CN"/>
        </w:rPr>
      </w:pPr>
    </w:p>
    <w:p w14:paraId="343794A4">
      <w:pPr>
        <w:spacing w:line="400" w:lineRule="exact"/>
        <w:rPr>
          <w:rFonts w:ascii="Times New Roman" w:hAnsi="Times New Roman"/>
          <w:color w:val="auto"/>
        </w:rPr>
      </w:pPr>
    </w:p>
    <w:p w14:paraId="391D4447">
      <w:pPr>
        <w:spacing w:line="400" w:lineRule="exact"/>
        <w:rPr>
          <w:rFonts w:ascii="Times New Roman" w:hAnsi="Times New Roman"/>
          <w:color w:val="auto"/>
        </w:rPr>
      </w:pPr>
    </w:p>
    <w:p w14:paraId="43395F81">
      <w:pPr>
        <w:outlineLvl w:val="9"/>
        <w:rPr>
          <w:color w:val="auto"/>
        </w:rPr>
      </w:pPr>
    </w:p>
    <w:p w14:paraId="0E25D430">
      <w:pPr>
        <w:spacing w:line="400" w:lineRule="exact"/>
        <w:rPr>
          <w:rFonts w:ascii="Times New Roman" w:hAnsi="Times New Roman"/>
          <w:color w:val="auto"/>
        </w:rPr>
      </w:pPr>
    </w:p>
    <w:p w14:paraId="784D6B4A">
      <w:pPr>
        <w:spacing w:line="400" w:lineRule="exact"/>
        <w:rPr>
          <w:rFonts w:ascii="Times New Roman" w:hAnsi="Times New Roman"/>
          <w:color w:val="auto"/>
        </w:rPr>
      </w:pPr>
    </w:p>
    <w:p w14:paraId="3E833DC6">
      <w:pPr>
        <w:spacing w:line="360" w:lineRule="auto"/>
        <w:jc w:val="center"/>
        <w:rPr>
          <w:rFonts w:hint="eastAsia" w:ascii="Times New Roman" w:hAnsi="Times New Roman" w:eastAsia="黑体"/>
          <w:color w:val="auto"/>
          <w:sz w:val="44"/>
          <w:szCs w:val="44"/>
          <w:highlight w:val="none"/>
          <w:lang w:eastAsia="zh-CN"/>
        </w:rPr>
      </w:pPr>
      <w:r>
        <w:rPr>
          <w:rFonts w:hint="eastAsia" w:ascii="Times New Roman" w:hAnsi="Times New Roman" w:eastAsia="黑体"/>
          <w:color w:val="auto"/>
          <w:sz w:val="44"/>
          <w:szCs w:val="44"/>
          <w:highlight w:val="none"/>
          <w:lang w:eastAsia="zh-CN"/>
        </w:rPr>
        <w:t>陕西锌业有限公司</w:t>
      </w:r>
    </w:p>
    <w:p w14:paraId="621F6C32">
      <w:pPr>
        <w:spacing w:line="360" w:lineRule="auto"/>
        <w:jc w:val="center"/>
        <w:rPr>
          <w:rFonts w:hint="default" w:ascii="Times New Roman" w:hAnsi="Times New Roman" w:eastAsia="黑体"/>
          <w:color w:val="auto"/>
          <w:sz w:val="44"/>
          <w:szCs w:val="44"/>
          <w:highlight w:val="yellow"/>
          <w:lang w:val="en-US" w:eastAsia="zh-CN"/>
        </w:rPr>
      </w:pPr>
      <w:r>
        <w:rPr>
          <w:rFonts w:hint="eastAsia" w:ascii="Times New Roman" w:hAnsi="Times New Roman" w:eastAsia="黑体"/>
          <w:color w:val="auto"/>
          <w:sz w:val="44"/>
          <w:szCs w:val="44"/>
          <w:highlight w:val="none"/>
          <w:lang w:val="en-US" w:eastAsia="zh-CN"/>
        </w:rPr>
        <w:t>2025年5月硫酸车间空调采购项目</w:t>
      </w:r>
    </w:p>
    <w:p w14:paraId="0440D2AD">
      <w:pPr>
        <w:rPr>
          <w:rFonts w:ascii="Times New Roman" w:hAnsi="Times New Roman"/>
          <w:color w:val="auto"/>
          <w:sz w:val="28"/>
        </w:rPr>
      </w:pPr>
    </w:p>
    <w:p w14:paraId="5F5A5715">
      <w:pPr>
        <w:jc w:val="center"/>
        <w:rPr>
          <w:rFonts w:hint="eastAsia" w:ascii="Times New Roman" w:hAnsi="Times New Roman" w:eastAsia="黑体"/>
          <w:color w:val="auto"/>
          <w:sz w:val="44"/>
          <w:lang w:eastAsia="zh-CN"/>
        </w:rPr>
      </w:pPr>
      <w:r>
        <w:rPr>
          <w:rFonts w:hint="eastAsia" w:ascii="Times New Roman" w:hAnsi="Times New Roman" w:eastAsia="黑体"/>
          <w:color w:val="auto"/>
          <w:sz w:val="44"/>
          <w:lang w:eastAsia="zh-CN"/>
        </w:rPr>
        <w:t>询比采购文件</w:t>
      </w:r>
    </w:p>
    <w:p w14:paraId="065992F0">
      <w:pPr>
        <w:spacing w:line="400" w:lineRule="exact"/>
        <w:rPr>
          <w:rFonts w:ascii="Times New Roman" w:hAnsi="Times New Roman"/>
          <w:color w:val="auto"/>
        </w:rPr>
      </w:pPr>
    </w:p>
    <w:p w14:paraId="57D4453B">
      <w:pPr>
        <w:spacing w:line="400" w:lineRule="exact"/>
        <w:rPr>
          <w:rFonts w:ascii="Times New Roman" w:hAnsi="Times New Roman"/>
          <w:color w:val="auto"/>
        </w:rPr>
      </w:pPr>
    </w:p>
    <w:p w14:paraId="4A191ABF">
      <w:pPr>
        <w:spacing w:line="400" w:lineRule="exact"/>
        <w:rPr>
          <w:rFonts w:ascii="Times New Roman" w:hAnsi="Times New Roman"/>
          <w:color w:val="auto"/>
        </w:rPr>
      </w:pPr>
    </w:p>
    <w:p w14:paraId="0F2C7A10">
      <w:pPr>
        <w:spacing w:line="400" w:lineRule="exact"/>
        <w:rPr>
          <w:rFonts w:ascii="Times New Roman" w:hAnsi="Times New Roman"/>
          <w:color w:val="auto"/>
        </w:rPr>
      </w:pPr>
    </w:p>
    <w:p w14:paraId="57DCBAEE">
      <w:pPr>
        <w:spacing w:line="400" w:lineRule="exact"/>
        <w:rPr>
          <w:rFonts w:ascii="Times New Roman" w:hAnsi="Times New Roman"/>
          <w:color w:val="auto"/>
        </w:rPr>
      </w:pPr>
    </w:p>
    <w:p w14:paraId="4D3E2A79">
      <w:pPr>
        <w:spacing w:line="400" w:lineRule="exact"/>
        <w:rPr>
          <w:rFonts w:ascii="Times New Roman" w:hAnsi="Times New Roman"/>
          <w:color w:val="auto"/>
        </w:rPr>
      </w:pPr>
    </w:p>
    <w:p w14:paraId="774F5AD5">
      <w:pPr>
        <w:spacing w:line="400" w:lineRule="exact"/>
        <w:rPr>
          <w:rFonts w:ascii="Times New Roman" w:hAnsi="Times New Roman"/>
          <w:color w:val="auto"/>
        </w:rPr>
      </w:pPr>
    </w:p>
    <w:p w14:paraId="56E4E2A1">
      <w:pPr>
        <w:spacing w:line="400" w:lineRule="exact"/>
        <w:rPr>
          <w:rFonts w:ascii="Times New Roman" w:hAnsi="Times New Roman"/>
          <w:color w:val="auto"/>
        </w:rPr>
      </w:pPr>
    </w:p>
    <w:p w14:paraId="2947C286">
      <w:pPr>
        <w:pStyle w:val="5"/>
        <w:spacing w:before="24" w:after="24"/>
        <w:ind w:firstLine="480"/>
        <w:rPr>
          <w:color w:val="auto"/>
        </w:rPr>
      </w:pPr>
    </w:p>
    <w:p w14:paraId="58492F9C">
      <w:pPr>
        <w:pStyle w:val="5"/>
        <w:spacing w:before="24" w:after="24"/>
        <w:ind w:firstLine="480"/>
        <w:rPr>
          <w:color w:val="auto"/>
        </w:rPr>
      </w:pPr>
    </w:p>
    <w:p w14:paraId="4C6A2508">
      <w:pPr>
        <w:pStyle w:val="5"/>
        <w:spacing w:before="24" w:after="24"/>
        <w:ind w:left="0" w:leftChars="0" w:firstLine="0" w:firstLineChars="0"/>
        <w:rPr>
          <w:color w:val="auto"/>
        </w:rPr>
      </w:pPr>
    </w:p>
    <w:p w14:paraId="34DD02DF">
      <w:pPr>
        <w:pStyle w:val="5"/>
        <w:spacing w:before="24" w:after="24"/>
        <w:ind w:left="0" w:leftChars="0" w:firstLine="0" w:firstLineChars="0"/>
        <w:rPr>
          <w:color w:val="auto"/>
        </w:rPr>
      </w:pPr>
    </w:p>
    <w:p w14:paraId="68131B00">
      <w:pPr>
        <w:spacing w:line="360" w:lineRule="auto"/>
        <w:ind w:firstLine="1800" w:firstLineChars="500"/>
        <w:rPr>
          <w:rFonts w:hint="eastAsia" w:ascii="Times New Roman" w:hAnsi="Times New Roman" w:eastAsia="黑体"/>
          <w:color w:val="auto"/>
          <w:sz w:val="36"/>
          <w:szCs w:val="36"/>
        </w:rPr>
      </w:pPr>
      <w:r>
        <w:rPr>
          <w:rFonts w:hint="eastAsia" w:ascii="Times New Roman" w:hAnsi="Times New Roman" w:eastAsia="黑体"/>
          <w:color w:val="auto"/>
          <w:sz w:val="36"/>
          <w:szCs w:val="36"/>
          <w:lang w:eastAsia="zh-CN"/>
        </w:rPr>
        <w:t>采购人</w:t>
      </w:r>
      <w:r>
        <w:rPr>
          <w:rFonts w:hint="eastAsia" w:ascii="Times New Roman" w:hAnsi="Times New Roman" w:eastAsia="黑体"/>
          <w:color w:val="auto"/>
          <w:sz w:val="36"/>
          <w:szCs w:val="36"/>
        </w:rPr>
        <w:t>：陕西锌业有限公司</w:t>
      </w:r>
    </w:p>
    <w:p w14:paraId="49EEC711">
      <w:pPr>
        <w:spacing w:line="360" w:lineRule="auto"/>
        <w:ind w:firstLine="1800" w:firstLineChars="500"/>
        <w:rPr>
          <w:rFonts w:hint="default" w:ascii="Times New Roman" w:hAnsi="Times New Roman" w:eastAsia="黑体"/>
          <w:color w:val="auto"/>
          <w:sz w:val="36"/>
          <w:szCs w:val="36"/>
          <w:lang w:val="en-US" w:eastAsia="zh-CN"/>
        </w:rPr>
      </w:pPr>
      <w:r>
        <w:rPr>
          <w:rFonts w:hint="eastAsia" w:ascii="Times New Roman" w:hAnsi="Times New Roman" w:eastAsia="黑体"/>
          <w:color w:val="auto"/>
          <w:sz w:val="36"/>
          <w:szCs w:val="36"/>
          <w:lang w:val="en-US" w:eastAsia="zh-CN"/>
        </w:rPr>
        <w:t>负责人：徐靖</w:t>
      </w:r>
    </w:p>
    <w:p w14:paraId="121F61A9">
      <w:pPr>
        <w:spacing w:line="360" w:lineRule="auto"/>
        <w:ind w:firstLine="5760" w:firstLineChars="1800"/>
        <w:jc w:val="both"/>
        <w:rPr>
          <w:rFonts w:hint="eastAsia" w:ascii="Times New Roman" w:hAnsi="Times New Roman" w:eastAsia="黑体"/>
          <w:color w:val="auto"/>
          <w:sz w:val="32"/>
          <w:szCs w:val="32"/>
        </w:rPr>
      </w:pPr>
    </w:p>
    <w:p w14:paraId="3E1B5BCD">
      <w:pPr>
        <w:spacing w:line="360" w:lineRule="auto"/>
        <w:ind w:firstLine="5760" w:firstLineChars="1800"/>
        <w:jc w:val="both"/>
        <w:rPr>
          <w:rFonts w:hint="eastAsia" w:ascii="Times New Roman" w:hAnsi="Times New Roman" w:eastAsia="黑体"/>
          <w:color w:val="auto"/>
          <w:sz w:val="32"/>
          <w:szCs w:val="32"/>
        </w:rPr>
      </w:pPr>
    </w:p>
    <w:p w14:paraId="19563DE9">
      <w:pPr>
        <w:spacing w:line="360" w:lineRule="auto"/>
        <w:ind w:firstLine="2880" w:firstLineChars="900"/>
        <w:jc w:val="both"/>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rPr>
        <w:t>二〇二</w:t>
      </w: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年</w:t>
      </w:r>
      <w:r>
        <w:rPr>
          <w:rFonts w:hint="eastAsia" w:ascii="Times New Roman" w:hAnsi="Times New Roman" w:eastAsia="黑体"/>
          <w:color w:val="auto"/>
          <w:sz w:val="32"/>
          <w:szCs w:val="32"/>
          <w:lang w:val="en-US" w:eastAsia="zh-CN"/>
        </w:rPr>
        <w:t>五月二十日</w:t>
      </w:r>
    </w:p>
    <w:p w14:paraId="61F4A9A3">
      <w:pPr>
        <w:jc w:val="center"/>
        <w:rPr>
          <w:rFonts w:hint="eastAsia" w:ascii="Times New Roman" w:hAnsi="Times New Roman" w:eastAsia="宋体"/>
          <w:color w:val="auto"/>
          <w:sz w:val="32"/>
          <w:szCs w:val="32"/>
          <w:lang w:val="en-US" w:eastAsia="zh-CN"/>
        </w:rPr>
        <w:sectPr>
          <w:headerReference r:id="rId3" w:type="default"/>
          <w:footerReference r:id="rId4" w:type="default"/>
          <w:footerReference r:id="rId5" w:type="even"/>
          <w:pgSz w:w="11905" w:h="16838"/>
          <w:pgMar w:top="1134" w:right="1134" w:bottom="1134" w:left="1417" w:header="720" w:footer="720" w:gutter="0"/>
          <w:pgNumType w:fmt="decimal"/>
          <w:cols w:space="720" w:num="1"/>
          <w:docGrid w:linePitch="285" w:charSpace="0"/>
        </w:sectPr>
      </w:pPr>
    </w:p>
    <w:p w14:paraId="22B849F1">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rPr>
      </w:pPr>
      <w:r>
        <w:rPr>
          <w:rStyle w:val="12"/>
          <w:rFonts w:hint="eastAsia" w:ascii="方正小标宋简体" w:hAnsi="方正小标宋简体" w:eastAsia="方正小标宋简体" w:cs="方正小标宋简体"/>
          <w:b/>
          <w:bCs w:val="0"/>
          <w:i w:val="0"/>
          <w:iCs w:val="0"/>
          <w:caps w:val="0"/>
          <w:color w:val="000000"/>
          <w:spacing w:val="0"/>
          <w:sz w:val="36"/>
          <w:szCs w:val="36"/>
        </w:rPr>
        <w:t>陕西锌业有限公司</w:t>
      </w:r>
    </w:p>
    <w:p w14:paraId="1C7B73AE">
      <w:pPr>
        <w:pStyle w:val="8"/>
        <w:keepNext w:val="0"/>
        <w:keepLines w:val="0"/>
        <w:widowControl/>
        <w:suppressLineNumbers w:val="0"/>
        <w:spacing w:before="0" w:beforeAutospacing="0" w:after="0" w:afterAutospacing="0" w:line="405" w:lineRule="atLeast"/>
        <w:ind w:left="0" w:firstLine="0"/>
        <w:jc w:val="cente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2025年5月</w:t>
      </w:r>
      <w:r>
        <w:rPr>
          <w:rFonts w:hint="eastAsia" w:ascii="Times New Roman" w:hAnsi="Times New Roman" w:eastAsia="黑体"/>
          <w:b/>
          <w:bCs/>
          <w:color w:val="auto"/>
          <w:sz w:val="36"/>
          <w:szCs w:val="36"/>
          <w:highlight w:val="none"/>
          <w:lang w:val="en-US" w:eastAsia="zh-CN"/>
        </w:rPr>
        <w:t>硫酸车间空调</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采购项目</w:t>
      </w:r>
    </w:p>
    <w:p w14:paraId="3716104A">
      <w:pPr>
        <w:pStyle w:val="8"/>
        <w:keepNext w:val="0"/>
        <w:keepLines w:val="0"/>
        <w:widowControl/>
        <w:suppressLineNumbers w:val="0"/>
        <w:spacing w:before="0" w:beforeAutospacing="0" w:after="0" w:afterAutospacing="0" w:line="405" w:lineRule="atLeast"/>
        <w:ind w:left="0" w:firstLine="0"/>
        <w:jc w:val="center"/>
        <w:rPr>
          <w:rFonts w:hint="default" w:ascii="方正小标宋简体" w:hAnsi="方正小标宋简体" w:eastAsia="方正小标宋简体" w:cs="方正小标宋简体"/>
          <w:b/>
          <w:bCs w:val="0"/>
          <w:i w:val="0"/>
          <w:iCs w:val="0"/>
          <w:caps w:val="0"/>
          <w:color w:val="000000"/>
          <w:spacing w:val="0"/>
          <w:sz w:val="36"/>
          <w:szCs w:val="36"/>
          <w:lang w:val="en-US" w:eastAsia="zh-CN"/>
        </w:rPr>
      </w:pPr>
      <w:r>
        <w:rPr>
          <w:rStyle w:val="12"/>
          <w:rFonts w:hint="eastAsia" w:ascii="方正小标宋简体" w:hAnsi="方正小标宋简体" w:eastAsia="方正小标宋简体" w:cs="方正小标宋简体"/>
          <w:b/>
          <w:bCs w:val="0"/>
          <w:i w:val="0"/>
          <w:iCs w:val="0"/>
          <w:caps w:val="0"/>
          <w:color w:val="000000"/>
          <w:spacing w:val="0"/>
          <w:sz w:val="36"/>
          <w:szCs w:val="36"/>
        </w:rPr>
        <w:t>询比采购</w:t>
      </w:r>
      <w:r>
        <w:rPr>
          <w:rStyle w:val="12"/>
          <w:rFonts w:hint="eastAsia" w:ascii="方正小标宋简体" w:hAnsi="方正小标宋简体" w:eastAsia="方正小标宋简体" w:cs="方正小标宋简体"/>
          <w:b/>
          <w:bCs w:val="0"/>
          <w:i w:val="0"/>
          <w:iCs w:val="0"/>
          <w:caps w:val="0"/>
          <w:color w:val="000000"/>
          <w:spacing w:val="0"/>
          <w:sz w:val="36"/>
          <w:szCs w:val="36"/>
          <w:lang w:val="en-US" w:eastAsia="zh-CN"/>
        </w:rPr>
        <w:t>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陕西锌业有限公司</w:t>
      </w:r>
      <w:r>
        <w:rPr>
          <w:rFonts w:hint="eastAsia" w:ascii="仿宋" w:hAnsi="仿宋" w:eastAsia="仿宋" w:cs="仿宋"/>
          <w:i w:val="0"/>
          <w:iCs w:val="0"/>
          <w:caps w:val="0"/>
          <w:color w:val="000000"/>
          <w:spacing w:val="0"/>
          <w:sz w:val="32"/>
          <w:szCs w:val="32"/>
          <w:lang w:val="en-US" w:eastAsia="zh-CN"/>
        </w:rPr>
        <w:t>因生产需要，</w:t>
      </w:r>
      <w:r>
        <w:rPr>
          <w:rFonts w:hint="eastAsia" w:ascii="仿宋" w:hAnsi="仿宋" w:eastAsia="仿宋" w:cs="仿宋"/>
          <w:i w:val="0"/>
          <w:iCs w:val="0"/>
          <w:caps w:val="0"/>
          <w:color w:val="000000"/>
          <w:spacing w:val="0"/>
          <w:sz w:val="32"/>
          <w:szCs w:val="32"/>
        </w:rPr>
        <w:t>拟</w:t>
      </w:r>
      <w:r>
        <w:rPr>
          <w:rFonts w:hint="eastAsia" w:ascii="仿宋" w:hAnsi="仿宋" w:eastAsia="仿宋" w:cs="仿宋"/>
          <w:i w:val="0"/>
          <w:iCs w:val="0"/>
          <w:caps w:val="0"/>
          <w:color w:val="000000"/>
          <w:spacing w:val="0"/>
          <w:sz w:val="32"/>
          <w:szCs w:val="32"/>
          <w:lang w:val="en-US" w:eastAsia="zh-CN"/>
        </w:rPr>
        <w:t>采购</w:t>
      </w:r>
      <w:r>
        <w:rPr>
          <w:rFonts w:hint="eastAsia" w:ascii="宋体" w:hAnsi="宋体" w:eastAsia="宋体" w:cs="宋体"/>
          <w:b/>
          <w:bCs/>
          <w:sz w:val="32"/>
          <w:szCs w:val="32"/>
          <w:lang w:val="en-US" w:eastAsia="zh-CN"/>
        </w:rPr>
        <w:t>空调一批</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按照公司有关规定，拟通过</w:t>
      </w:r>
      <w:r>
        <w:rPr>
          <w:rFonts w:hint="eastAsia" w:ascii="仿宋" w:hAnsi="仿宋" w:eastAsia="仿宋" w:cs="仿宋"/>
          <w:i w:val="0"/>
          <w:iCs w:val="0"/>
          <w:caps w:val="0"/>
          <w:color w:val="000000"/>
          <w:spacing w:val="0"/>
          <w:sz w:val="32"/>
          <w:szCs w:val="32"/>
        </w:rPr>
        <w:t>询比</w:t>
      </w:r>
      <w:r>
        <w:rPr>
          <w:rFonts w:hint="eastAsia" w:ascii="仿宋" w:hAnsi="仿宋" w:eastAsia="仿宋" w:cs="仿宋"/>
          <w:i w:val="0"/>
          <w:iCs w:val="0"/>
          <w:caps w:val="0"/>
          <w:color w:val="000000"/>
          <w:spacing w:val="0"/>
          <w:sz w:val="32"/>
          <w:szCs w:val="32"/>
          <w:lang w:val="en-US" w:eastAsia="zh-CN"/>
        </w:rPr>
        <w:t>方式确定供应商，欢迎</w:t>
      </w:r>
      <w:r>
        <w:rPr>
          <w:rFonts w:hint="eastAsia" w:ascii="仿宋" w:hAnsi="仿宋" w:eastAsia="仿宋" w:cs="仿宋"/>
          <w:i w:val="0"/>
          <w:iCs w:val="0"/>
          <w:caps w:val="0"/>
          <w:color w:val="000000"/>
          <w:spacing w:val="0"/>
          <w:sz w:val="32"/>
          <w:szCs w:val="32"/>
        </w:rPr>
        <w:t>具备相应资质</w:t>
      </w:r>
      <w:r>
        <w:rPr>
          <w:rFonts w:hint="eastAsia" w:ascii="仿宋" w:hAnsi="仿宋" w:eastAsia="仿宋" w:cs="仿宋"/>
          <w:i w:val="0"/>
          <w:iCs w:val="0"/>
          <w:caps w:val="0"/>
          <w:color w:val="000000"/>
          <w:spacing w:val="0"/>
          <w:sz w:val="32"/>
          <w:szCs w:val="32"/>
          <w:lang w:val="en-US" w:eastAsia="zh-CN"/>
        </w:rPr>
        <w:t>及能力</w:t>
      </w:r>
      <w:r>
        <w:rPr>
          <w:rFonts w:hint="eastAsia" w:ascii="仿宋" w:hAnsi="仿宋" w:eastAsia="仿宋" w:cs="仿宋"/>
          <w:i w:val="0"/>
          <w:iCs w:val="0"/>
          <w:caps w:val="0"/>
          <w:color w:val="000000"/>
          <w:spacing w:val="0"/>
          <w:sz w:val="32"/>
          <w:szCs w:val="32"/>
        </w:rPr>
        <w:t>的单位</w:t>
      </w:r>
      <w:r>
        <w:rPr>
          <w:rFonts w:hint="eastAsia" w:ascii="仿宋" w:hAnsi="仿宋" w:eastAsia="仿宋" w:cs="仿宋"/>
          <w:i w:val="0"/>
          <w:iCs w:val="0"/>
          <w:caps w:val="0"/>
          <w:color w:val="000000"/>
          <w:spacing w:val="0"/>
          <w:sz w:val="32"/>
          <w:szCs w:val="32"/>
          <w:lang w:val="en-US" w:eastAsia="zh-CN"/>
        </w:rPr>
        <w:t>参与该项目询比采购</w:t>
      </w:r>
      <w:r>
        <w:rPr>
          <w:rFonts w:hint="eastAsia" w:ascii="仿宋" w:hAnsi="仿宋" w:eastAsia="仿宋" w:cs="仿宋"/>
          <w:i w:val="0"/>
          <w:iCs w:val="0"/>
          <w:caps w:val="0"/>
          <w:color w:val="000000"/>
          <w:spacing w:val="0"/>
          <w:sz w:val="32"/>
          <w:szCs w:val="32"/>
        </w:rPr>
        <w:t>，具体内容如下：</w:t>
      </w:r>
    </w:p>
    <w:p w14:paraId="261AC42F">
      <w:pPr>
        <w:pStyle w:val="3"/>
        <w:pageBreakBefore w:val="0"/>
        <w:widowControl w:val="0"/>
        <w:numPr>
          <w:ilvl w:val="0"/>
          <w:numId w:val="0"/>
        </w:numPr>
        <w:kinsoku/>
        <w:wordWrap/>
        <w:overflowPunct/>
        <w:topLinePunct w:val="0"/>
        <w:autoSpaceDE/>
        <w:autoSpaceDN/>
        <w:bidi w:val="0"/>
        <w:snapToGrid/>
        <w:spacing w:before="0" w:after="0" w:line="500" w:lineRule="exact"/>
        <w:ind w:firstLine="643" w:firstLineChars="200"/>
        <w:jc w:val="both"/>
        <w:rPr>
          <w:rFonts w:hint="default" w:ascii="仿宋" w:hAnsi="仿宋" w:eastAsia="仿宋" w:cs="仿宋"/>
          <w:b/>
          <w:bCs/>
          <w:color w:val="auto"/>
          <w:sz w:val="32"/>
          <w:szCs w:val="32"/>
          <w:lang w:val="en-US"/>
        </w:rPr>
      </w:pPr>
      <w:bookmarkStart w:id="0" w:name="_Toc4593"/>
      <w:bookmarkStart w:id="1" w:name="_Toc20230"/>
      <w:bookmarkStart w:id="2" w:name="_Toc33795775"/>
      <w:bookmarkStart w:id="3" w:name="_Toc14440"/>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lang w:eastAsia="zh-CN"/>
        </w:rPr>
        <w:t>采购项目</w:t>
      </w:r>
      <w:bookmarkEnd w:id="0"/>
      <w:bookmarkEnd w:id="1"/>
      <w:bookmarkEnd w:id="2"/>
      <w:bookmarkEnd w:id="3"/>
      <w:r>
        <w:rPr>
          <w:rFonts w:hint="eastAsia" w:ascii="仿宋" w:hAnsi="仿宋" w:eastAsia="仿宋" w:cs="仿宋"/>
          <w:b/>
          <w:bCs/>
          <w:color w:val="auto"/>
          <w:sz w:val="32"/>
          <w:szCs w:val="32"/>
          <w:lang w:val="en-US" w:eastAsia="zh-CN"/>
        </w:rPr>
        <w:t>基本要求</w:t>
      </w:r>
    </w:p>
    <w:p w14:paraId="49476DD1">
      <w:pPr>
        <w:pStyle w:val="3"/>
        <w:pageBreakBefore w:val="0"/>
        <w:widowControl w:val="0"/>
        <w:numPr>
          <w:ilvl w:val="0"/>
          <w:numId w:val="0"/>
        </w:numPr>
        <w:kinsoku/>
        <w:wordWrap/>
        <w:overflowPunct/>
        <w:topLinePunct w:val="0"/>
        <w:autoSpaceDE/>
        <w:autoSpaceDN/>
        <w:bidi w:val="0"/>
        <w:snapToGrid/>
        <w:spacing w:before="0" w:after="0" w:line="500" w:lineRule="exact"/>
        <w:ind w:firstLine="320" w:firstLineChars="100"/>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（一）采购人：陕西锌业有限公司</w:t>
      </w:r>
    </w:p>
    <w:p w14:paraId="5E91291E">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采购项目</w:t>
      </w:r>
      <w:r>
        <w:rPr>
          <w:rFonts w:hint="eastAsia" w:ascii="仿宋" w:hAnsi="仿宋" w:eastAsia="仿宋" w:cs="仿宋"/>
          <w:color w:val="auto"/>
          <w:sz w:val="32"/>
          <w:szCs w:val="32"/>
        </w:rPr>
        <w:t>名称：</w:t>
      </w:r>
      <w:bookmarkStart w:id="4" w:name="_Toc11471"/>
      <w:bookmarkStart w:id="5" w:name="_Toc7037"/>
      <w:bookmarkStart w:id="6" w:name="_Toc14565"/>
      <w:bookmarkStart w:id="7" w:name="_Toc33795776"/>
      <w:r>
        <w:rPr>
          <w:rFonts w:hint="eastAsia" w:ascii="仿宋" w:hAnsi="仿宋" w:eastAsia="仿宋" w:cs="仿宋"/>
          <w:color w:val="auto"/>
          <w:sz w:val="32"/>
          <w:szCs w:val="32"/>
          <w:lang w:eastAsia="zh-CN"/>
        </w:rPr>
        <w:t>陕西锌业有限公司</w:t>
      </w:r>
      <w:r>
        <w:rPr>
          <w:rFonts w:hint="eastAsia" w:ascii="仿宋" w:hAnsi="仿宋" w:eastAsia="仿宋" w:cs="仿宋"/>
          <w:b/>
          <w:bCs/>
          <w:color w:val="auto"/>
          <w:sz w:val="32"/>
          <w:szCs w:val="32"/>
          <w:lang w:val="en-US" w:eastAsia="zh-CN"/>
        </w:rPr>
        <w:t>5月硫酸车间空调采购项目</w:t>
      </w:r>
      <w:bookmarkEnd w:id="4"/>
      <w:bookmarkEnd w:id="5"/>
      <w:bookmarkEnd w:id="6"/>
      <w:bookmarkEnd w:id="7"/>
      <w:r>
        <w:rPr>
          <w:rFonts w:hint="eastAsia" w:ascii="仿宋" w:hAnsi="仿宋" w:eastAsia="仿宋" w:cs="仿宋"/>
          <w:b/>
          <w:bCs/>
          <w:color w:val="auto"/>
          <w:sz w:val="32"/>
          <w:szCs w:val="32"/>
          <w:lang w:val="en-US" w:eastAsia="zh-CN"/>
        </w:rPr>
        <w:t>。</w:t>
      </w:r>
    </w:p>
    <w:p w14:paraId="720AA228">
      <w:pPr>
        <w:spacing w:line="440" w:lineRule="exact"/>
        <w:ind w:firstLine="640" w:firstLineChars="20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交货时间</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2025年 5月 30 日前到货，</w:t>
      </w:r>
      <w:r>
        <w:rPr>
          <w:rFonts w:hint="eastAsia" w:ascii="仿宋" w:hAnsi="仿宋" w:eastAsia="仿宋" w:cs="仿宋"/>
          <w:color w:val="auto"/>
          <w:sz w:val="32"/>
          <w:szCs w:val="32"/>
        </w:rPr>
        <w:t>不能按期交货的，在报价单中注明实际交货期。</w:t>
      </w:r>
    </w:p>
    <w:p w14:paraId="552C74E7">
      <w:pPr>
        <w:pageBreakBefore w:val="0"/>
        <w:widowControl w:val="0"/>
        <w:kinsoku/>
        <w:wordWrap/>
        <w:overflowPunct/>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（四）交货地点：采购方指定生产区库房。</w:t>
      </w:r>
    </w:p>
    <w:p w14:paraId="555CD9B0">
      <w:pPr>
        <w:pageBreakBefore w:val="0"/>
        <w:widowControl w:val="0"/>
        <w:kinsoku/>
        <w:wordWrap/>
        <w:overflowPunct/>
        <w:topLinePunct w:val="0"/>
        <w:autoSpaceDE/>
        <w:autoSpaceDN/>
        <w:bidi w:val="0"/>
        <w:snapToGrid/>
        <w:spacing w:line="500" w:lineRule="exact"/>
        <w:ind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（五）采购货物一览表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25"/>
        <w:gridCol w:w="3243"/>
        <w:gridCol w:w="673"/>
        <w:gridCol w:w="664"/>
        <w:gridCol w:w="964"/>
        <w:gridCol w:w="1094"/>
      </w:tblGrid>
      <w:tr w14:paraId="16D7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159CDA5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25" w:type="dxa"/>
            <w:vAlign w:val="center"/>
          </w:tcPr>
          <w:p w14:paraId="7A4A1A3D">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243" w:type="dxa"/>
            <w:vAlign w:val="center"/>
          </w:tcPr>
          <w:p w14:paraId="5D5E6A9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195DF275">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2B25D9A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5AA37999">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3CFF2D0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BCD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65554992">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25" w:type="dxa"/>
            <w:vAlign w:val="center"/>
          </w:tcPr>
          <w:p w14:paraId="11FB64D4">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空调</w:t>
            </w:r>
          </w:p>
        </w:tc>
        <w:tc>
          <w:tcPr>
            <w:tcW w:w="3243" w:type="dxa"/>
            <w:vAlign w:val="center"/>
          </w:tcPr>
          <w:p w14:paraId="2C717B6C">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3P柜机，能效等级国家新一级，含辅材、安装费，每台含角铁支架一付、铜管额外加2米，报价品牌格力空调。</w:t>
            </w:r>
          </w:p>
        </w:tc>
        <w:tc>
          <w:tcPr>
            <w:tcW w:w="673" w:type="dxa"/>
            <w:vAlign w:val="center"/>
          </w:tcPr>
          <w:p w14:paraId="5A6AD4C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664" w:type="dxa"/>
            <w:vAlign w:val="center"/>
          </w:tcPr>
          <w:p w14:paraId="0CC0BE9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64" w:type="dxa"/>
            <w:vAlign w:val="center"/>
          </w:tcPr>
          <w:p w14:paraId="708085C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42611D0B">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E7A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3084C4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225" w:type="dxa"/>
            <w:vAlign w:val="center"/>
          </w:tcPr>
          <w:p w14:paraId="2029D2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43" w:type="dxa"/>
            <w:vAlign w:val="top"/>
          </w:tcPr>
          <w:p w14:paraId="6215BA57">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5A24E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6D692C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4ED8C78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57C125E4">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7B26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717866BE">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备注：按要求品牌报价，否则报价无效。</w:t>
            </w:r>
          </w:p>
        </w:tc>
      </w:tr>
    </w:tbl>
    <w:p w14:paraId="4DA6DC3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质量</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14:paraId="771E00B1">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lang w:val="en-US" w:eastAsia="zh-CN"/>
        </w:rPr>
        <w:t>1、产品的设计及制造必须严格按照最新行业标准执行，</w:t>
      </w:r>
      <w:r>
        <w:rPr>
          <w:rFonts w:hint="eastAsia" w:ascii="仿宋" w:hAnsi="仿宋" w:eastAsia="仿宋" w:cs="仿宋"/>
          <w:color w:val="auto"/>
          <w:sz w:val="32"/>
          <w:szCs w:val="32"/>
          <w:highlight w:val="none"/>
        </w:rPr>
        <w:t>质量符合国标要求。</w:t>
      </w:r>
    </w:p>
    <w:p w14:paraId="716A8607">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所供产品必须有合格证、</w:t>
      </w:r>
      <w:r>
        <w:rPr>
          <w:rFonts w:hint="eastAsia" w:ascii="仿宋" w:hAnsi="仿宋" w:eastAsia="仿宋" w:cs="仿宋"/>
          <w:color w:val="auto"/>
          <w:sz w:val="32"/>
          <w:szCs w:val="32"/>
          <w:lang w:eastAsia="zh-CN"/>
        </w:rPr>
        <w:t>使用</w:t>
      </w:r>
      <w:r>
        <w:rPr>
          <w:rFonts w:hint="eastAsia" w:ascii="仿宋" w:hAnsi="仿宋" w:eastAsia="仿宋" w:cs="仿宋"/>
          <w:color w:val="auto"/>
          <w:sz w:val="32"/>
          <w:szCs w:val="32"/>
        </w:rPr>
        <w:t>说明书</w:t>
      </w:r>
      <w:r>
        <w:rPr>
          <w:rFonts w:hint="eastAsia" w:ascii="仿宋" w:hAnsi="仿宋" w:eastAsia="仿宋" w:cs="仿宋"/>
          <w:color w:val="auto"/>
          <w:sz w:val="32"/>
          <w:szCs w:val="32"/>
          <w:lang w:eastAsia="zh-CN"/>
        </w:rPr>
        <w:t>、出厂质量检验报告单</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否则按不合格品对待</w:t>
      </w:r>
      <w:r>
        <w:rPr>
          <w:rFonts w:hint="eastAsia" w:ascii="仿宋" w:hAnsi="仿宋" w:eastAsia="仿宋" w:cs="仿宋"/>
          <w:color w:val="auto"/>
          <w:sz w:val="32"/>
          <w:szCs w:val="32"/>
          <w:lang w:eastAsia="zh-CN"/>
        </w:rPr>
        <w:t>。</w:t>
      </w:r>
    </w:p>
    <w:p w14:paraId="0F9A895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质量保证期：</w:t>
      </w:r>
      <w:r>
        <w:rPr>
          <w:rFonts w:hint="eastAsia" w:ascii="仿宋" w:hAnsi="仿宋" w:eastAsia="仿宋" w:cs="仿宋"/>
          <w:sz w:val="32"/>
          <w:szCs w:val="32"/>
        </w:rPr>
        <w:t>质保期壹年，在质保期内出现货</w:t>
      </w:r>
      <w:r>
        <w:rPr>
          <w:rFonts w:hint="eastAsia" w:ascii="仿宋" w:hAnsi="仿宋" w:eastAsia="仿宋" w:cs="仿宋"/>
          <w:sz w:val="32"/>
          <w:szCs w:val="32"/>
          <w:lang w:val="en-US" w:eastAsia="zh-CN"/>
        </w:rPr>
        <w:t>物</w:t>
      </w:r>
      <w:r>
        <w:rPr>
          <w:rFonts w:hint="eastAsia" w:ascii="仿宋" w:hAnsi="仿宋" w:eastAsia="仿宋" w:cs="仿宋"/>
          <w:sz w:val="32"/>
          <w:szCs w:val="32"/>
        </w:rPr>
        <w:t>质量问题</w:t>
      </w:r>
      <w:r>
        <w:rPr>
          <w:rFonts w:hint="eastAsia" w:ascii="仿宋" w:hAnsi="仿宋" w:eastAsia="仿宋" w:cs="仿宋"/>
          <w:sz w:val="32"/>
          <w:szCs w:val="32"/>
          <w:lang w:val="en-US" w:eastAsia="zh-CN"/>
        </w:rPr>
        <w:t>供方</w:t>
      </w:r>
      <w:r>
        <w:rPr>
          <w:rFonts w:hint="eastAsia" w:ascii="仿宋" w:hAnsi="仿宋" w:eastAsia="仿宋" w:cs="仿宋"/>
          <w:sz w:val="32"/>
          <w:szCs w:val="32"/>
        </w:rPr>
        <w:t>无条件退换，如因</w:t>
      </w:r>
      <w:r>
        <w:rPr>
          <w:rFonts w:hint="eastAsia" w:ascii="仿宋" w:hAnsi="仿宋" w:eastAsia="仿宋" w:cs="仿宋"/>
          <w:sz w:val="32"/>
          <w:szCs w:val="32"/>
          <w:lang w:val="en-US" w:eastAsia="zh-CN"/>
        </w:rPr>
        <w:t>货物</w:t>
      </w:r>
      <w:r>
        <w:rPr>
          <w:rFonts w:hint="eastAsia" w:ascii="仿宋" w:hAnsi="仿宋" w:eastAsia="仿宋" w:cs="仿宋"/>
          <w:sz w:val="32"/>
          <w:szCs w:val="32"/>
        </w:rPr>
        <w:t>质量问题给</w:t>
      </w:r>
      <w:r>
        <w:rPr>
          <w:rFonts w:hint="eastAsia" w:ascii="仿宋" w:hAnsi="仿宋" w:eastAsia="仿宋" w:cs="仿宋"/>
          <w:sz w:val="32"/>
          <w:szCs w:val="32"/>
          <w:lang w:val="en-US" w:eastAsia="zh-CN"/>
        </w:rPr>
        <w:t>采购人</w:t>
      </w:r>
      <w:r>
        <w:rPr>
          <w:rFonts w:hint="eastAsia" w:ascii="仿宋" w:hAnsi="仿宋" w:eastAsia="仿宋" w:cs="仿宋"/>
          <w:sz w:val="32"/>
          <w:szCs w:val="32"/>
        </w:rPr>
        <w:t>造成损失的，供货方应承担相应的</w:t>
      </w:r>
      <w:r>
        <w:rPr>
          <w:rFonts w:hint="eastAsia" w:ascii="仿宋" w:hAnsi="仿宋" w:eastAsia="仿宋" w:cs="仿宋"/>
          <w:sz w:val="32"/>
          <w:szCs w:val="32"/>
          <w:lang w:val="en-US" w:eastAsia="zh-CN"/>
        </w:rPr>
        <w:t>赔偿</w:t>
      </w:r>
      <w:r>
        <w:rPr>
          <w:rFonts w:hint="eastAsia" w:ascii="仿宋" w:hAnsi="仿宋" w:eastAsia="仿宋" w:cs="仿宋"/>
          <w:sz w:val="32"/>
          <w:szCs w:val="32"/>
        </w:rPr>
        <w:t>责任。</w:t>
      </w:r>
    </w:p>
    <w:p w14:paraId="2E995A5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bookmarkStart w:id="8" w:name="_Toc14688"/>
      <w:bookmarkStart w:id="9" w:name="_Toc14196"/>
      <w:bookmarkStart w:id="10" w:name="_Toc33795778"/>
      <w:bookmarkStart w:id="11" w:name="_Toc29895"/>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七</w:t>
      </w:r>
      <w:r>
        <w:rPr>
          <w:rFonts w:hint="eastAsia" w:ascii="仿宋" w:hAnsi="仿宋" w:eastAsia="仿宋" w:cs="仿宋"/>
          <w:bCs/>
          <w:color w:val="auto"/>
          <w:sz w:val="32"/>
          <w:szCs w:val="32"/>
          <w:lang w:eastAsia="zh-CN"/>
        </w:rPr>
        <w:t>）运输方式及到达站港和费用负担：汽车运输，</w:t>
      </w:r>
      <w:r>
        <w:rPr>
          <w:rFonts w:hint="eastAsia" w:ascii="仿宋" w:hAnsi="仿宋" w:eastAsia="仿宋" w:cs="仿宋"/>
          <w:bCs/>
          <w:color w:val="auto"/>
          <w:sz w:val="32"/>
          <w:szCs w:val="32"/>
          <w:lang w:val="en-US" w:eastAsia="zh-CN"/>
        </w:rPr>
        <w:t>包装。</w:t>
      </w:r>
      <w:r>
        <w:rPr>
          <w:rFonts w:hint="eastAsia" w:ascii="仿宋" w:hAnsi="仿宋" w:eastAsia="仿宋" w:cs="仿宋"/>
          <w:bCs/>
          <w:color w:val="auto"/>
          <w:sz w:val="32"/>
          <w:szCs w:val="32"/>
          <w:lang w:eastAsia="zh-CN"/>
        </w:rPr>
        <w:t>运输费用由</w:t>
      </w:r>
      <w:r>
        <w:rPr>
          <w:rFonts w:hint="eastAsia" w:ascii="仿宋" w:hAnsi="仿宋" w:eastAsia="仿宋" w:cs="仿宋"/>
          <w:bCs/>
          <w:color w:val="auto"/>
          <w:sz w:val="32"/>
          <w:szCs w:val="32"/>
          <w:lang w:val="en-US" w:eastAsia="zh-CN"/>
        </w:rPr>
        <w:t>供方</w:t>
      </w:r>
      <w:r>
        <w:rPr>
          <w:rFonts w:hint="eastAsia" w:ascii="仿宋" w:hAnsi="仿宋" w:eastAsia="仿宋" w:cs="仿宋"/>
          <w:bCs/>
          <w:color w:val="auto"/>
          <w:sz w:val="32"/>
          <w:szCs w:val="32"/>
          <w:lang w:eastAsia="zh-CN"/>
        </w:rPr>
        <w:t>承担，运输车辆</w:t>
      </w:r>
      <w:r>
        <w:rPr>
          <w:rFonts w:hint="eastAsia" w:ascii="仿宋" w:hAnsi="仿宋" w:eastAsia="仿宋" w:cs="仿宋"/>
          <w:bCs/>
          <w:color w:val="auto"/>
          <w:sz w:val="32"/>
          <w:szCs w:val="32"/>
          <w:lang w:val="en-US" w:eastAsia="zh-CN"/>
        </w:rPr>
        <w:t>应</w:t>
      </w:r>
      <w:r>
        <w:rPr>
          <w:rFonts w:hint="eastAsia" w:ascii="仿宋" w:hAnsi="仿宋" w:eastAsia="仿宋" w:cs="仿宋"/>
          <w:bCs/>
          <w:color w:val="auto"/>
          <w:sz w:val="32"/>
          <w:szCs w:val="32"/>
          <w:lang w:eastAsia="zh-CN"/>
        </w:rPr>
        <w:t>加装符合国家安全管理需要的防火安全设备，如灭火器、防火罩等，否则不</w:t>
      </w:r>
      <w:r>
        <w:rPr>
          <w:rFonts w:hint="eastAsia" w:ascii="仿宋" w:hAnsi="仿宋" w:eastAsia="仿宋" w:cs="仿宋"/>
          <w:bCs/>
          <w:color w:val="auto"/>
          <w:sz w:val="32"/>
          <w:szCs w:val="32"/>
          <w:lang w:val="en-US" w:eastAsia="zh-CN"/>
        </w:rPr>
        <w:t>得</w:t>
      </w:r>
      <w:r>
        <w:rPr>
          <w:rFonts w:hint="eastAsia" w:ascii="仿宋" w:hAnsi="仿宋" w:eastAsia="仿宋" w:cs="仿宋"/>
          <w:bCs/>
          <w:color w:val="auto"/>
          <w:sz w:val="32"/>
          <w:szCs w:val="32"/>
          <w:lang w:eastAsia="zh-CN"/>
        </w:rPr>
        <w:t>进入采购</w:t>
      </w:r>
      <w:r>
        <w:rPr>
          <w:rFonts w:hint="eastAsia" w:ascii="仿宋" w:hAnsi="仿宋" w:eastAsia="仿宋" w:cs="仿宋"/>
          <w:bCs/>
          <w:color w:val="auto"/>
          <w:sz w:val="32"/>
          <w:szCs w:val="32"/>
          <w:lang w:val="en-US" w:eastAsia="zh-CN"/>
        </w:rPr>
        <w:t>人</w:t>
      </w:r>
      <w:r>
        <w:rPr>
          <w:rFonts w:hint="eastAsia" w:ascii="仿宋" w:hAnsi="仿宋" w:eastAsia="仿宋" w:cs="仿宋"/>
          <w:bCs/>
          <w:color w:val="auto"/>
          <w:sz w:val="32"/>
          <w:szCs w:val="32"/>
          <w:lang w:eastAsia="zh-CN"/>
        </w:rPr>
        <w:t>厂内。</w:t>
      </w:r>
    </w:p>
    <w:p w14:paraId="3E41647C">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八</w:t>
      </w:r>
      <w:r>
        <w:rPr>
          <w:rFonts w:hint="eastAsia" w:ascii="仿宋" w:hAnsi="仿宋" w:eastAsia="仿宋" w:cs="仿宋"/>
          <w:bCs/>
          <w:color w:val="auto"/>
          <w:sz w:val="32"/>
          <w:szCs w:val="32"/>
          <w:lang w:eastAsia="zh-CN"/>
        </w:rPr>
        <w:t>）包装标准，包装物的供应及回收：</w:t>
      </w:r>
      <w:r>
        <w:rPr>
          <w:rFonts w:hint="eastAsia" w:ascii="仿宋" w:hAnsi="仿宋" w:eastAsia="仿宋" w:cs="仿宋"/>
          <w:bCs/>
          <w:color w:val="auto"/>
          <w:sz w:val="32"/>
          <w:szCs w:val="32"/>
          <w:lang w:val="en-US" w:eastAsia="zh-CN"/>
        </w:rPr>
        <w:t>标准包装，包装物不回收</w:t>
      </w:r>
      <w:r>
        <w:rPr>
          <w:rFonts w:hint="eastAsia" w:ascii="仿宋" w:hAnsi="仿宋" w:eastAsia="仿宋" w:cs="仿宋"/>
          <w:bCs/>
          <w:color w:val="auto"/>
          <w:sz w:val="32"/>
          <w:szCs w:val="32"/>
          <w:lang w:eastAsia="zh-CN"/>
        </w:rPr>
        <w:t>。</w:t>
      </w:r>
    </w:p>
    <w:p w14:paraId="2B1A426D">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九</w:t>
      </w:r>
      <w:r>
        <w:rPr>
          <w:rFonts w:hint="eastAsia" w:ascii="仿宋" w:hAnsi="仿宋" w:eastAsia="仿宋" w:cs="仿宋"/>
          <w:bCs/>
          <w:color w:val="auto"/>
          <w:sz w:val="32"/>
          <w:szCs w:val="32"/>
          <w:lang w:eastAsia="zh-CN"/>
        </w:rPr>
        <w:t>）验收标准、方法：依据本</w:t>
      </w:r>
      <w:r>
        <w:rPr>
          <w:rFonts w:hint="eastAsia" w:ascii="仿宋" w:hAnsi="仿宋" w:eastAsia="仿宋" w:cs="仿宋"/>
          <w:bCs/>
          <w:color w:val="auto"/>
          <w:sz w:val="32"/>
          <w:szCs w:val="32"/>
          <w:lang w:val="en-US" w:eastAsia="zh-CN"/>
        </w:rPr>
        <w:t>条</w:t>
      </w:r>
      <w:r>
        <w:rPr>
          <w:rFonts w:hint="eastAsia" w:ascii="仿宋" w:hAnsi="仿宋" w:eastAsia="仿宋" w:cs="仿宋"/>
          <w:bCs/>
          <w:color w:val="auto"/>
          <w:sz w:val="32"/>
          <w:szCs w:val="32"/>
          <w:lang w:eastAsia="zh-CN"/>
        </w:rPr>
        <w:t>第</w:t>
      </w:r>
      <w:r>
        <w:rPr>
          <w:rFonts w:hint="eastAsia" w:ascii="仿宋" w:hAnsi="仿宋" w:eastAsia="仿宋" w:cs="仿宋"/>
          <w:bCs/>
          <w:color w:val="auto"/>
          <w:sz w:val="32"/>
          <w:szCs w:val="32"/>
          <w:lang w:val="en-US" w:eastAsia="zh-CN"/>
        </w:rPr>
        <w:t>五款质量标准</w:t>
      </w:r>
      <w:r>
        <w:rPr>
          <w:rFonts w:hint="eastAsia" w:ascii="仿宋" w:hAnsi="仿宋" w:eastAsia="仿宋" w:cs="仿宋"/>
          <w:bCs/>
          <w:color w:val="auto"/>
          <w:sz w:val="32"/>
          <w:szCs w:val="32"/>
          <w:lang w:eastAsia="zh-CN"/>
        </w:rPr>
        <w:t>验收。</w:t>
      </w:r>
    </w:p>
    <w:p w14:paraId="5CDEE26A">
      <w:pPr>
        <w:keepNext w:val="0"/>
        <w:keepLines w:val="0"/>
        <w:pageBreakBefore w:val="0"/>
        <w:widowControl w:val="0"/>
        <w:kinsoku/>
        <w:wordWrap/>
        <w:overflowPunct/>
        <w:topLinePunct w:val="0"/>
        <w:autoSpaceDE/>
        <w:autoSpaceDN/>
        <w:bidi w:val="0"/>
        <w:adjustRightInd/>
        <w:snapToGrid/>
        <w:spacing w:line="500" w:lineRule="exact"/>
        <w:ind w:firstLine="320" w:firstLineChars="100"/>
        <w:jc w:val="left"/>
        <w:textAlignment w:val="auto"/>
        <w:rPr>
          <w:rFonts w:hint="eastAsia" w:ascii="仿宋" w:hAnsi="仿宋" w:eastAsia="仿宋" w:cs="仿宋"/>
          <w:sz w:val="24"/>
          <w:szCs w:val="24"/>
          <w:u w:val="none"/>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w:t>
      </w:r>
      <w:r>
        <w:rPr>
          <w:rFonts w:hint="eastAsia" w:ascii="仿宋" w:hAnsi="仿宋" w:eastAsia="仿宋" w:cs="仿宋"/>
          <w:color w:val="auto"/>
          <w:sz w:val="32"/>
          <w:szCs w:val="32"/>
          <w:lang w:eastAsia="zh-CN"/>
        </w:rPr>
        <w:t>）付款方式：</w:t>
      </w:r>
      <w:r>
        <w:rPr>
          <w:rFonts w:hint="eastAsia" w:ascii="仿宋" w:hAnsi="仿宋" w:eastAsia="仿宋" w:cs="仿宋"/>
          <w:sz w:val="30"/>
          <w:szCs w:val="30"/>
          <w:u w:val="none"/>
        </w:rPr>
        <w:t>合同生效后，货到需方</w:t>
      </w:r>
      <w:r>
        <w:rPr>
          <w:rFonts w:hint="eastAsia" w:ascii="仿宋" w:hAnsi="仿宋" w:eastAsia="仿宋" w:cs="仿宋"/>
          <w:sz w:val="30"/>
          <w:szCs w:val="30"/>
          <w:u w:val="none"/>
          <w:lang w:val="en-US" w:eastAsia="zh-CN"/>
        </w:rPr>
        <w:t>安装使用</w:t>
      </w:r>
      <w:r>
        <w:rPr>
          <w:rFonts w:hint="eastAsia" w:ascii="仿宋" w:hAnsi="仿宋" w:eastAsia="仿宋" w:cs="仿宋"/>
          <w:sz w:val="30"/>
          <w:szCs w:val="30"/>
          <w:u w:val="none"/>
        </w:rPr>
        <w:t>初验合格，供方开具全额增值税发票后</w:t>
      </w:r>
      <w:r>
        <w:rPr>
          <w:rFonts w:hint="eastAsia" w:ascii="仿宋" w:hAnsi="仿宋" w:eastAsia="仿宋" w:cs="仿宋"/>
          <w:sz w:val="30"/>
          <w:szCs w:val="30"/>
          <w:u w:val="none"/>
          <w:lang w:val="en-US" w:eastAsia="zh-CN"/>
        </w:rPr>
        <w:t>一个月内</w:t>
      </w:r>
      <w:r>
        <w:rPr>
          <w:rFonts w:hint="eastAsia" w:ascii="仿宋" w:hAnsi="仿宋" w:eastAsia="仿宋" w:cs="仿宋"/>
          <w:sz w:val="30"/>
          <w:szCs w:val="30"/>
          <w:u w:val="none"/>
        </w:rPr>
        <w:t>需方支付合同</w:t>
      </w:r>
      <w:r>
        <w:rPr>
          <w:rFonts w:hint="eastAsia" w:ascii="仿宋" w:hAnsi="仿宋" w:eastAsia="仿宋" w:cs="仿宋"/>
          <w:sz w:val="30"/>
          <w:szCs w:val="30"/>
          <w:u w:val="none"/>
          <w:lang w:val="en-US" w:eastAsia="zh-CN"/>
        </w:rPr>
        <w:t>全</w:t>
      </w:r>
      <w:r>
        <w:rPr>
          <w:rFonts w:hint="eastAsia" w:ascii="仿宋" w:hAnsi="仿宋" w:eastAsia="仿宋" w:cs="仿宋"/>
          <w:sz w:val="30"/>
          <w:szCs w:val="30"/>
          <w:u w:val="none"/>
        </w:rPr>
        <w:t>额</w:t>
      </w:r>
      <w:r>
        <w:rPr>
          <w:rFonts w:hint="eastAsia" w:ascii="仿宋" w:hAnsi="仿宋" w:eastAsia="仿宋" w:cs="仿宋"/>
          <w:sz w:val="30"/>
          <w:szCs w:val="30"/>
          <w:u w:val="none"/>
          <w:lang w:eastAsia="zh-CN"/>
        </w:rPr>
        <w:t>。</w:t>
      </w:r>
    </w:p>
    <w:p w14:paraId="60C100EC">
      <w:pPr>
        <w:keepNext w:val="0"/>
        <w:keepLines w:val="0"/>
        <w:pageBreakBefore w:val="0"/>
        <w:widowControl w:val="0"/>
        <w:kinsoku/>
        <w:wordWrap/>
        <w:overflowPunct w:val="0"/>
        <w:topLinePunct w:val="0"/>
        <w:autoSpaceDE/>
        <w:autoSpaceDN/>
        <w:bidi w:val="0"/>
        <w:snapToGrid/>
        <w:spacing w:line="500" w:lineRule="exact"/>
        <w:ind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十一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资格和履约能力要求</w:t>
      </w:r>
      <w:bookmarkEnd w:id="8"/>
      <w:bookmarkEnd w:id="9"/>
      <w:bookmarkEnd w:id="10"/>
      <w:bookmarkEnd w:id="11"/>
      <w:r>
        <w:rPr>
          <w:rFonts w:hint="eastAsia" w:ascii="仿宋" w:hAnsi="仿宋" w:eastAsia="仿宋" w:cs="仿宋"/>
          <w:color w:val="auto"/>
          <w:sz w:val="32"/>
          <w:szCs w:val="32"/>
          <w:lang w:eastAsia="zh-CN"/>
        </w:rPr>
        <w:t>：</w:t>
      </w:r>
    </w:p>
    <w:p w14:paraId="5B60F80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资质要求：</w:t>
      </w:r>
    </w:p>
    <w:p w14:paraId="497B0189">
      <w:pPr>
        <w:keepNext w:val="0"/>
        <w:keepLines w:val="0"/>
        <w:pageBreakBefore w:val="0"/>
        <w:widowControl w:val="0"/>
        <w:suppressLineNumbers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（1）供应商须为中华人民共和国境内依法注册的法人或者其他组织，有能力完成本项目的厂家或经销商，具备合法的营业执照</w:t>
      </w:r>
      <w:r>
        <w:rPr>
          <w:rFonts w:hint="eastAsia" w:ascii="仿宋" w:hAnsi="仿宋" w:eastAsia="仿宋" w:cs="仿宋"/>
          <w:i w:val="0"/>
          <w:iCs w:val="0"/>
          <w:caps w:val="0"/>
          <w:color w:val="000000"/>
          <w:spacing w:val="0"/>
          <w:sz w:val="32"/>
          <w:szCs w:val="32"/>
          <w:lang w:eastAsia="zh-CN"/>
        </w:rPr>
        <w:t>。</w:t>
      </w:r>
    </w:p>
    <w:p w14:paraId="3AC37DC1">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（2）供应商已取得陕西锌业有限公司供应商库该类产品入库供应商资格。</w:t>
      </w:r>
    </w:p>
    <w:p w14:paraId="23FDE82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信用要求：</w:t>
      </w:r>
    </w:p>
    <w:p w14:paraId="075C4629">
      <w:pPr>
        <w:keepNext w:val="0"/>
        <w:keepLines w:val="0"/>
        <w:pageBreakBefore w:val="0"/>
        <w:widowControl w:val="0"/>
        <w:numPr>
          <w:ilvl w:val="0"/>
          <w:numId w:val="0"/>
        </w:numPr>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（1）供应商具有良好的银行资信和商业信誉，没有处于被责令停业、财产被接管、冻结、破产状态（附承诺书）；</w:t>
      </w:r>
    </w:p>
    <w:p w14:paraId="4137B41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（2）供应商不得在“信用中国-中国执行信息公开网”被列为失信被执行人；</w:t>
      </w:r>
    </w:p>
    <w:p w14:paraId="02B41E1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业绩要求：</w:t>
      </w:r>
      <w:r>
        <w:rPr>
          <w:rFonts w:hint="eastAsia" w:ascii="仿宋" w:hAnsi="仿宋" w:eastAsia="仿宋" w:cs="仿宋"/>
          <w:color w:val="auto"/>
          <w:sz w:val="32"/>
          <w:szCs w:val="32"/>
          <w:lang w:val="en-US" w:eastAsia="zh-CN"/>
        </w:rPr>
        <w:t>供应商2022年3月至今具有类似业绩（提供合同复印件，时间以合同签订时间为准）；</w:t>
      </w:r>
    </w:p>
    <w:p w14:paraId="19EF910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4.联合体响应：本项目不接受联合体响应。</w:t>
      </w:r>
    </w:p>
    <w:p w14:paraId="709819D8">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其他要求：</w:t>
      </w:r>
    </w:p>
    <w:p w14:paraId="421E03D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不得存在下列情形之一：</w:t>
      </w:r>
    </w:p>
    <w:p w14:paraId="1258E72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存在利害关系可能影响</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公正性；</w:t>
      </w:r>
    </w:p>
    <w:p w14:paraId="4EC6EBDA">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法定代表人（单位负责人）为同一人或者存在控股、管理关系的不同法人或其他组织同时参加</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w:t>
      </w:r>
    </w:p>
    <w:p w14:paraId="5DDC30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被依法暂停或者取消</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 xml:space="preserve">资格； </w:t>
      </w:r>
    </w:p>
    <w:p w14:paraId="6B0157C2">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被责令停产停业、暂扣或者吊销许可证、暂扣或者吊销执照；</w:t>
      </w:r>
    </w:p>
    <w:p w14:paraId="158B41A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进入清算程序，或被宣告破产，或其他丧失履约能力的情形；</w:t>
      </w:r>
    </w:p>
    <w:p w14:paraId="356C0F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在最近三年内发生重大产品质量问题；</w:t>
      </w:r>
    </w:p>
    <w:p w14:paraId="355D2850">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法律法规规定的其他情形。</w:t>
      </w:r>
    </w:p>
    <w:p w14:paraId="7F7034B1">
      <w:pPr>
        <w:keepNext w:val="0"/>
        <w:keepLines w:val="0"/>
        <w:pageBreakBefore w:val="0"/>
        <w:widowControl w:val="0"/>
        <w:kinsoku/>
        <w:wordWrap/>
        <w:overflowPunct w:val="0"/>
        <w:topLinePunct w:val="0"/>
        <w:autoSpaceDE/>
        <w:autoSpaceDN/>
        <w:bidi w:val="0"/>
        <w:snapToGrid/>
        <w:spacing w:line="500" w:lineRule="exact"/>
        <w:ind w:firstLine="321" w:firstLineChars="1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lang w:eastAsia="zh-CN"/>
        </w:rPr>
        <w:t>询比采购文件的获取</w:t>
      </w:r>
    </w:p>
    <w:p w14:paraId="1253DBE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询比采购文件在陕西锌业有限公司网络询比采购平台（www.sxxyjjpt.com）发布，符合条件的供应商可自行下载采购文件。</w:t>
      </w:r>
    </w:p>
    <w:p w14:paraId="5C132F42">
      <w:pPr>
        <w:keepNext w:val="0"/>
        <w:keepLines w:val="0"/>
        <w:pageBreakBefore w:val="0"/>
        <w:widowControl w:val="0"/>
        <w:kinsoku/>
        <w:wordWrap/>
        <w:overflowPunct w:val="0"/>
        <w:topLinePunct w:val="0"/>
        <w:autoSpaceDE/>
        <w:autoSpaceDN/>
        <w:bidi w:val="0"/>
        <w:snapToGrid/>
        <w:spacing w:line="500" w:lineRule="exact"/>
        <w:ind w:left="0" w:firstLine="321" w:firstLineChars="100"/>
        <w:jc w:val="both"/>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val="en-US" w:eastAsia="zh-CN"/>
        </w:rPr>
        <w:t>三、供应商</w:t>
      </w:r>
      <w:r>
        <w:rPr>
          <w:rFonts w:hint="eastAsia" w:ascii="仿宋" w:hAnsi="仿宋" w:eastAsia="仿宋" w:cs="仿宋"/>
          <w:b/>
          <w:bCs/>
          <w:color w:val="auto"/>
          <w:sz w:val="32"/>
          <w:szCs w:val="32"/>
          <w:lang w:eastAsia="zh-CN"/>
        </w:rPr>
        <w:t>响应</w:t>
      </w:r>
    </w:p>
    <w:p w14:paraId="5B0E4D7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（一）响应报价</w:t>
      </w:r>
    </w:p>
    <w:p w14:paraId="795628B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w:t>
      </w:r>
      <w:r>
        <w:rPr>
          <w:rFonts w:hint="eastAsia" w:ascii="仿宋" w:hAnsi="仿宋" w:eastAsia="仿宋" w:cs="仿宋"/>
          <w:color w:val="auto"/>
          <w:sz w:val="32"/>
          <w:szCs w:val="32"/>
          <w:lang w:val="en-US" w:eastAsia="zh-CN"/>
        </w:rPr>
        <w:t>按</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格式”要求在</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中进行报价并填写</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lang w:val="en-US" w:eastAsia="zh-CN"/>
        </w:rPr>
        <w:t>的分项报价</w:t>
      </w:r>
      <w:r>
        <w:rPr>
          <w:rFonts w:hint="eastAsia" w:ascii="仿宋" w:hAnsi="仿宋" w:eastAsia="仿宋" w:cs="仿宋"/>
          <w:color w:val="auto"/>
          <w:sz w:val="32"/>
          <w:szCs w:val="32"/>
        </w:rPr>
        <w:t>表。</w:t>
      </w:r>
    </w:p>
    <w:p w14:paraId="6B46CF0F">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sz w:val="32"/>
          <w:szCs w:val="32"/>
          <w:highlight w:val="none"/>
        </w:rPr>
      </w:pPr>
      <w:r>
        <w:rPr>
          <w:rFonts w:hint="eastAsia" w:ascii="仿宋" w:hAnsi="仿宋" w:eastAsia="仿宋" w:cs="仿宋"/>
          <w:color w:val="auto"/>
          <w:sz w:val="32"/>
          <w:szCs w:val="32"/>
          <w:lang w:val="en-US" w:eastAsia="zh-CN"/>
        </w:rPr>
        <w:t>2.</w:t>
      </w:r>
      <w:r>
        <w:rPr>
          <w:rFonts w:hint="eastAsia" w:ascii="仿宋" w:hAnsi="仿宋" w:eastAsia="仿宋" w:cs="仿宋"/>
          <w:sz w:val="32"/>
          <w:szCs w:val="32"/>
        </w:rPr>
        <w:t>报价</w:t>
      </w:r>
      <w:r>
        <w:rPr>
          <w:rFonts w:hint="eastAsia" w:ascii="仿宋" w:hAnsi="仿宋" w:eastAsia="仿宋" w:cs="仿宋"/>
          <w:sz w:val="32"/>
          <w:szCs w:val="32"/>
          <w:highlight w:val="none"/>
        </w:rPr>
        <w:t>包括商检费、运输费、保险费、税费以及采购人指定地点全包价。该价款不因原料、材料、劳务、能源等市场价格的变动而变动。</w:t>
      </w:r>
    </w:p>
    <w:p w14:paraId="2A272773">
      <w:pPr>
        <w:pStyle w:val="6"/>
        <w:keepNext w:val="0"/>
        <w:keepLines w:val="0"/>
        <w:pageBreakBefore w:val="0"/>
        <w:widowControl w:val="0"/>
        <w:numPr>
          <w:ilvl w:val="0"/>
          <w:numId w:val="0"/>
        </w:numPr>
        <w:kinsoku/>
        <w:wordWrap/>
        <w:overflowPunct w:val="0"/>
        <w:topLinePunct w:val="0"/>
        <w:autoSpaceDE/>
        <w:autoSpaceDN/>
        <w:bidi w:val="0"/>
        <w:snapToGrid/>
        <w:spacing w:after="0"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在</w:t>
      </w:r>
      <w:r>
        <w:rPr>
          <w:rFonts w:hint="eastAsia" w:ascii="仿宋" w:hAnsi="仿宋" w:eastAsia="仿宋" w:cs="仿宋"/>
          <w:color w:val="auto"/>
          <w:sz w:val="32"/>
          <w:szCs w:val="32"/>
          <w:highlight w:val="none"/>
          <w:lang w:eastAsia="zh-CN"/>
        </w:rPr>
        <w:t>响应文件递交截止时间</w:t>
      </w:r>
      <w:r>
        <w:rPr>
          <w:rFonts w:hint="eastAsia" w:ascii="仿宋" w:hAnsi="仿宋" w:eastAsia="仿宋" w:cs="仿宋"/>
          <w:color w:val="auto"/>
          <w:sz w:val="32"/>
          <w:szCs w:val="32"/>
          <w:highlight w:val="none"/>
        </w:rPr>
        <w:t>前修改</w:t>
      </w:r>
      <w:r>
        <w:rPr>
          <w:rFonts w:hint="eastAsia" w:ascii="仿宋" w:hAnsi="仿宋" w:eastAsia="仿宋" w:cs="仿宋"/>
          <w:color w:val="auto"/>
          <w:sz w:val="32"/>
          <w:szCs w:val="32"/>
          <w:highlight w:val="none"/>
          <w:lang w:eastAsia="zh-CN"/>
        </w:rPr>
        <w:t>响应函</w:t>
      </w:r>
      <w:r>
        <w:rPr>
          <w:rFonts w:hint="eastAsia" w:ascii="仿宋" w:hAnsi="仿宋" w:eastAsia="仿宋" w:cs="仿宋"/>
          <w:color w:val="auto"/>
          <w:sz w:val="32"/>
          <w:szCs w:val="32"/>
          <w:highlight w:val="none"/>
        </w:rPr>
        <w:t>中的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总额，应同时修</w:t>
      </w:r>
      <w:bookmarkStart w:id="12" w:name="_Toc25772"/>
      <w:bookmarkStart w:id="13" w:name="_Toc247527567"/>
      <w:bookmarkStart w:id="14" w:name="_Toc152042318"/>
      <w:bookmarkStart w:id="15" w:name="_Toc369531529"/>
      <w:bookmarkStart w:id="16" w:name="_Toc352691486"/>
      <w:bookmarkStart w:id="17" w:name="_Toc361508598"/>
      <w:bookmarkStart w:id="18" w:name="_Toc144974510"/>
      <w:bookmarkStart w:id="19" w:name="_Toc247513966"/>
      <w:bookmarkStart w:id="20" w:name="_Toc384308223"/>
      <w:bookmarkStart w:id="21" w:name="_Toc152045542"/>
      <w:bookmarkStart w:id="22" w:name="_Toc300834963"/>
      <w:r>
        <w:rPr>
          <w:rFonts w:hint="eastAsia" w:ascii="仿宋" w:hAnsi="仿宋" w:eastAsia="仿宋" w:cs="仿宋"/>
          <w:color w:val="auto"/>
          <w:sz w:val="32"/>
          <w:szCs w:val="32"/>
          <w:highlight w:val="none"/>
        </w:rPr>
        <w:t>改</w:t>
      </w:r>
      <w:r>
        <w:rPr>
          <w:rFonts w:hint="eastAsia" w:ascii="仿宋" w:hAnsi="仿宋" w:eastAsia="仿宋" w:cs="仿宋"/>
          <w:color w:val="auto"/>
          <w:sz w:val="32"/>
          <w:szCs w:val="32"/>
          <w:highlight w:val="none"/>
          <w:lang w:eastAsia="zh-CN"/>
        </w:rPr>
        <w:t>响应文件</w:t>
      </w:r>
      <w:bookmarkEnd w:id="12"/>
      <w:bookmarkEnd w:id="13"/>
      <w:bookmarkEnd w:id="14"/>
      <w:bookmarkEnd w:id="15"/>
      <w:bookmarkEnd w:id="16"/>
      <w:bookmarkEnd w:id="17"/>
      <w:bookmarkEnd w:id="18"/>
      <w:bookmarkEnd w:id="19"/>
      <w:bookmarkEnd w:id="20"/>
      <w:bookmarkEnd w:id="21"/>
      <w:bookmarkEnd w:id="22"/>
      <w:bookmarkStart w:id="23" w:name="_Toc369531530"/>
      <w:bookmarkStart w:id="24" w:name="_Toc15242"/>
      <w:bookmarkStart w:id="25" w:name="_Toc144974511"/>
      <w:bookmarkStart w:id="26" w:name="_Toc247527568"/>
      <w:bookmarkStart w:id="27" w:name="_Toc247513967"/>
      <w:bookmarkStart w:id="28" w:name="_Toc361508599"/>
      <w:bookmarkStart w:id="29" w:name="_Toc352691487"/>
      <w:bookmarkStart w:id="30" w:name="_Toc300834964"/>
      <w:bookmarkStart w:id="31" w:name="_Toc152042319"/>
      <w:bookmarkStart w:id="32" w:name="_Toc384308224"/>
      <w:bookmarkStart w:id="33" w:name="_Toc152045543"/>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分项报价表”中的相应报价。</w:t>
      </w:r>
      <w:bookmarkEnd w:id="23"/>
      <w:bookmarkEnd w:id="24"/>
      <w:bookmarkEnd w:id="25"/>
      <w:bookmarkEnd w:id="26"/>
      <w:bookmarkEnd w:id="27"/>
      <w:bookmarkEnd w:id="28"/>
      <w:bookmarkEnd w:id="29"/>
      <w:bookmarkEnd w:id="30"/>
      <w:bookmarkEnd w:id="31"/>
      <w:bookmarkEnd w:id="32"/>
      <w:bookmarkEnd w:id="33"/>
    </w:p>
    <w:p w14:paraId="0A3A543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为各分项报价金额之和，</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与分项报价的合价不一致的，应以各分项合价累计数为准，修正</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w:t>
      </w:r>
    </w:p>
    <w:p w14:paraId="4389A18D">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成交供应商</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eastAsia="zh-CN"/>
        </w:rPr>
        <w:t>响应报价</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成交</w:t>
      </w:r>
      <w:r>
        <w:rPr>
          <w:rFonts w:hint="eastAsia" w:ascii="仿宋" w:hAnsi="仿宋" w:eastAsia="仿宋" w:cs="仿宋"/>
          <w:color w:val="auto"/>
          <w:sz w:val="32"/>
          <w:szCs w:val="32"/>
          <w:highlight w:val="none"/>
        </w:rPr>
        <w:t>、签订合同及合同执行过程中的依据，不得进行实质性变动。</w:t>
      </w:r>
    </w:p>
    <w:p w14:paraId="39F30636">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）响应有效期</w:t>
      </w:r>
    </w:p>
    <w:p w14:paraId="392C88E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响应有效期</w:t>
      </w:r>
      <w:r>
        <w:rPr>
          <w:rFonts w:hint="eastAsia" w:ascii="仿宋" w:hAnsi="仿宋" w:eastAsia="仿宋" w:cs="仿宋"/>
          <w:color w:val="auto"/>
          <w:sz w:val="32"/>
          <w:szCs w:val="32"/>
          <w:highlight w:val="none"/>
        </w:rPr>
        <w:t>从提交</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截止之日起算</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天。</w:t>
      </w:r>
    </w:p>
    <w:p w14:paraId="7F3D5F4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的，应承担</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和法律规定的责任。</w:t>
      </w:r>
    </w:p>
    <w:p w14:paraId="563123C7">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）响应保证金</w:t>
      </w:r>
    </w:p>
    <w:p w14:paraId="2D1792A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在递交</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的同时，应按规定的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格式递交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lang w:val="en-US" w:eastAsia="zh-CN"/>
        </w:rPr>
        <w:t xml:space="preserve"> 500元</w:t>
      </w:r>
      <w:r>
        <w:rPr>
          <w:rFonts w:hint="eastAsia" w:ascii="仿宋" w:hAnsi="仿宋" w:eastAsia="仿宋" w:cs="仿宋"/>
          <w:color w:val="auto"/>
          <w:sz w:val="32"/>
          <w:szCs w:val="32"/>
        </w:rPr>
        <w:t>，并作为其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3D2A1BA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保证金支付账户如下：</w:t>
      </w:r>
    </w:p>
    <w:p w14:paraId="5781A98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收款人：陕西锌业有限公司</w:t>
      </w:r>
    </w:p>
    <w:p w14:paraId="774950A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账号：26805701040010332</w:t>
      </w:r>
    </w:p>
    <w:p w14:paraId="17C0E8D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开户行：中国农业银行商洛商州区支行</w:t>
      </w:r>
    </w:p>
    <w:p w14:paraId="1C1F036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的形式：转账、</w:t>
      </w:r>
      <w:r>
        <w:rPr>
          <w:rFonts w:hint="eastAsia" w:ascii="仿宋" w:hAnsi="仿宋" w:eastAsia="仿宋" w:cs="仿宋"/>
          <w:color w:val="auto"/>
          <w:sz w:val="32"/>
          <w:szCs w:val="32"/>
          <w:lang w:val="en-US" w:eastAsia="zh-CN"/>
        </w:rPr>
        <w:t>保函、</w:t>
      </w:r>
      <w:r>
        <w:rPr>
          <w:rFonts w:hint="eastAsia" w:ascii="仿宋" w:hAnsi="仿宋" w:eastAsia="仿宋" w:cs="仿宋"/>
          <w:color w:val="auto"/>
          <w:sz w:val="32"/>
          <w:szCs w:val="32"/>
        </w:rPr>
        <w:t>支票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与采购人签订保证金协议等</w:t>
      </w:r>
      <w:r>
        <w:rPr>
          <w:rFonts w:hint="eastAsia" w:ascii="仿宋" w:hAnsi="仿宋" w:eastAsia="仿宋" w:cs="仿宋"/>
          <w:color w:val="auto"/>
          <w:sz w:val="32"/>
          <w:szCs w:val="32"/>
        </w:rPr>
        <w:t>任何一种。</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转账</w:t>
      </w:r>
      <w:r>
        <w:rPr>
          <w:rFonts w:hint="eastAsia" w:ascii="仿宋" w:hAnsi="仿宋" w:eastAsia="仿宋" w:cs="仿宋"/>
          <w:color w:val="auto"/>
          <w:sz w:val="32"/>
          <w:szCs w:val="32"/>
        </w:rPr>
        <w:t>或者支票形式提交的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，应当</w:t>
      </w:r>
      <w:r>
        <w:rPr>
          <w:rFonts w:hint="eastAsia" w:ascii="仿宋" w:hAnsi="仿宋" w:eastAsia="仿宋" w:cs="仿宋"/>
          <w:color w:val="auto"/>
          <w:sz w:val="32"/>
          <w:szCs w:val="32"/>
          <w:lang w:val="en-US" w:eastAsia="zh-CN"/>
        </w:rPr>
        <w:t>由供应商账户转出</w:t>
      </w:r>
      <w:r>
        <w:rPr>
          <w:rFonts w:hint="eastAsia" w:ascii="仿宋" w:hAnsi="仿宋" w:eastAsia="仿宋" w:cs="仿宋"/>
          <w:color w:val="auto"/>
          <w:sz w:val="32"/>
          <w:szCs w:val="32"/>
          <w:lang w:eastAsia="zh-CN"/>
        </w:rPr>
        <w:t>。</w:t>
      </w:r>
    </w:p>
    <w:p w14:paraId="38675197">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必须在</w:t>
      </w:r>
      <w:r>
        <w:rPr>
          <w:rFonts w:hint="eastAsia" w:ascii="仿宋" w:hAnsi="仿宋" w:eastAsia="仿宋" w:cs="仿宋"/>
          <w:color w:val="auto"/>
          <w:sz w:val="32"/>
          <w:szCs w:val="32"/>
          <w:lang w:eastAsia="zh-CN"/>
        </w:rPr>
        <w:t>响应文件递交截止时间</w:t>
      </w:r>
      <w:r>
        <w:rPr>
          <w:rFonts w:hint="eastAsia" w:ascii="仿宋" w:hAnsi="仿宋" w:eastAsia="仿宋" w:cs="仿宋"/>
          <w:color w:val="auto"/>
          <w:sz w:val="32"/>
          <w:szCs w:val="32"/>
        </w:rPr>
        <w:t>前到达指定帐户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以保函形式缴纳保证金其保函须由银行或</w:t>
      </w:r>
      <w:r>
        <w:rPr>
          <w:rFonts w:hint="eastAsia" w:ascii="仿宋" w:hAnsi="仿宋" w:eastAsia="仿宋" w:cs="仿宋"/>
          <w:color w:val="auto"/>
          <w:sz w:val="32"/>
          <w:szCs w:val="32"/>
          <w:lang w:val="en-US" w:eastAsia="zh-CN"/>
        </w:rPr>
        <w:t>具</w:t>
      </w:r>
      <w:r>
        <w:rPr>
          <w:rFonts w:hint="eastAsia" w:ascii="仿宋" w:hAnsi="仿宋" w:eastAsia="仿宋" w:cs="仿宋"/>
          <w:color w:val="auto"/>
          <w:sz w:val="32"/>
          <w:szCs w:val="32"/>
        </w:rPr>
        <w:t>有出具保函资格的单位出具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并于</w:t>
      </w:r>
      <w:r>
        <w:rPr>
          <w:rFonts w:hint="eastAsia" w:ascii="仿宋" w:hAnsi="仿宋" w:eastAsia="仿宋" w:cs="仿宋"/>
          <w:color w:val="auto"/>
          <w:sz w:val="32"/>
          <w:szCs w:val="32"/>
          <w:lang w:eastAsia="zh-CN"/>
        </w:rPr>
        <w:t>响应文件的开启</w:t>
      </w:r>
      <w:r>
        <w:rPr>
          <w:rFonts w:hint="eastAsia" w:ascii="仿宋" w:hAnsi="仿宋" w:eastAsia="仿宋" w:cs="仿宋"/>
          <w:color w:val="auto"/>
          <w:sz w:val="32"/>
          <w:szCs w:val="32"/>
        </w:rPr>
        <w:t>现场递交保函原件，</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中附保函复印件。</w:t>
      </w:r>
    </w:p>
    <w:p w14:paraId="2A804499">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有效期与</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一致。</w:t>
      </w:r>
    </w:p>
    <w:p w14:paraId="5E55FF4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不按</w:t>
      </w:r>
      <w:bookmarkStart w:id="34" w:name="_Toc352691490"/>
      <w:bookmarkStart w:id="35" w:name="_Toc361508602"/>
      <w:bookmarkStart w:id="36" w:name="_Toc369531533"/>
      <w:bookmarkStart w:id="37" w:name="_Toc384308227"/>
      <w:bookmarkStart w:id="38" w:name="_Toc29025"/>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bookmarkEnd w:id="34"/>
      <w:bookmarkEnd w:id="35"/>
      <w:bookmarkEnd w:id="36"/>
      <w:bookmarkEnd w:id="37"/>
      <w:bookmarkEnd w:id="38"/>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将否决其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7C747983">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最迟应当在与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bookmarkStart w:id="39" w:name="_Toc152045546"/>
      <w:bookmarkStart w:id="40" w:name="_Toc361508603"/>
      <w:bookmarkStart w:id="41" w:name="_Toc144974514"/>
      <w:bookmarkStart w:id="42" w:name="_Toc247527571"/>
      <w:bookmarkStart w:id="43" w:name="_Toc384308228"/>
      <w:bookmarkStart w:id="44" w:name="_Toc352691491"/>
      <w:bookmarkStart w:id="45" w:name="_Toc14751"/>
      <w:bookmarkStart w:id="46" w:name="_Toc369531534"/>
      <w:bookmarkStart w:id="47" w:name="_Toc152042322"/>
      <w:bookmarkStart w:id="48" w:name="_Toc247513970"/>
      <w:bookmarkStart w:id="49" w:name="_Toc300834967"/>
      <w:r>
        <w:rPr>
          <w:rFonts w:hint="eastAsia" w:ascii="仿宋" w:hAnsi="仿宋" w:eastAsia="仿宋" w:cs="仿宋"/>
          <w:color w:val="auto"/>
          <w:sz w:val="32"/>
          <w:szCs w:val="32"/>
        </w:rPr>
        <w:t>签订合同后</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32"/>
          <w:szCs w:val="32"/>
        </w:rPr>
        <w:t>内</w:t>
      </w:r>
      <w:bookmarkStart w:id="50" w:name="_Toc152042323"/>
      <w:bookmarkStart w:id="51" w:name="_Toc369531535"/>
      <w:bookmarkStart w:id="52" w:name="_Toc17952"/>
      <w:bookmarkStart w:id="53" w:name="_Toc384308229"/>
      <w:bookmarkStart w:id="54" w:name="_Toc144974515"/>
      <w:bookmarkStart w:id="55" w:name="_Toc352691492"/>
      <w:bookmarkStart w:id="56" w:name="_Toc247513971"/>
      <w:bookmarkStart w:id="57" w:name="_Toc152045547"/>
      <w:bookmarkStart w:id="58" w:name="_Toc300834968"/>
      <w:bookmarkStart w:id="59" w:name="_Toc361508604"/>
      <w:bookmarkStart w:id="60" w:name="_Toc247527572"/>
      <w:r>
        <w:rPr>
          <w:rFonts w:hint="eastAsia" w:ascii="仿宋" w:hAnsi="仿宋" w:eastAsia="仿宋" w:cs="仿宋"/>
          <w:color w:val="auto"/>
          <w:sz w:val="32"/>
          <w:szCs w:val="32"/>
        </w:rPr>
        <w:t>，向未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无息</w:t>
      </w:r>
      <w:r>
        <w:rPr>
          <w:rFonts w:hint="eastAsia" w:ascii="仿宋" w:hAnsi="仿宋" w:eastAsia="仿宋" w:cs="仿宋"/>
          <w:color w:val="auto"/>
          <w:sz w:val="32"/>
          <w:szCs w:val="32"/>
        </w:rPr>
        <w:t>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503A31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有下列情形之一的，</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将不予退还：</w:t>
      </w:r>
    </w:p>
    <w:p w14:paraId="701E5229">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1A95CD6F">
      <w:pPr>
        <w:keepNext w:val="0"/>
        <w:keepLines w:val="0"/>
        <w:pageBreakBefore w:val="0"/>
        <w:widowControl w:val="0"/>
        <w:kinsoku/>
        <w:wordWrap/>
        <w:overflowPunct w:val="0"/>
        <w:topLinePunct w:val="0"/>
        <w:autoSpaceDE/>
        <w:autoSpaceDN/>
        <w:bidi w:val="0"/>
        <w:snapToGrid/>
        <w:spacing w:line="500" w:lineRule="exact"/>
        <w:ind w:left="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项目的，无正当理由不与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订立合同的，在签订合同时向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提出附加条件或者更改合同实质性内容的，或者拒不按照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要求提交履约担保的。</w:t>
      </w:r>
    </w:p>
    <w:p w14:paraId="4E3F5D22">
      <w:pPr>
        <w:pStyle w:val="4"/>
        <w:keepNext w:val="0"/>
        <w:keepLines w:val="0"/>
        <w:pageBreakBefore w:val="0"/>
        <w:widowControl w:val="0"/>
        <w:kinsoku/>
        <w:wordWrap/>
        <w:overflowPunct w:val="0"/>
        <w:topLinePunct w:val="0"/>
        <w:autoSpaceDE/>
        <w:autoSpaceDN/>
        <w:bidi w:val="0"/>
        <w:snapToGrid/>
        <w:spacing w:before="0" w:after="0" w:line="500" w:lineRule="exact"/>
        <w:ind w:left="0" w:firstLine="320" w:firstLineChars="100"/>
        <w:jc w:val="both"/>
        <w:rPr>
          <w:rFonts w:hint="eastAsia" w:ascii="仿宋" w:hAnsi="仿宋" w:eastAsia="仿宋" w:cs="仿宋"/>
          <w:color w:val="auto"/>
          <w:sz w:val="32"/>
          <w:szCs w:val="32"/>
        </w:rPr>
      </w:pPr>
      <w:bookmarkStart w:id="61" w:name="_Toc21871"/>
      <w:bookmarkStart w:id="62" w:name="_Toc24514"/>
      <w:bookmarkStart w:id="63" w:name="_Toc33795794"/>
      <w:bookmarkStart w:id="64" w:name="_Toc2821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资格审查资料</w:t>
      </w:r>
      <w:bookmarkEnd w:id="61"/>
      <w:bookmarkEnd w:id="62"/>
      <w:bookmarkEnd w:id="63"/>
      <w:bookmarkEnd w:id="64"/>
    </w:p>
    <w:p w14:paraId="1075AAFE">
      <w:pPr>
        <w:pStyle w:val="4"/>
        <w:keepNext w:val="0"/>
        <w:keepLines w:val="0"/>
        <w:pageBreakBefore w:val="0"/>
        <w:widowControl w:val="0"/>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应按下列规定提供相关的证明材料，以证明其满足资质、财务、业绩、信誉要求。</w:t>
      </w:r>
    </w:p>
    <w:p w14:paraId="359128E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基本情况表”应附</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资格或者资质证书副本等材料的复印件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为企业的，应提交营业执照复印件；</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为依法允许经营的事业单位的，应提交事业单位法人证书和组织机构代码证的复印件。</w:t>
      </w:r>
    </w:p>
    <w:p w14:paraId="260926C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“近</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年完成的类似项目情况表”应附</w:t>
      </w:r>
      <w:r>
        <w:rPr>
          <w:rFonts w:hint="eastAsia" w:ascii="仿宋" w:hAnsi="仿宋" w:eastAsia="仿宋" w:cs="仿宋"/>
          <w:color w:val="auto"/>
          <w:sz w:val="32"/>
          <w:szCs w:val="32"/>
          <w:lang w:val="en-US" w:eastAsia="zh-CN"/>
        </w:rPr>
        <w:t>从2022年3月至今的</w:t>
      </w:r>
      <w:r>
        <w:rPr>
          <w:rFonts w:hint="eastAsia" w:ascii="仿宋" w:hAnsi="仿宋" w:eastAsia="仿宋" w:cs="仿宋"/>
          <w:color w:val="auto"/>
          <w:sz w:val="32"/>
          <w:szCs w:val="32"/>
        </w:rPr>
        <w:t>合同复印件。</w:t>
      </w:r>
    </w:p>
    <w:p w14:paraId="21E763AF">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“近年发生的诉讼及仲裁情况”应说明相关情况。</w:t>
      </w:r>
    </w:p>
    <w:p w14:paraId="1F547AF9">
      <w:pPr>
        <w:keepNext w:val="0"/>
        <w:keepLines w:val="0"/>
        <w:pageBreakBefore w:val="0"/>
        <w:widowControl w:val="0"/>
        <w:kinsoku/>
        <w:wordWrap/>
        <w:overflowPunct w:val="0"/>
        <w:topLinePunct w:val="0"/>
        <w:autoSpaceDE/>
        <w:autoSpaceDN/>
        <w:bidi w:val="0"/>
        <w:snapToGrid/>
        <w:spacing w:line="500" w:lineRule="exact"/>
        <w:ind w:left="0" w:firstLine="644" w:firstLineChars="200"/>
        <w:jc w:val="both"/>
        <w:rPr>
          <w:rFonts w:hint="eastAsia" w:ascii="仿宋" w:hAnsi="仿宋" w:eastAsia="仿宋" w:cs="仿宋"/>
          <w:color w:val="auto"/>
          <w:sz w:val="32"/>
          <w:szCs w:val="32"/>
          <w:lang w:val="en-US" w:eastAsia="zh-CN"/>
        </w:rPr>
      </w:pPr>
      <w:r>
        <w:rPr>
          <w:rFonts w:hint="eastAsia" w:ascii="仿宋" w:hAnsi="仿宋" w:eastAsia="仿宋" w:cs="仿宋"/>
          <w:b w:val="0"/>
          <w:bCs w:val="0"/>
          <w:color w:val="auto"/>
          <w:spacing w:val="1"/>
          <w:sz w:val="32"/>
          <w:szCs w:val="32"/>
          <w:highlight w:val="none"/>
          <w:lang w:eastAsia="zh-CN"/>
        </w:rPr>
        <w:t>（</w:t>
      </w:r>
      <w:r>
        <w:rPr>
          <w:rFonts w:hint="eastAsia" w:ascii="仿宋" w:hAnsi="仿宋" w:eastAsia="仿宋" w:cs="仿宋"/>
          <w:color w:val="auto"/>
          <w:sz w:val="32"/>
          <w:szCs w:val="32"/>
          <w:lang w:val="en-US" w:eastAsia="zh-CN"/>
        </w:rPr>
        <w:t>五）响应文件的提交</w:t>
      </w:r>
    </w:p>
    <w:p w14:paraId="0A89687F">
      <w:pPr>
        <w:keepNext w:val="0"/>
        <w:keepLines w:val="0"/>
        <w:pageBreakBefore w:val="0"/>
        <w:widowControl w:val="0"/>
        <w:kinsoku/>
        <w:wordWrap/>
        <w:overflowPunct w:val="0"/>
        <w:topLinePunct w:val="0"/>
        <w:autoSpaceDE/>
        <w:autoSpaceDN/>
        <w:bidi w:val="0"/>
        <w:adjustRightInd/>
        <w:snapToGrid/>
        <w:spacing w:line="500" w:lineRule="exact"/>
        <w:ind w:left="0" w:firstLine="64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2"/>
          <w:szCs w:val="32"/>
          <w:lang w:val="en-US" w:eastAsia="zh-CN"/>
        </w:rPr>
        <w:t xml:space="preserve">1. </w:t>
      </w:r>
      <w:r>
        <w:rPr>
          <w:rFonts w:hint="eastAsia" w:ascii="仿宋" w:hAnsi="仿宋" w:eastAsia="仿宋" w:cs="仿宋"/>
          <w:color w:val="auto"/>
          <w:sz w:val="30"/>
          <w:szCs w:val="30"/>
          <w:lang w:val="en-US" w:eastAsia="zh-CN"/>
        </w:rPr>
        <w:t>响应文件提交截止时间：2025年 5月 22 日 13  时</w:t>
      </w:r>
      <w:r>
        <w:rPr>
          <w:rFonts w:hint="eastAsia" w:ascii="仿宋" w:hAnsi="仿宋" w:eastAsia="仿宋" w:cs="仿宋"/>
          <w:i w:val="0"/>
          <w:iCs w:val="0"/>
          <w:caps w:val="0"/>
          <w:color w:val="000000"/>
          <w:spacing w:val="0"/>
          <w:sz w:val="30"/>
          <w:szCs w:val="30"/>
          <w:lang w:eastAsia="zh-CN"/>
        </w:rPr>
        <w:t>。</w:t>
      </w:r>
    </w:p>
    <w:p w14:paraId="4A99CF58">
      <w:pPr>
        <w:pStyle w:val="8"/>
        <w:keepNext w:val="0"/>
        <w:keepLines w:val="0"/>
        <w:widowControl/>
        <w:suppressLineNumbers w:val="0"/>
        <w:spacing w:line="495" w:lineRule="atLeast"/>
        <w:ind w:left="0" w:firstLine="645"/>
        <w:jc w:val="both"/>
        <w:rPr>
          <w:rFonts w:hint="eastAsia" w:ascii="仿宋" w:hAnsi="仿宋" w:eastAsia="仿宋" w:cs="仿宋"/>
          <w:color w:val="auto"/>
          <w:kern w:val="0"/>
          <w:sz w:val="28"/>
          <w:szCs w:val="28"/>
          <w:u w:val="single"/>
          <w:lang w:eastAsia="zh-CN"/>
        </w:rPr>
      </w:pPr>
      <w:r>
        <w:rPr>
          <w:rFonts w:hint="eastAsia" w:ascii="仿宋" w:hAnsi="仿宋" w:eastAsia="仿宋" w:cs="仿宋"/>
          <w:color w:val="auto"/>
          <w:sz w:val="30"/>
          <w:szCs w:val="30"/>
          <w:lang w:val="en-US" w:eastAsia="zh-CN"/>
        </w:rPr>
        <w:t>2.提交方法：</w:t>
      </w:r>
      <w:r>
        <w:rPr>
          <w:rFonts w:ascii="仿宋" w:hAnsi="仿宋" w:eastAsia="仿宋" w:cs="仿宋"/>
          <w:i w:val="0"/>
          <w:iCs w:val="0"/>
          <w:caps w:val="0"/>
          <w:color w:val="000000"/>
          <w:spacing w:val="0"/>
          <w:sz w:val="30"/>
          <w:szCs w:val="30"/>
        </w:rPr>
        <w:t>发送至</w:t>
      </w:r>
      <w:r>
        <w:rPr>
          <w:rFonts w:hint="eastAsia" w:ascii="仿宋" w:hAnsi="仿宋" w:eastAsia="仿宋" w:cs="仿宋"/>
          <w:i w:val="0"/>
          <w:iCs w:val="0"/>
          <w:caps w:val="0"/>
          <w:color w:val="000000"/>
          <w:spacing w:val="0"/>
          <w:sz w:val="30"/>
          <w:szCs w:val="30"/>
          <w:lang w:val="en-US" w:eastAsia="zh-CN"/>
        </w:rPr>
        <w:t>采购人</w:t>
      </w:r>
      <w:r>
        <w:rPr>
          <w:rFonts w:ascii="仿宋" w:hAnsi="仿宋" w:eastAsia="仿宋" w:cs="仿宋"/>
          <w:i w:val="0"/>
          <w:iCs w:val="0"/>
          <w:caps w:val="0"/>
          <w:color w:val="000000"/>
          <w:spacing w:val="0"/>
          <w:sz w:val="30"/>
          <w:szCs w:val="30"/>
        </w:rPr>
        <w:t>指定邮箱1930635@qq.com</w:t>
      </w:r>
      <w:r>
        <w:rPr>
          <w:rFonts w:hint="eastAsia" w:ascii="仿宋" w:hAnsi="仿宋" w:eastAsia="仿宋" w:cs="仿宋"/>
          <w:i w:val="0"/>
          <w:iCs w:val="0"/>
          <w:caps w:val="0"/>
          <w:color w:val="000000"/>
          <w:spacing w:val="0"/>
          <w:sz w:val="30"/>
          <w:szCs w:val="30"/>
          <w:lang w:eastAsia="zh-CN"/>
        </w:rPr>
        <w:t>，</w:t>
      </w:r>
      <w:r>
        <w:rPr>
          <w:rStyle w:val="12"/>
          <w:rFonts w:hint="eastAsia" w:ascii="仿宋" w:hAnsi="仿宋" w:eastAsia="仿宋" w:cs="仿宋"/>
          <w:i w:val="0"/>
          <w:iCs w:val="0"/>
          <w:caps w:val="0"/>
          <w:color w:val="000000"/>
          <w:spacing w:val="0"/>
          <w:sz w:val="30"/>
          <w:szCs w:val="30"/>
        </w:rPr>
        <w:t>发送时请在标题栏注明“XX单位，参与陕西锌业有限公司XX项目”</w:t>
      </w:r>
      <w:r>
        <w:rPr>
          <w:rStyle w:val="12"/>
          <w:rFonts w:hint="eastAsia" w:ascii="仿宋" w:hAnsi="仿宋" w:eastAsia="仿宋" w:cs="仿宋"/>
          <w:i w:val="0"/>
          <w:iCs w:val="0"/>
          <w:caps w:val="0"/>
          <w:color w:val="000000"/>
          <w:spacing w:val="0"/>
          <w:sz w:val="30"/>
          <w:szCs w:val="30"/>
          <w:lang w:eastAsia="zh-CN"/>
        </w:rPr>
        <w:t>。</w:t>
      </w:r>
    </w:p>
    <w:p w14:paraId="0DA84BE2">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联系人：张小兵     电话：0914-2553204 </w:t>
      </w:r>
    </w:p>
    <w:p w14:paraId="520C48EB">
      <w:pPr>
        <w:keepNext w:val="0"/>
        <w:keepLines w:val="0"/>
        <w:pageBreakBefore w:val="0"/>
        <w:widowControl w:val="0"/>
        <w:kinsoku/>
        <w:wordWrap/>
        <w:overflowPunct w:val="0"/>
        <w:topLinePunct w:val="0"/>
        <w:autoSpaceDE/>
        <w:autoSpaceDN/>
        <w:bidi w:val="0"/>
        <w:snapToGrid/>
        <w:spacing w:line="500" w:lineRule="exact"/>
        <w:ind w:left="0"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四、响应文件开启时间</w:t>
      </w:r>
    </w:p>
    <w:p w14:paraId="5F59E763">
      <w:pPr>
        <w:keepNext w:val="0"/>
        <w:keepLines w:val="0"/>
        <w:pageBreakBefore w:val="0"/>
        <w:widowControl w:val="0"/>
        <w:shd w:val="clear" w:color="auto" w:fill="auto"/>
        <w:kinsoku/>
        <w:wordWrap/>
        <w:overflowPunct w:val="0"/>
        <w:topLinePunct w:val="0"/>
        <w:autoSpaceDE/>
        <w:autoSpaceDN/>
        <w:bidi w:val="0"/>
        <w:adjustRightInd/>
        <w:snapToGrid/>
        <w:spacing w:line="500" w:lineRule="exact"/>
        <w:ind w:firstLine="644"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color w:val="auto"/>
          <w:spacing w:val="1"/>
          <w:kern w:val="0"/>
          <w:sz w:val="32"/>
          <w:szCs w:val="32"/>
          <w:highlight w:val="none"/>
          <w:lang w:val="en-US" w:eastAsia="zh-CN" w:bidi="ar-SA"/>
        </w:rPr>
        <w:t>（一）响应文件的开启时间：</w:t>
      </w:r>
      <w:r>
        <w:rPr>
          <w:rFonts w:hint="eastAsia" w:ascii="仿宋" w:hAnsi="仿宋" w:eastAsia="仿宋" w:cs="仿宋"/>
          <w:color w:val="auto"/>
          <w:spacing w:val="1"/>
          <w:sz w:val="32"/>
          <w:szCs w:val="32"/>
          <w:highlight w:val="none"/>
          <w:lang w:val="en-US" w:eastAsia="zh-CN"/>
        </w:rPr>
        <w:t>2025年5月  22 日14  时</w:t>
      </w:r>
      <w:r>
        <w:rPr>
          <w:rFonts w:hint="eastAsia" w:ascii="仿宋" w:hAnsi="仿宋" w:eastAsia="仿宋" w:cs="仿宋"/>
          <w:color w:val="auto"/>
          <w:spacing w:val="1"/>
          <w:kern w:val="0"/>
          <w:sz w:val="32"/>
          <w:szCs w:val="32"/>
          <w:highlight w:val="none"/>
          <w:lang w:val="en-US" w:eastAsia="zh-CN" w:bidi="ar-SA"/>
        </w:rPr>
        <w:t>；</w:t>
      </w:r>
    </w:p>
    <w:p w14:paraId="3F541D32">
      <w:pPr>
        <w:pStyle w:val="3"/>
        <w:keepNext w:val="0"/>
        <w:keepLines w:val="0"/>
        <w:pageBreakBefore w:val="0"/>
        <w:widowControl w:val="0"/>
        <w:kinsoku/>
        <w:wordWrap/>
        <w:overflowPunct w:val="0"/>
        <w:topLinePunct w:val="0"/>
        <w:autoSpaceDE/>
        <w:autoSpaceDN/>
        <w:bidi w:val="0"/>
        <w:adjustRightInd/>
        <w:snapToGrid/>
        <w:spacing w:before="0" w:after="0" w:line="500" w:lineRule="exact"/>
        <w:ind w:firstLine="643" w:firstLineChars="200"/>
        <w:jc w:val="both"/>
        <w:textAlignment w:val="auto"/>
        <w:rPr>
          <w:rFonts w:hint="eastAsia" w:ascii="仿宋" w:hAnsi="仿宋" w:eastAsia="仿宋" w:cs="仿宋"/>
          <w:color w:val="auto"/>
          <w:sz w:val="32"/>
          <w:szCs w:val="32"/>
          <w:lang w:val="en-US" w:eastAsia="zh-CN"/>
        </w:rPr>
      </w:pPr>
      <w:r>
        <w:rPr>
          <w:rStyle w:val="12"/>
          <w:rFonts w:hint="eastAsia" w:ascii="仿宋" w:hAnsi="仿宋" w:eastAsia="仿宋" w:cs="仿宋"/>
          <w:b/>
          <w:i w:val="0"/>
          <w:iCs w:val="0"/>
          <w:caps w:val="0"/>
          <w:color w:val="000000"/>
          <w:spacing w:val="0"/>
          <w:sz w:val="32"/>
          <w:szCs w:val="32"/>
          <w:lang w:val="en-US" w:eastAsia="zh-CN"/>
        </w:rPr>
        <w:t>五</w:t>
      </w:r>
      <w:r>
        <w:rPr>
          <w:rStyle w:val="12"/>
          <w:rFonts w:hint="eastAsia" w:ascii="仿宋" w:hAnsi="仿宋" w:eastAsia="仿宋" w:cs="仿宋"/>
          <w:b/>
          <w:i w:val="0"/>
          <w:iCs w:val="0"/>
          <w:caps w:val="0"/>
          <w:color w:val="000000"/>
          <w:spacing w:val="0"/>
          <w:sz w:val="32"/>
          <w:szCs w:val="32"/>
        </w:rPr>
        <w:t>、</w:t>
      </w:r>
      <w:r>
        <w:rPr>
          <w:rStyle w:val="12"/>
          <w:rFonts w:hint="eastAsia" w:ascii="仿宋" w:hAnsi="仿宋" w:eastAsia="仿宋" w:cs="仿宋"/>
          <w:b/>
          <w:i w:val="0"/>
          <w:iCs w:val="0"/>
          <w:caps w:val="0"/>
          <w:color w:val="000000"/>
          <w:spacing w:val="0"/>
          <w:sz w:val="32"/>
          <w:szCs w:val="32"/>
          <w:lang w:val="en-US" w:eastAsia="zh-CN"/>
        </w:rPr>
        <w:t>响应文件的</w:t>
      </w:r>
      <w:r>
        <w:rPr>
          <w:rFonts w:hint="eastAsia" w:ascii="仿宋" w:hAnsi="仿宋" w:eastAsia="仿宋" w:cs="仿宋"/>
          <w:color w:val="auto"/>
          <w:sz w:val="32"/>
          <w:szCs w:val="32"/>
        </w:rPr>
        <w:t>评</w:t>
      </w:r>
      <w:r>
        <w:rPr>
          <w:rFonts w:hint="eastAsia" w:ascii="仿宋" w:hAnsi="仿宋" w:eastAsia="仿宋" w:cs="仿宋"/>
          <w:color w:val="auto"/>
          <w:sz w:val="32"/>
          <w:szCs w:val="32"/>
          <w:lang w:val="en-US" w:eastAsia="zh-CN"/>
        </w:rPr>
        <w:t>审</w:t>
      </w:r>
    </w:p>
    <w:p w14:paraId="39E5A945">
      <w:pPr>
        <w:keepNext w:val="0"/>
        <w:keepLines w:val="0"/>
        <w:pageBreakBefore w:val="0"/>
        <w:widowControl w:val="0"/>
        <w:kinsoku/>
        <w:wordWrap/>
        <w:overflowPunct w:val="0"/>
        <w:topLinePunct w:val="0"/>
        <w:autoSpaceDE/>
        <w:autoSpaceDN/>
        <w:bidi w:val="0"/>
        <w:snapToGrid/>
        <w:spacing w:line="500" w:lineRule="exact"/>
        <w:ind w:firstLine="64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（一）响应文件评审办法</w:t>
      </w:r>
    </w:p>
    <w:p w14:paraId="45A8A22F">
      <w:pPr>
        <w:pStyle w:val="8"/>
        <w:keepNext w:val="0"/>
        <w:keepLines w:val="0"/>
        <w:pageBreakBefore w:val="0"/>
        <w:widowControl w:val="0"/>
        <w:suppressLineNumbers w:val="0"/>
        <w:kinsoku/>
        <w:wordWrap/>
        <w:overflowPunct w:val="0"/>
        <w:topLinePunct w:val="0"/>
        <w:autoSpaceDE/>
        <w:autoSpaceDN/>
        <w:bidi w:val="0"/>
        <w:snapToGrid/>
        <w:spacing w:before="0" w:beforeAutospacing="0" w:after="0" w:afterAutospacing="0" w:line="500" w:lineRule="exact"/>
        <w:ind w:firstLine="960" w:firstLineChars="3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最低价法。是在响应文件满足采购文件实质性要求的前提下，按照供应商经评审的价格由低到高的顺序确定供应商优先次序的评审方法。</w:t>
      </w:r>
    </w:p>
    <w:p w14:paraId="1FA88602">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（二）响应文件评审程序</w:t>
      </w:r>
    </w:p>
    <w:p w14:paraId="03E6E9BA">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highlight w:val="yellow"/>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可以要求</w:t>
      </w:r>
      <w:r>
        <w:rPr>
          <w:rFonts w:hint="eastAsia" w:ascii="仿宋" w:hAnsi="仿宋" w:eastAsia="仿宋" w:cs="仿宋"/>
          <w:color w:val="auto"/>
          <w:sz w:val="32"/>
          <w:szCs w:val="32"/>
          <w:highlight w:val="none"/>
          <w:lang w:eastAsia="zh-CN"/>
        </w:rPr>
        <w:t>供应商</w:t>
      </w:r>
      <w:r>
        <w:rPr>
          <w:rFonts w:hint="eastAsia" w:ascii="仿宋" w:hAnsi="仿宋" w:eastAsia="仿宋" w:cs="仿宋"/>
          <w:color w:val="auto"/>
          <w:sz w:val="32"/>
          <w:szCs w:val="32"/>
          <w:highlight w:val="none"/>
        </w:rPr>
        <w:t>提交</w:t>
      </w:r>
      <w:r>
        <w:rPr>
          <w:rFonts w:hint="eastAsia" w:ascii="仿宋" w:hAnsi="仿宋" w:eastAsia="仿宋" w:cs="仿宋"/>
          <w:color w:val="auto"/>
          <w:sz w:val="32"/>
          <w:szCs w:val="32"/>
          <w:highlight w:val="none"/>
          <w:lang w:val="en-US" w:eastAsia="zh-CN"/>
        </w:rPr>
        <w:t>第一条第十一款</w:t>
      </w:r>
      <w:r>
        <w:rPr>
          <w:rFonts w:hint="eastAsia" w:ascii="仿宋" w:hAnsi="仿宋" w:eastAsia="仿宋" w:cs="仿宋"/>
          <w:color w:val="auto"/>
          <w:sz w:val="32"/>
          <w:szCs w:val="32"/>
          <w:highlight w:val="none"/>
        </w:rPr>
        <w:t>规定的有关证明和证件的原件，</w:t>
      </w:r>
      <w:r>
        <w:rPr>
          <w:rFonts w:hint="eastAsia" w:ascii="仿宋" w:hAnsi="仿宋" w:eastAsia="仿宋" w:cs="仿宋"/>
          <w:color w:val="auto"/>
          <w:sz w:val="32"/>
          <w:szCs w:val="32"/>
          <w:highlight w:val="none"/>
          <w:lang w:val="en-US" w:eastAsia="zh-CN"/>
        </w:rPr>
        <w:t>评审小组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前述</w:t>
      </w:r>
      <w:r>
        <w:rPr>
          <w:rFonts w:hint="eastAsia" w:ascii="仿宋" w:hAnsi="仿宋" w:eastAsia="仿宋" w:cs="仿宋"/>
          <w:color w:val="auto"/>
          <w:sz w:val="32"/>
          <w:szCs w:val="32"/>
          <w:highlight w:val="none"/>
          <w:lang w:eastAsia="zh-CN"/>
        </w:rPr>
        <w:t>响应文件</w:t>
      </w:r>
      <w:r>
        <w:rPr>
          <w:rFonts w:hint="eastAsia" w:ascii="仿宋" w:hAnsi="仿宋" w:eastAsia="仿宋" w:cs="仿宋"/>
          <w:color w:val="auto"/>
          <w:sz w:val="32"/>
          <w:szCs w:val="32"/>
          <w:highlight w:val="none"/>
        </w:rPr>
        <w:t>进行初步评审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有一项不符合评审标准的，</w:t>
      </w:r>
      <w:r>
        <w:rPr>
          <w:rFonts w:hint="eastAsia" w:ascii="仿宋" w:hAnsi="仿宋" w:eastAsia="仿宋" w:cs="仿宋"/>
          <w:color w:val="auto"/>
          <w:sz w:val="32"/>
          <w:szCs w:val="32"/>
          <w:highlight w:val="none"/>
          <w:lang w:eastAsia="zh-CN"/>
        </w:rPr>
        <w:t>评审小组</w:t>
      </w:r>
      <w:r>
        <w:rPr>
          <w:rFonts w:hint="eastAsia" w:ascii="仿宋" w:hAnsi="仿宋" w:eastAsia="仿宋" w:cs="仿宋"/>
          <w:color w:val="auto"/>
          <w:sz w:val="32"/>
          <w:szCs w:val="32"/>
          <w:highlight w:val="none"/>
        </w:rPr>
        <w:t>应当否决其</w:t>
      </w:r>
      <w:r>
        <w:rPr>
          <w:rFonts w:hint="eastAsia" w:ascii="仿宋" w:hAnsi="仿宋" w:eastAsia="仿宋" w:cs="仿宋"/>
          <w:color w:val="auto"/>
          <w:sz w:val="32"/>
          <w:szCs w:val="32"/>
          <w:highlight w:val="none"/>
          <w:lang w:val="en-US" w:eastAsia="zh-CN"/>
        </w:rPr>
        <w:t>响应文件</w:t>
      </w:r>
      <w:r>
        <w:rPr>
          <w:rFonts w:hint="eastAsia" w:ascii="仿宋" w:hAnsi="仿宋" w:eastAsia="仿宋" w:cs="仿宋"/>
          <w:color w:val="auto"/>
          <w:sz w:val="32"/>
          <w:szCs w:val="32"/>
          <w:highlight w:val="none"/>
        </w:rPr>
        <w:t>。</w:t>
      </w:r>
    </w:p>
    <w:p w14:paraId="740D350E">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有以下情形之一的，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w:t>
      </w:r>
    </w:p>
    <w:p w14:paraId="638F76BA">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未经过正常途径</w:t>
      </w:r>
      <w:r>
        <w:rPr>
          <w:rFonts w:hint="eastAsia" w:ascii="仿宋" w:hAnsi="仿宋" w:eastAsia="仿宋" w:cs="仿宋"/>
          <w:color w:val="auto"/>
          <w:sz w:val="32"/>
          <w:szCs w:val="32"/>
          <w:lang w:val="en-US" w:eastAsia="zh-CN"/>
        </w:rPr>
        <w:t>获取</w:t>
      </w:r>
      <w:r>
        <w:rPr>
          <w:rFonts w:hint="eastAsia" w:ascii="仿宋" w:hAnsi="仿宋" w:eastAsia="仿宋" w:cs="仿宋"/>
          <w:color w:val="auto"/>
          <w:sz w:val="32"/>
          <w:szCs w:val="32"/>
        </w:rPr>
        <w:t>标书或</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名称或组织结构与</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不一致且未提供有效证明的；</w:t>
      </w:r>
    </w:p>
    <w:p w14:paraId="29E0B50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未经</w:t>
      </w:r>
      <w:r>
        <w:rPr>
          <w:rFonts w:hint="eastAsia" w:ascii="仿宋" w:hAnsi="仿宋" w:eastAsia="仿宋" w:cs="仿宋"/>
          <w:color w:val="auto"/>
          <w:sz w:val="32"/>
          <w:szCs w:val="32"/>
          <w:lang w:val="en-US" w:eastAsia="zh-CN"/>
        </w:rPr>
        <w:t>响应供应商</w:t>
      </w:r>
      <w:r>
        <w:rPr>
          <w:rFonts w:hint="eastAsia" w:ascii="仿宋" w:hAnsi="仿宋" w:eastAsia="仿宋" w:cs="仿宋"/>
          <w:color w:val="auto"/>
          <w:sz w:val="32"/>
          <w:szCs w:val="32"/>
        </w:rPr>
        <w:t>单位盖章和单位负责人签字或盖章的；</w:t>
      </w:r>
    </w:p>
    <w:p w14:paraId="7E3E5F52">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未按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要求交纳</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的；</w:t>
      </w:r>
    </w:p>
    <w:p w14:paraId="351B4846">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不符合</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规定的资格条件的；</w:t>
      </w:r>
    </w:p>
    <w:p w14:paraId="5179F807">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提交两份或多份内容不同的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，或在同一份</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中有两个或多个报价，且未声明哪一个为最终报价的；</w:t>
      </w:r>
    </w:p>
    <w:p w14:paraId="7511A6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，且</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不能合理说明或者提供相关证明材料，</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以低于成本价竞标的；</w:t>
      </w:r>
    </w:p>
    <w:p w14:paraId="45018784">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有效期达不到</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要求的；</w:t>
      </w:r>
    </w:p>
    <w:p w14:paraId="41984D3F">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方案出现严重漏项，已影响到该项目的实施的；</w:t>
      </w:r>
    </w:p>
    <w:p w14:paraId="2A5D7C7B">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有串通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、弄虚作假、行贿等违法行为的。</w:t>
      </w:r>
    </w:p>
    <w:p w14:paraId="4B3FE718">
      <w:pPr>
        <w:keepNext w:val="0"/>
        <w:keepLines w:val="0"/>
        <w:pageBreakBefore w:val="0"/>
        <w:widowControl w:val="0"/>
        <w:kinsoku/>
        <w:wordWrap/>
        <w:overflowPunct w:val="0"/>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有算术错误的，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按以下原则要求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进</w:t>
      </w:r>
      <w:bookmarkStart w:id="65" w:name="_Toc144974570"/>
      <w:bookmarkStart w:id="66" w:name="_Toc384308277"/>
      <w:bookmarkStart w:id="67" w:name="_Toc369531582"/>
      <w:bookmarkStart w:id="68" w:name="_Toc247514027"/>
      <w:bookmarkStart w:id="69" w:name="_Toc152042380"/>
      <w:bookmarkStart w:id="70" w:name="_Toc152045603"/>
      <w:bookmarkStart w:id="71" w:name="_Toc352691538"/>
      <w:bookmarkStart w:id="72" w:name="_Toc300835013"/>
      <w:bookmarkStart w:id="73" w:name="_Toc2907"/>
      <w:bookmarkStart w:id="74" w:name="_Toc247527628"/>
      <w:bookmarkStart w:id="75" w:name="_Toc361508651"/>
      <w:r>
        <w:rPr>
          <w:rFonts w:hint="eastAsia" w:ascii="仿宋" w:hAnsi="仿宋" w:eastAsia="仿宋" w:cs="仿宋"/>
          <w:color w:val="auto"/>
          <w:sz w:val="32"/>
          <w:szCs w:val="32"/>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拒不澄清确认的，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bookmarkStart w:id="76" w:name="_Toc16955"/>
      <w:bookmarkStart w:id="77" w:name="_Toc33795835"/>
      <w:bookmarkStart w:id="78" w:name="_Toc13563"/>
      <w:bookmarkStart w:id="79" w:name="_Toc29291"/>
    </w:p>
    <w:p w14:paraId="19D1A02C">
      <w:pPr>
        <w:keepNext w:val="0"/>
        <w:keepLines w:val="0"/>
        <w:pageBreakBefore w:val="0"/>
        <w:widowControl w:val="0"/>
        <w:kinsoku/>
        <w:wordWrap/>
        <w:overflowPunct w:val="0"/>
        <w:topLinePunct w:val="0"/>
        <w:autoSpaceDE/>
        <w:autoSpaceDN/>
        <w:bidi w:val="0"/>
        <w:adjustRightInd/>
        <w:snapToGrid/>
        <w:spacing w:line="50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中的大写金额与小写金额不一致的，以大写金额为准；</w:t>
      </w:r>
    </w:p>
    <w:p w14:paraId="0A3C182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总价金额与单价金额不一致的，以单价金额为准，但单价金额小数点有明显错误的除外；</w:t>
      </w:r>
    </w:p>
    <w:p w14:paraId="7156C2F5">
      <w:pPr>
        <w:keepNext w:val="0"/>
        <w:keepLines w:val="0"/>
        <w:pageBreakBefore w:val="0"/>
        <w:widowControl w:val="0"/>
        <w:kinsoku/>
        <w:wordWrap/>
        <w:overflowPunct w:val="0"/>
        <w:topLinePunct w:val="0"/>
        <w:autoSpaceDE/>
        <w:autoSpaceDN/>
        <w:bidi w:val="0"/>
        <w:adjustRightInd/>
        <w:snapToGrid/>
        <w:spacing w:line="520" w:lineRule="exact"/>
        <w:ind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为各分项报价金额之和，</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与分项报价的合价不一致的，应以各分项合价累计数为准，修正</w:t>
      </w:r>
      <w:r>
        <w:rPr>
          <w:rFonts w:hint="eastAsia" w:ascii="仿宋" w:hAnsi="仿宋" w:eastAsia="仿宋" w:cs="仿宋"/>
          <w:color w:val="auto"/>
          <w:sz w:val="32"/>
          <w:szCs w:val="32"/>
          <w:lang w:eastAsia="zh-CN"/>
        </w:rPr>
        <w:t>响应报价。</w:t>
      </w:r>
      <w:bookmarkEnd w:id="76"/>
      <w:bookmarkEnd w:id="77"/>
      <w:bookmarkEnd w:id="78"/>
      <w:bookmarkEnd w:id="79"/>
    </w:p>
    <w:p w14:paraId="6D580F88">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发现</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的报价明显低于其他</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，使得其</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rPr>
        <w:t>可能低于其个别成本的，应当要求该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作出书面说明并提供相应的证明材料。</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不能合理说明或者不能提供相应证明材料的，</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应当认定该</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以低于成本报价竞标，并否决其</w:t>
      </w:r>
      <w:r>
        <w:rPr>
          <w:rFonts w:hint="eastAsia" w:ascii="仿宋" w:hAnsi="仿宋" w:eastAsia="仿宋" w:cs="仿宋"/>
          <w:color w:val="auto"/>
          <w:sz w:val="32"/>
          <w:szCs w:val="32"/>
          <w:lang w:val="en-US" w:eastAsia="zh-CN"/>
        </w:rPr>
        <w:t>响应文件</w:t>
      </w:r>
      <w:r>
        <w:rPr>
          <w:rFonts w:hint="eastAsia" w:ascii="仿宋" w:hAnsi="仿宋" w:eastAsia="仿宋" w:cs="仿宋"/>
          <w:color w:val="auto"/>
          <w:sz w:val="32"/>
          <w:szCs w:val="32"/>
        </w:rPr>
        <w:t>。</w:t>
      </w:r>
    </w:p>
    <w:p w14:paraId="46E03A1F">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0" w:name="_Toc32669"/>
      <w:bookmarkStart w:id="81" w:name="_Toc15253"/>
      <w:bookmarkStart w:id="82" w:name="_Toc3366"/>
      <w:bookmarkStart w:id="83" w:name="_Toc3379583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的澄清</w:t>
      </w:r>
      <w:bookmarkEnd w:id="80"/>
      <w:bookmarkEnd w:id="81"/>
      <w:bookmarkEnd w:id="82"/>
      <w:bookmarkEnd w:id="83"/>
    </w:p>
    <w:p w14:paraId="40BA3B2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评审过程</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中含义不明确、对同类问题表述不一致或者有明显文字和计算错误的内容可以书面形式要求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作必要的澄清、说明或补正。</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不接受</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主动提出的澄清、说明或补正。</w:t>
      </w:r>
    </w:p>
    <w:p w14:paraId="677A8DED">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澄清、说明或补正不得超出</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的范围且不得改变</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的实质性内容，并构成</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的组成部分。</w:t>
      </w:r>
    </w:p>
    <w:p w14:paraId="60610E16">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提交的澄清、说明或补正有疑问的，可以要求</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进一步澄清、说明或补正，直至满足</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的要求。</w:t>
      </w:r>
    </w:p>
    <w:p w14:paraId="2799B257">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）评审结果</w:t>
      </w:r>
    </w:p>
    <w:p w14:paraId="2BB70A52">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根据采购文件规定的评审办法</w:t>
      </w:r>
      <w:r>
        <w:rPr>
          <w:rFonts w:hint="eastAsia" w:ascii="仿宋" w:hAnsi="仿宋" w:eastAsia="仿宋" w:cs="仿宋"/>
          <w:color w:val="auto"/>
          <w:sz w:val="32"/>
          <w:szCs w:val="32"/>
        </w:rPr>
        <w:t>按照</w:t>
      </w:r>
      <w:r>
        <w:rPr>
          <w:rFonts w:hint="eastAsia" w:ascii="仿宋" w:hAnsi="仿宋" w:eastAsia="仿宋" w:cs="仿宋"/>
          <w:color w:val="auto"/>
          <w:sz w:val="32"/>
          <w:szCs w:val="32"/>
          <w:lang w:val="en-US" w:eastAsia="zh-CN"/>
        </w:rPr>
        <w:t>价格由</w:t>
      </w:r>
      <w:r>
        <w:rPr>
          <w:rFonts w:hint="eastAsia" w:ascii="仿宋" w:hAnsi="仿宋" w:eastAsia="仿宋" w:cs="仿宋"/>
          <w:color w:val="auto"/>
          <w:sz w:val="32"/>
          <w:szCs w:val="32"/>
        </w:rPr>
        <w:t>低</w:t>
      </w:r>
      <w:r>
        <w:rPr>
          <w:rFonts w:hint="eastAsia" w:ascii="仿宋" w:hAnsi="仿宋" w:eastAsia="仿宋" w:cs="仿宋"/>
          <w:color w:val="auto"/>
          <w:sz w:val="32"/>
          <w:szCs w:val="32"/>
          <w:lang w:val="en-US" w:eastAsia="zh-CN"/>
        </w:rPr>
        <w:t>到高</w:t>
      </w:r>
      <w:r>
        <w:rPr>
          <w:rFonts w:hint="eastAsia" w:ascii="仿宋" w:hAnsi="仿宋" w:eastAsia="仿宋" w:cs="仿宋"/>
          <w:color w:val="auto"/>
          <w:sz w:val="32"/>
          <w:szCs w:val="32"/>
        </w:rPr>
        <w:t>的顺序推荐</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，并标明排序。</w:t>
      </w:r>
    </w:p>
    <w:p w14:paraId="4DD70EA3">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完成评标后，应当向</w:t>
      </w:r>
      <w:r>
        <w:rPr>
          <w:rFonts w:hint="eastAsia" w:ascii="仿宋" w:hAnsi="仿宋" w:eastAsia="仿宋" w:cs="仿宋"/>
          <w:color w:val="auto"/>
          <w:sz w:val="32"/>
          <w:szCs w:val="32"/>
          <w:lang w:val="en-US" w:eastAsia="zh-CN"/>
        </w:rPr>
        <w:t>招标办公室</w:t>
      </w:r>
      <w:r>
        <w:rPr>
          <w:rFonts w:hint="eastAsia" w:ascii="仿宋" w:hAnsi="仿宋" w:eastAsia="仿宋" w:cs="仿宋"/>
          <w:color w:val="auto"/>
          <w:sz w:val="32"/>
          <w:szCs w:val="32"/>
        </w:rPr>
        <w:t>提交书面</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名单。</w:t>
      </w:r>
    </w:p>
    <w:p w14:paraId="15592664">
      <w:pPr>
        <w:pStyle w:val="3"/>
        <w:keepNext w:val="0"/>
        <w:keepLines w:val="0"/>
        <w:pageBreakBefore w:val="0"/>
        <w:widowControl w:val="0"/>
        <w:kinsoku/>
        <w:wordWrap/>
        <w:overflowPunct w:val="0"/>
        <w:topLinePunct w:val="0"/>
        <w:autoSpaceDE/>
        <w:autoSpaceDN/>
        <w:bidi w:val="0"/>
        <w:adjustRightInd/>
        <w:snapToGrid/>
        <w:spacing w:before="0" w:after="0" w:line="520" w:lineRule="exact"/>
        <w:ind w:left="0" w:firstLine="643" w:firstLineChars="200"/>
        <w:jc w:val="both"/>
        <w:textAlignment w:val="auto"/>
        <w:rPr>
          <w:rFonts w:hint="eastAsia" w:ascii="仿宋" w:hAnsi="仿宋" w:eastAsia="仿宋" w:cs="仿宋"/>
          <w:color w:val="auto"/>
          <w:sz w:val="32"/>
          <w:szCs w:val="32"/>
        </w:rPr>
      </w:pPr>
      <w:bookmarkStart w:id="84" w:name="_Toc33795807"/>
      <w:bookmarkStart w:id="85" w:name="_Toc9481"/>
      <w:bookmarkStart w:id="86" w:name="_Toc8518"/>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合同授予</w:t>
      </w:r>
      <w:bookmarkEnd w:id="84"/>
      <w:bookmarkEnd w:id="85"/>
      <w:bookmarkEnd w:id="86"/>
    </w:p>
    <w:p w14:paraId="4D803931">
      <w:pPr>
        <w:pStyle w:val="4"/>
        <w:keepNext w:val="0"/>
        <w:keepLines w:val="0"/>
        <w:pageBreakBefore w:val="0"/>
        <w:widowControl w:val="0"/>
        <w:kinsoku/>
        <w:wordWrap/>
        <w:overflowPunct w:val="0"/>
        <w:topLinePunct w:val="0"/>
        <w:autoSpaceDE/>
        <w:autoSpaceDN/>
        <w:bidi w:val="0"/>
        <w:adjustRightInd/>
        <w:snapToGrid/>
        <w:spacing w:before="0" w:after="0" w:line="520" w:lineRule="exact"/>
        <w:ind w:left="0" w:leftChars="0" w:firstLine="320" w:firstLineChars="100"/>
        <w:jc w:val="both"/>
        <w:textAlignment w:val="auto"/>
        <w:rPr>
          <w:rFonts w:hint="eastAsia" w:ascii="仿宋" w:hAnsi="仿宋" w:eastAsia="仿宋" w:cs="仿宋"/>
          <w:color w:val="auto"/>
          <w:sz w:val="32"/>
          <w:szCs w:val="32"/>
        </w:rPr>
      </w:pPr>
      <w:bookmarkStart w:id="87" w:name="_Toc30852"/>
      <w:bookmarkStart w:id="88" w:name="_Toc33795808"/>
      <w:bookmarkStart w:id="89" w:name="_Toc16094"/>
      <w:bookmarkStart w:id="90" w:name="_Toc2109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w:t>
      </w:r>
      <w:bookmarkEnd w:id="87"/>
      <w:bookmarkEnd w:id="88"/>
      <w:bookmarkEnd w:id="89"/>
      <w:bookmarkEnd w:id="90"/>
    </w:p>
    <w:p w14:paraId="321DCECC">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招标办</w:t>
      </w:r>
      <w:r>
        <w:rPr>
          <w:rFonts w:hint="eastAsia" w:ascii="仿宋" w:hAnsi="仿宋" w:eastAsia="仿宋" w:cs="仿宋"/>
          <w:color w:val="auto"/>
          <w:sz w:val="32"/>
          <w:szCs w:val="32"/>
        </w:rPr>
        <w:t>收到</w:t>
      </w:r>
      <w:r>
        <w:rPr>
          <w:rFonts w:hint="eastAsia" w:ascii="仿宋" w:hAnsi="仿宋" w:eastAsia="仿宋" w:cs="仿宋"/>
          <w:color w:val="auto"/>
          <w:sz w:val="32"/>
          <w:szCs w:val="32"/>
          <w:lang w:eastAsia="zh-CN"/>
        </w:rPr>
        <w:t>评审报告</w:t>
      </w:r>
      <w:r>
        <w:rPr>
          <w:rFonts w:hint="eastAsia" w:ascii="仿宋" w:hAnsi="仿宋" w:eastAsia="仿宋" w:cs="仿宋"/>
          <w:color w:val="auto"/>
          <w:sz w:val="32"/>
          <w:szCs w:val="32"/>
        </w:rPr>
        <w:t>之日起3日内</w:t>
      </w:r>
      <w:r>
        <w:rPr>
          <w:rFonts w:hint="eastAsia" w:ascii="仿宋" w:hAnsi="仿宋" w:eastAsia="仿宋" w:cs="仿宋"/>
          <w:color w:val="auto"/>
          <w:sz w:val="32"/>
          <w:szCs w:val="32"/>
          <w:lang w:val="en-US" w:eastAsia="zh-CN"/>
        </w:rPr>
        <w:t>确定成交人</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并在陕西锌业有限公司网络采购平台www.sxxyjjpt.com公示成交候选人，公示期不少于3天</w:t>
      </w:r>
      <w:r>
        <w:rPr>
          <w:rFonts w:hint="eastAsia" w:ascii="仿宋" w:hAnsi="仿宋" w:eastAsia="仿宋" w:cs="仿宋"/>
          <w:color w:val="auto"/>
          <w:sz w:val="32"/>
          <w:szCs w:val="32"/>
        </w:rPr>
        <w:t>。</w:t>
      </w:r>
    </w:p>
    <w:p w14:paraId="2B22E06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91" w:name="_Toc33795809"/>
      <w:bookmarkStart w:id="92" w:name="_Toc10372"/>
      <w:bookmarkStart w:id="93" w:name="_Toc7018"/>
      <w:bookmarkStart w:id="94" w:name="_Toc19079"/>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异议</w:t>
      </w:r>
      <w:bookmarkEnd w:id="91"/>
      <w:bookmarkEnd w:id="92"/>
      <w:bookmarkEnd w:id="93"/>
      <w:bookmarkEnd w:id="94"/>
    </w:p>
    <w:p w14:paraId="08CCEB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或者其他利</w:t>
      </w:r>
      <w:bookmarkStart w:id="95" w:name="_Toc30095"/>
      <w:bookmarkStart w:id="96" w:name="_Toc247513985"/>
      <w:bookmarkStart w:id="97" w:name="_Toc247527586"/>
      <w:bookmarkStart w:id="98" w:name="_Toc352691505"/>
      <w:bookmarkStart w:id="99" w:name="_Toc152045561"/>
      <w:bookmarkStart w:id="100" w:name="_Toc384308243"/>
      <w:bookmarkStart w:id="101" w:name="_Toc361508618"/>
      <w:bookmarkStart w:id="102" w:name="_Toc144974529"/>
      <w:bookmarkStart w:id="103" w:name="_Toc300834982"/>
      <w:bookmarkStart w:id="104" w:name="_Toc369531549"/>
      <w:bookmarkStart w:id="105" w:name="_Toc152042337"/>
      <w:r>
        <w:rPr>
          <w:rFonts w:hint="eastAsia" w:ascii="仿宋" w:hAnsi="仿宋" w:eastAsia="仿宋" w:cs="仿宋"/>
          <w:color w:val="auto"/>
          <w:sz w:val="32"/>
          <w:szCs w:val="32"/>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32"/>
          <w:szCs w:val="32"/>
          <w:lang w:eastAsia="zh-CN"/>
        </w:rPr>
        <w:t>评审结果</w:t>
      </w:r>
      <w:r>
        <w:rPr>
          <w:rFonts w:hint="eastAsia" w:ascii="仿宋" w:hAnsi="仿宋" w:eastAsia="仿宋" w:cs="仿宋"/>
          <w:color w:val="auto"/>
          <w:sz w:val="32"/>
          <w:szCs w:val="32"/>
        </w:rPr>
        <w:t>有异议的，应当在</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公示期间提出。</w:t>
      </w:r>
      <w:r>
        <w:rPr>
          <w:rFonts w:hint="eastAsia" w:ascii="仿宋" w:hAnsi="仿宋" w:eastAsia="仿宋" w:cs="仿宋"/>
          <w:color w:val="auto"/>
          <w:sz w:val="32"/>
          <w:szCs w:val="32"/>
          <w:lang w:eastAsia="zh-CN"/>
        </w:rPr>
        <w:t>采购</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rPr>
        <w:t>在收到异议之日起3日内</w:t>
      </w:r>
      <w:r>
        <w:rPr>
          <w:rFonts w:hint="eastAsia" w:ascii="仿宋" w:hAnsi="仿宋" w:eastAsia="仿宋" w:cs="仿宋"/>
          <w:color w:val="auto"/>
          <w:sz w:val="32"/>
          <w:szCs w:val="32"/>
          <w:lang w:val="en-US" w:eastAsia="zh-CN"/>
        </w:rPr>
        <w:t>对异议</w:t>
      </w:r>
      <w:r>
        <w:rPr>
          <w:rFonts w:hint="eastAsia" w:ascii="仿宋" w:hAnsi="仿宋" w:eastAsia="仿宋" w:cs="仿宋"/>
          <w:color w:val="auto"/>
          <w:sz w:val="32"/>
          <w:szCs w:val="32"/>
        </w:rPr>
        <w:t>作出答复；作出答复前，将暂停</w:t>
      </w:r>
      <w:r>
        <w:rPr>
          <w:rFonts w:hint="eastAsia" w:ascii="仿宋" w:hAnsi="仿宋" w:eastAsia="仿宋" w:cs="仿宋"/>
          <w:color w:val="auto"/>
          <w:sz w:val="32"/>
          <w:szCs w:val="32"/>
          <w:lang w:val="en-US" w:eastAsia="zh-CN"/>
        </w:rPr>
        <w:t>询比采购</w:t>
      </w:r>
      <w:r>
        <w:rPr>
          <w:rFonts w:hint="eastAsia" w:ascii="仿宋" w:hAnsi="仿宋" w:eastAsia="仿宋" w:cs="仿宋"/>
          <w:color w:val="auto"/>
          <w:sz w:val="32"/>
          <w:szCs w:val="32"/>
        </w:rPr>
        <w:t>活动。</w:t>
      </w:r>
    </w:p>
    <w:p w14:paraId="5010675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06" w:name="_Toc33795810"/>
      <w:bookmarkStart w:id="107" w:name="_Toc21648"/>
      <w:bookmarkStart w:id="108" w:name="_Toc25590"/>
      <w:bookmarkStart w:id="109" w:name="_Toc28756"/>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履约能力审查</w:t>
      </w:r>
      <w:bookmarkEnd w:id="106"/>
      <w:bookmarkEnd w:id="107"/>
      <w:bookmarkEnd w:id="108"/>
      <w:bookmarkEnd w:id="109"/>
    </w:p>
    <w:p w14:paraId="000B483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的经营、财务状况发生较大变化或存在违法行为，</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认为可能影响其履约能力的，</w:t>
      </w:r>
      <w:r>
        <w:rPr>
          <w:rFonts w:hint="eastAsia" w:ascii="仿宋" w:hAnsi="仿宋" w:eastAsia="仿宋" w:cs="仿宋"/>
          <w:color w:val="auto"/>
          <w:sz w:val="32"/>
          <w:szCs w:val="32"/>
          <w:lang w:val="en-US" w:eastAsia="zh-CN"/>
        </w:rPr>
        <w:t>采购人招标办公室</w:t>
      </w:r>
      <w:r>
        <w:rPr>
          <w:rFonts w:hint="eastAsia" w:ascii="仿宋" w:hAnsi="仿宋" w:eastAsia="仿宋" w:cs="仿宋"/>
          <w:color w:val="auto"/>
          <w:sz w:val="32"/>
          <w:szCs w:val="32"/>
        </w:rPr>
        <w:t>将在发出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通知书前提请原</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规定的标准和方法进行审查和确认。</w:t>
      </w:r>
    </w:p>
    <w:p w14:paraId="02EC3680">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lang w:val="en-US"/>
        </w:rPr>
      </w:pPr>
      <w:bookmarkStart w:id="110" w:name="_Toc19470"/>
      <w:bookmarkStart w:id="111" w:name="_Toc2191"/>
      <w:bookmarkStart w:id="112" w:name="_Toc33795811"/>
      <w:bookmarkStart w:id="113" w:name="_Toc24665"/>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w:t>
      </w:r>
      <w:bookmarkEnd w:id="110"/>
      <w:bookmarkEnd w:id="111"/>
      <w:bookmarkEnd w:id="112"/>
      <w:bookmarkEnd w:id="113"/>
      <w:r>
        <w:rPr>
          <w:rFonts w:hint="eastAsia" w:ascii="仿宋" w:hAnsi="仿宋" w:eastAsia="仿宋" w:cs="仿宋"/>
          <w:color w:val="auto"/>
          <w:sz w:val="32"/>
          <w:szCs w:val="32"/>
          <w:lang w:val="en-US" w:eastAsia="zh-CN"/>
        </w:rPr>
        <w:t>确定成交人</w:t>
      </w:r>
    </w:p>
    <w:p w14:paraId="4128200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单位履行内部审批程序，根据</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lang w:val="en-US" w:eastAsia="zh-CN"/>
        </w:rPr>
        <w:t>的评审报告及成交人候选人名单</w:t>
      </w:r>
      <w:r>
        <w:rPr>
          <w:rFonts w:hint="eastAsia" w:ascii="仿宋" w:hAnsi="仿宋" w:eastAsia="仿宋" w:cs="仿宋"/>
          <w:color w:val="auto"/>
          <w:sz w:val="32"/>
          <w:szCs w:val="32"/>
        </w:rPr>
        <w:t>确定</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w:t>
      </w:r>
    </w:p>
    <w:p w14:paraId="0C40ED3C">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14" w:name="_Toc31681"/>
      <w:bookmarkStart w:id="115" w:name="_Toc10813"/>
      <w:bookmarkStart w:id="116" w:name="_Toc33795812"/>
      <w:bookmarkStart w:id="117" w:name="_Toc6928"/>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4"/>
      <w:bookmarkEnd w:id="115"/>
      <w:bookmarkEnd w:id="116"/>
      <w:bookmarkEnd w:id="117"/>
    </w:p>
    <w:p w14:paraId="0DB1B630">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rPr>
        <w:t>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采购主责部门</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人发出</w:t>
      </w:r>
      <w:bookmarkStart w:id="118" w:name="_Toc352691506"/>
      <w:bookmarkStart w:id="119" w:name="_Toc300834983"/>
      <w:bookmarkStart w:id="120" w:name="_Toc5668"/>
      <w:bookmarkStart w:id="121" w:name="_Toc369531550"/>
      <w:bookmarkStart w:id="122" w:name="_Toc384308244"/>
      <w:bookmarkStart w:id="123" w:name="_Toc361508619"/>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w:t>
      </w:r>
      <w:bookmarkEnd w:id="118"/>
      <w:bookmarkEnd w:id="119"/>
      <w:bookmarkEnd w:id="120"/>
      <w:bookmarkEnd w:id="121"/>
      <w:bookmarkEnd w:id="122"/>
      <w:bookmarkEnd w:id="123"/>
      <w:r>
        <w:rPr>
          <w:rFonts w:hint="eastAsia" w:ascii="仿宋" w:hAnsi="仿宋" w:eastAsia="仿宋" w:cs="仿宋"/>
          <w:color w:val="auto"/>
          <w:sz w:val="32"/>
          <w:szCs w:val="32"/>
          <w:lang w:eastAsia="zh-CN"/>
        </w:rPr>
        <w:t>。</w:t>
      </w:r>
    </w:p>
    <w:p w14:paraId="62FC62D5">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bookmarkStart w:id="124" w:name="_Toc4342"/>
      <w:bookmarkStart w:id="125" w:name="_Toc21613"/>
      <w:bookmarkStart w:id="126" w:name="_Toc30705"/>
      <w:bookmarkStart w:id="127" w:name="_Toc33795813"/>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履约担保</w:t>
      </w:r>
      <w:bookmarkEnd w:id="124"/>
      <w:bookmarkEnd w:id="125"/>
      <w:bookmarkEnd w:id="126"/>
      <w:bookmarkEnd w:id="127"/>
    </w:p>
    <w:p w14:paraId="7674C855">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bookmarkStart w:id="128" w:name="_Toc33795814"/>
      <w:bookmarkStart w:id="129" w:name="_Toc14362"/>
      <w:bookmarkStart w:id="130" w:name="_Toc3671"/>
      <w:bookmarkStart w:id="131" w:name="_Toc11183"/>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人应</w:t>
      </w:r>
      <w:r>
        <w:rPr>
          <w:rFonts w:hint="eastAsia" w:ascii="仿宋" w:hAnsi="仿宋" w:eastAsia="仿宋" w:cs="仿宋"/>
          <w:color w:val="auto"/>
          <w:sz w:val="32"/>
          <w:szCs w:val="32"/>
          <w:lang w:val="en-US" w:eastAsia="zh-CN"/>
        </w:rPr>
        <w:t>按合同金额的10%以担保函或转账形式在收到成交通知后3日内</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提交履约担保。</w:t>
      </w:r>
    </w:p>
    <w:p w14:paraId="1038276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人不能按</w:t>
      </w:r>
      <w:r>
        <w:rPr>
          <w:rFonts w:hint="eastAsia" w:ascii="仿宋" w:hAnsi="仿宋" w:eastAsia="仿宋" w:cs="仿宋"/>
          <w:color w:val="auto"/>
          <w:sz w:val="32"/>
          <w:szCs w:val="32"/>
          <w:lang w:val="en-US" w:eastAsia="zh-CN"/>
        </w:rPr>
        <w:t>前述</w:t>
      </w:r>
      <w:r>
        <w:rPr>
          <w:rFonts w:hint="eastAsia" w:ascii="仿宋" w:hAnsi="仿宋" w:eastAsia="仿宋" w:cs="仿宋"/>
          <w:color w:val="auto"/>
          <w:sz w:val="32"/>
          <w:szCs w:val="32"/>
        </w:rPr>
        <w:t>要求提交履约担保的，视为放弃</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BA626B3">
      <w:pPr>
        <w:pStyle w:val="4"/>
        <w:keepNext w:val="0"/>
        <w:keepLines w:val="0"/>
        <w:pageBreakBefore w:val="0"/>
        <w:widowControl w:val="0"/>
        <w:kinsoku/>
        <w:wordWrap/>
        <w:overflowPunct w:val="0"/>
        <w:topLinePunct w:val="0"/>
        <w:autoSpaceDE/>
        <w:autoSpaceDN/>
        <w:bidi w:val="0"/>
        <w:snapToGrid/>
        <w:spacing w:before="0" w:after="0" w:line="500" w:lineRule="exact"/>
        <w:ind w:left="0" w:leftChars="0" w:firstLine="320" w:firstLineChars="1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签订合同</w:t>
      </w:r>
      <w:bookmarkEnd w:id="128"/>
      <w:bookmarkEnd w:id="129"/>
      <w:bookmarkEnd w:id="130"/>
      <w:bookmarkEnd w:id="131"/>
    </w:p>
    <w:p w14:paraId="6E891B9E">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应当在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内，且在自</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通知书发出之日起</w:t>
      </w:r>
      <w:bookmarkStart w:id="132" w:name="_Toc247527589"/>
      <w:bookmarkStart w:id="133" w:name="_Toc152045564"/>
      <w:bookmarkStart w:id="134" w:name="_Toc300834986"/>
      <w:bookmarkStart w:id="135" w:name="_Toc4656"/>
      <w:bookmarkStart w:id="136" w:name="_Toc152042340"/>
      <w:bookmarkStart w:id="137" w:name="_Toc369531553"/>
      <w:bookmarkStart w:id="138" w:name="_Toc384308247"/>
      <w:bookmarkStart w:id="139" w:name="_Toc361508622"/>
      <w:bookmarkStart w:id="140" w:name="_Toc352691509"/>
      <w:bookmarkStart w:id="141" w:name="_Toc144974532"/>
      <w:bookmarkStart w:id="142" w:name="_Toc247513988"/>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订立书面合同。</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人无正</w:t>
      </w:r>
      <w:bookmarkStart w:id="143" w:name="_Toc247513989"/>
      <w:bookmarkStart w:id="144" w:name="_Toc361508623"/>
      <w:bookmarkStart w:id="145" w:name="_Toc384308248"/>
      <w:bookmarkStart w:id="146" w:name="_Toc152042341"/>
      <w:bookmarkStart w:id="147" w:name="_Toc18247"/>
      <w:bookmarkStart w:id="148" w:name="_Toc152045565"/>
      <w:bookmarkStart w:id="149" w:name="_Toc369531554"/>
      <w:bookmarkStart w:id="150" w:name="_Toc300834987"/>
      <w:bookmarkStart w:id="151" w:name="_Toc352691510"/>
      <w:bookmarkStart w:id="152" w:name="_Toc144974533"/>
      <w:bookmarkStart w:id="153" w:name="_Toc247527590"/>
      <w:r>
        <w:rPr>
          <w:rFonts w:hint="eastAsia" w:ascii="仿宋" w:hAnsi="仿宋" w:eastAsia="仿宋" w:cs="仿宋"/>
          <w:color w:val="auto"/>
          <w:sz w:val="32"/>
          <w:szCs w:val="32"/>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32"/>
          <w:szCs w:val="32"/>
        </w:rPr>
        <w:t>同，或者提出其他附加条件的，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有权取消其</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资格，其</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不予退还；给</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造成的损失超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数额的，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lang w:val="en-US" w:eastAsia="zh-CN"/>
        </w:rPr>
        <w:t>供应商</w:t>
      </w:r>
      <w:r>
        <w:rPr>
          <w:rFonts w:hint="eastAsia" w:ascii="仿宋" w:hAnsi="仿宋" w:eastAsia="仿宋" w:cs="仿宋"/>
          <w:color w:val="auto"/>
          <w:sz w:val="32"/>
          <w:szCs w:val="32"/>
        </w:rPr>
        <w:t>还应当对超</w:t>
      </w:r>
      <w:r>
        <w:rPr>
          <w:rFonts w:hint="eastAsia" w:ascii="仿宋" w:hAnsi="仿宋" w:eastAsia="仿宋" w:cs="仿宋"/>
          <w:color w:val="auto"/>
          <w:sz w:val="32"/>
          <w:szCs w:val="32"/>
          <w:lang w:val="en-US" w:eastAsia="zh-CN"/>
        </w:rPr>
        <w:t>出</w:t>
      </w:r>
      <w:r>
        <w:rPr>
          <w:rFonts w:hint="eastAsia" w:ascii="仿宋" w:hAnsi="仿宋" w:eastAsia="仿宋" w:cs="仿宋"/>
          <w:color w:val="auto"/>
          <w:sz w:val="32"/>
          <w:szCs w:val="32"/>
        </w:rPr>
        <w:t>部分予以赔偿。</w:t>
      </w:r>
    </w:p>
    <w:p w14:paraId="63EEEEEA">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发出</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无正当理由拒签合同的，或者提出其他附加条件的，</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向</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人退还</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；给</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人造成损失的，还应当赔偿损失。</w:t>
      </w:r>
      <w:bookmarkStart w:id="154" w:name="_Toc384308252"/>
      <w:bookmarkStart w:id="155" w:name="_Toc361508627"/>
      <w:bookmarkStart w:id="156" w:name="_Toc24067"/>
      <w:bookmarkStart w:id="157" w:name="_Toc152045568"/>
      <w:bookmarkStart w:id="158" w:name="_Toc144974536"/>
      <w:bookmarkStart w:id="159" w:name="_Toc247527593"/>
      <w:bookmarkStart w:id="160" w:name="_Toc247513992"/>
      <w:bookmarkStart w:id="161" w:name="_Toc300834991"/>
      <w:bookmarkStart w:id="162" w:name="_Toc152042344"/>
    </w:p>
    <w:bookmarkEnd w:id="154"/>
    <w:bookmarkEnd w:id="155"/>
    <w:bookmarkEnd w:id="156"/>
    <w:p w14:paraId="14AA1C27">
      <w:pPr>
        <w:pStyle w:val="3"/>
        <w:keepNext w:val="0"/>
        <w:keepLines w:val="0"/>
        <w:pageBreakBefore w:val="0"/>
        <w:widowControl w:val="0"/>
        <w:kinsoku/>
        <w:wordWrap/>
        <w:overflowPunct w:val="0"/>
        <w:topLinePunct w:val="0"/>
        <w:autoSpaceDE/>
        <w:autoSpaceDN/>
        <w:bidi w:val="0"/>
        <w:snapToGrid/>
        <w:spacing w:before="0" w:after="0" w:line="500" w:lineRule="exact"/>
        <w:ind w:left="0" w:firstLine="643" w:firstLineChars="200"/>
        <w:jc w:val="both"/>
        <w:rPr>
          <w:rFonts w:hint="eastAsia" w:ascii="仿宋" w:hAnsi="仿宋" w:eastAsia="仿宋" w:cs="仿宋"/>
          <w:color w:val="auto"/>
          <w:sz w:val="32"/>
          <w:szCs w:val="32"/>
        </w:rPr>
      </w:pPr>
      <w:bookmarkStart w:id="163" w:name="_Toc33795815"/>
      <w:bookmarkStart w:id="164" w:name="_Toc25347"/>
      <w:bookmarkStart w:id="165" w:name="_Toc14752"/>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纪律和监督</w:t>
      </w:r>
      <w:bookmarkEnd w:id="163"/>
      <w:bookmarkEnd w:id="164"/>
      <w:bookmarkEnd w:id="165"/>
    </w:p>
    <w:p w14:paraId="53CAF616">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不得相互串通</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或者与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串通</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，不得向</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或者</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成员行贿谋取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，不得以他人名义</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或者以其他方式弄虚作假骗取</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不得以任何方式干扰、影响评标工作。</w:t>
      </w:r>
    </w:p>
    <w:p w14:paraId="103C8FC4">
      <w:pPr>
        <w:keepNext w:val="0"/>
        <w:keepLines w:val="0"/>
        <w:pageBreakBefore w:val="0"/>
        <w:widowControl w:val="0"/>
        <w:kinsoku/>
        <w:wordWrap/>
        <w:overflowPunct w:val="0"/>
        <w:topLinePunct w:val="0"/>
        <w:autoSpaceDE/>
        <w:autoSpaceDN/>
        <w:bidi w:val="0"/>
        <w:snapToGrid/>
        <w:spacing w:line="500" w:lineRule="exact"/>
        <w:ind w:left="0" w:firstLine="640" w:firstLineChars="200"/>
        <w:jc w:val="both"/>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w:t>
      </w:r>
      <w:r>
        <w:rPr>
          <w:rFonts w:hint="eastAsia" w:ascii="仿宋" w:hAnsi="仿宋" w:eastAsia="仿宋" w:cs="仿宋"/>
          <w:color w:val="auto"/>
          <w:sz w:val="32"/>
          <w:szCs w:val="32"/>
          <w:lang w:val="en-US" w:eastAsia="zh-CN"/>
        </w:rPr>
        <w:t>及相关工作人员</w:t>
      </w:r>
      <w:r>
        <w:rPr>
          <w:rFonts w:hint="eastAsia" w:ascii="仿宋" w:hAnsi="仿宋" w:eastAsia="仿宋" w:cs="仿宋"/>
          <w:color w:val="auto"/>
          <w:sz w:val="32"/>
          <w:szCs w:val="32"/>
        </w:rPr>
        <w:t>不得收受他人的财物或者其他好处，不得向他人透露对</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的评审</w:t>
      </w:r>
      <w:bookmarkStart w:id="166" w:name="_Toc13644"/>
      <w:bookmarkStart w:id="167" w:name="_Toc369531559"/>
      <w:bookmarkStart w:id="168" w:name="_Toc352691515"/>
      <w:bookmarkStart w:id="169" w:name="_Toc361508628"/>
      <w:bookmarkStart w:id="170" w:name="_Toc384308253"/>
      <w:r>
        <w:rPr>
          <w:rFonts w:hint="eastAsia" w:ascii="仿宋" w:hAnsi="仿宋" w:eastAsia="仿宋" w:cs="仿宋"/>
          <w:color w:val="auto"/>
          <w:sz w:val="32"/>
          <w:szCs w:val="32"/>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32"/>
          <w:szCs w:val="32"/>
          <w:lang w:eastAsia="zh-CN"/>
        </w:rPr>
        <w:t>成交候选人</w:t>
      </w:r>
      <w:r>
        <w:rPr>
          <w:rFonts w:hint="eastAsia" w:ascii="仿宋" w:hAnsi="仿宋" w:eastAsia="仿宋" w:cs="仿宋"/>
          <w:color w:val="auto"/>
          <w:sz w:val="32"/>
          <w:szCs w:val="32"/>
        </w:rPr>
        <w:t>的推荐情况以及评标有关的其他情况。在</w:t>
      </w:r>
      <w:r>
        <w:rPr>
          <w:rFonts w:hint="eastAsia" w:ascii="仿宋" w:hAnsi="仿宋" w:eastAsia="仿宋" w:cs="仿宋"/>
          <w:color w:val="auto"/>
          <w:sz w:val="32"/>
          <w:szCs w:val="32"/>
          <w:lang w:eastAsia="zh-CN"/>
        </w:rPr>
        <w:t>评审活动</w:t>
      </w:r>
      <w:r>
        <w:rPr>
          <w:rFonts w:hint="eastAsia" w:ascii="仿宋" w:hAnsi="仿宋" w:eastAsia="仿宋" w:cs="仿宋"/>
          <w:color w:val="auto"/>
          <w:sz w:val="32"/>
          <w:szCs w:val="32"/>
        </w:rPr>
        <w:t>中，</w:t>
      </w:r>
      <w:r>
        <w:rPr>
          <w:rFonts w:hint="eastAsia" w:ascii="仿宋" w:hAnsi="仿宋" w:eastAsia="仿宋" w:cs="仿宋"/>
          <w:color w:val="auto"/>
          <w:sz w:val="32"/>
          <w:szCs w:val="32"/>
          <w:lang w:eastAsia="zh-CN"/>
        </w:rPr>
        <w:t>评审小组</w:t>
      </w:r>
      <w:r>
        <w:rPr>
          <w:rFonts w:hint="eastAsia" w:ascii="仿宋" w:hAnsi="仿宋" w:eastAsia="仿宋" w:cs="仿宋"/>
          <w:color w:val="auto"/>
          <w:sz w:val="32"/>
          <w:szCs w:val="32"/>
        </w:rPr>
        <w:t>成员应当客观、公正地履行职责，遵守职业道德，不得擅离职守，影响评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程序正常进行，不得使用“</w:t>
      </w:r>
      <w:r>
        <w:rPr>
          <w:rFonts w:hint="eastAsia" w:ascii="仿宋" w:hAnsi="仿宋" w:eastAsia="仿宋" w:cs="仿宋"/>
          <w:color w:val="auto"/>
          <w:sz w:val="32"/>
          <w:szCs w:val="32"/>
          <w:lang w:eastAsia="zh-CN"/>
        </w:rPr>
        <w:t>评审办法</w:t>
      </w:r>
      <w:r>
        <w:rPr>
          <w:rFonts w:hint="eastAsia" w:ascii="仿宋" w:hAnsi="仿宋" w:eastAsia="仿宋" w:cs="仿宋"/>
          <w:color w:val="auto"/>
          <w:sz w:val="32"/>
          <w:szCs w:val="32"/>
        </w:rPr>
        <w:t>”没有规定的评审因素和标准进行评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w:t>
      </w:r>
    </w:p>
    <w:p w14:paraId="1737B20D">
      <w:pPr>
        <w:pStyle w:val="4"/>
        <w:keepNext w:val="0"/>
        <w:keepLines w:val="0"/>
        <w:pageBreakBefore w:val="0"/>
        <w:widowControl w:val="0"/>
        <w:numPr>
          <w:ilvl w:val="0"/>
          <w:numId w:val="0"/>
        </w:numPr>
        <w:kinsoku/>
        <w:wordWrap/>
        <w:overflowPunct w:val="0"/>
        <w:topLinePunct w:val="0"/>
        <w:autoSpaceDE/>
        <w:autoSpaceDN/>
        <w:bidi w:val="0"/>
        <w:snapToGrid/>
        <w:spacing w:before="0" w:after="0" w:line="500" w:lineRule="exact"/>
        <w:ind w:left="0" w:firstLine="640" w:firstLineChars="200"/>
        <w:jc w:val="both"/>
        <w:rPr>
          <w:rFonts w:hint="eastAsia" w:ascii="仿宋" w:hAnsi="仿宋" w:eastAsia="仿宋" w:cs="仿宋"/>
          <w:color w:val="auto"/>
          <w:sz w:val="32"/>
          <w:szCs w:val="32"/>
        </w:rPr>
      </w:pPr>
      <w:bookmarkStart w:id="171" w:name="_Toc24957"/>
      <w:bookmarkStart w:id="172" w:name="_Toc33795820"/>
      <w:bookmarkStart w:id="173" w:name="_Toc22294"/>
      <w:bookmarkStart w:id="174" w:name="_Toc18070"/>
      <w:r>
        <w:rPr>
          <w:rFonts w:hint="eastAsia" w:ascii="仿宋" w:hAnsi="仿宋" w:eastAsia="仿宋" w:cs="仿宋"/>
          <w:color w:val="auto"/>
          <w:sz w:val="32"/>
          <w:szCs w:val="32"/>
          <w:lang w:val="en-US" w:eastAsia="zh-CN"/>
        </w:rPr>
        <w:t>（三）异议</w:t>
      </w:r>
      <w:bookmarkEnd w:id="171"/>
      <w:bookmarkEnd w:id="172"/>
      <w:bookmarkEnd w:id="173"/>
      <w:bookmarkEnd w:id="174"/>
    </w:p>
    <w:p w14:paraId="103D7F6A">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1.供应商或者其他利害关系人认为采购人采购活动存在违法或违反平等自愿、公平诚信原则的，可以直接向采购人单位招标办公室提出异议。</w:t>
      </w:r>
    </w:p>
    <w:p w14:paraId="420B98EC">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26FD03F3">
      <w:pPr>
        <w:keepNext w:val="0"/>
        <w:keepLines w:val="0"/>
        <w:pageBreakBefore w:val="0"/>
        <w:widowControl w:val="0"/>
        <w:suppressLineNumbers w:val="0"/>
        <w:kinsoku/>
        <w:wordWrap/>
        <w:overflowPunct w:val="0"/>
        <w:topLinePunct w:val="0"/>
        <w:autoSpaceDE/>
        <w:autoSpaceDN/>
        <w:bidi w:val="0"/>
        <w:adjustRightInd/>
        <w:snapToGrid/>
        <w:spacing w:line="500" w:lineRule="exact"/>
        <w:ind w:left="0" w:firstLine="640" w:firstLineChars="200"/>
        <w:jc w:val="both"/>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3.对响应采购供应商提出的异议，如属异议提出人对相关问题理解有误的，招标办应做出解释；如经核查发现采购活动确实存在违法或违反本办法相关</w:t>
      </w:r>
      <w:r>
        <w:rPr>
          <w:rFonts w:hint="eastAsia" w:ascii="仿宋" w:hAnsi="仿宋" w:eastAsia="仿宋" w:cs="仿宋"/>
          <w:color w:val="auto"/>
          <w:kern w:val="0"/>
          <w:sz w:val="32"/>
          <w:szCs w:val="32"/>
          <w:highlight w:val="none"/>
          <w:lang w:val="en-US" w:eastAsia="zh-CN" w:bidi="ar"/>
        </w:rPr>
        <w:t>规定</w:t>
      </w:r>
      <w:r>
        <w:rPr>
          <w:rFonts w:hint="eastAsia" w:ascii="仿宋" w:hAnsi="仿宋" w:eastAsia="仿宋" w:cs="仿宋"/>
          <w:color w:val="auto"/>
          <w:kern w:val="0"/>
          <w:sz w:val="32"/>
          <w:szCs w:val="32"/>
          <w:lang w:val="en-US" w:eastAsia="zh-CN" w:bidi="ar"/>
        </w:rPr>
        <w:t xml:space="preserve">的，招标办应及时予以纠正或补救。       </w:t>
      </w:r>
    </w:p>
    <w:p w14:paraId="4EF595EC">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480" w:firstLineChars="1400"/>
        <w:jc w:val="both"/>
        <w:rPr>
          <w:rFonts w:hint="eastAsia" w:ascii="仿宋" w:hAnsi="仿宋" w:eastAsia="仿宋" w:cs="仿宋"/>
          <w:b w:val="0"/>
          <w:bCs w:val="0"/>
          <w:color w:val="auto"/>
          <w:sz w:val="32"/>
          <w:szCs w:val="32"/>
          <w:lang w:val="en-US" w:eastAsia="zh-CN"/>
        </w:rPr>
      </w:pPr>
    </w:p>
    <w:p w14:paraId="0D00F75B">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3F57161">
      <w:pPr>
        <w:keepNext w:val="0"/>
        <w:keepLines w:val="0"/>
        <w:pageBreakBefore w:val="0"/>
        <w:widowControl w:val="0"/>
        <w:suppressLineNumbers w:val="0"/>
        <w:kinsoku/>
        <w:wordWrap/>
        <w:overflowPunct w:val="0"/>
        <w:topLinePunct w:val="0"/>
        <w:autoSpaceDE/>
        <w:autoSpaceDN/>
        <w:bidi w:val="0"/>
        <w:adjustRightInd/>
        <w:snapToGrid/>
        <w:spacing w:line="520" w:lineRule="exact"/>
        <w:jc w:val="both"/>
        <w:rPr>
          <w:rFonts w:hint="eastAsia" w:ascii="仿宋" w:hAnsi="仿宋" w:eastAsia="仿宋" w:cs="仿宋"/>
          <w:b w:val="0"/>
          <w:bCs w:val="0"/>
          <w:color w:val="auto"/>
          <w:sz w:val="32"/>
          <w:szCs w:val="32"/>
          <w:lang w:val="en-US" w:eastAsia="zh-CN"/>
        </w:rPr>
      </w:pPr>
    </w:p>
    <w:p w14:paraId="52F540B9">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5BA592F7">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9609013">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356B2216">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p>
    <w:p w14:paraId="0EB2F0B8">
      <w:pPr>
        <w:keepNext w:val="0"/>
        <w:keepLines w:val="0"/>
        <w:pageBreakBefore w:val="0"/>
        <w:widowControl w:val="0"/>
        <w:suppressLineNumbers w:val="0"/>
        <w:kinsoku/>
        <w:wordWrap/>
        <w:overflowPunct w:val="0"/>
        <w:topLinePunct w:val="0"/>
        <w:autoSpaceDE/>
        <w:autoSpaceDN/>
        <w:bidi w:val="0"/>
        <w:adjustRightInd/>
        <w:snapToGrid/>
        <w:spacing w:line="520" w:lineRule="exact"/>
        <w:ind w:left="0" w:firstLine="4800" w:firstLineChars="15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陕西锌业有限公司</w:t>
      </w:r>
    </w:p>
    <w:p w14:paraId="383B2F82">
      <w:pPr>
        <w:keepNext w:val="0"/>
        <w:keepLines w:val="0"/>
        <w:pageBreakBefore w:val="0"/>
        <w:widowControl w:val="0"/>
        <w:kinsoku/>
        <w:wordWrap/>
        <w:overflowPunct w:val="0"/>
        <w:topLinePunct w:val="0"/>
        <w:autoSpaceDE/>
        <w:autoSpaceDN/>
        <w:bidi w:val="0"/>
        <w:snapToGrid/>
        <w:spacing w:line="520" w:lineRule="exact"/>
        <w:ind w:firstLine="4800" w:firstLineChars="1500"/>
        <w:jc w:val="both"/>
        <w:rPr>
          <w:rFonts w:hint="eastAsia" w:ascii="宋体" w:hAnsi="宋体" w:eastAsia="宋体" w:cs="宋体"/>
          <w:color w:val="auto"/>
          <w:sz w:val="36"/>
          <w:szCs w:val="36"/>
          <w:lang w:val="en-US" w:eastAsia="zh-CN"/>
        </w:rPr>
      </w:pPr>
      <w:r>
        <w:rPr>
          <w:rFonts w:hint="eastAsia" w:ascii="仿宋" w:hAnsi="仿宋" w:eastAsia="仿宋" w:cs="仿宋"/>
          <w:b w:val="0"/>
          <w:bCs w:val="0"/>
          <w:color w:val="auto"/>
          <w:sz w:val="32"/>
          <w:szCs w:val="32"/>
          <w:lang w:val="en-US" w:eastAsia="zh-CN"/>
        </w:rPr>
        <w:t>2025年05月20日</w:t>
      </w:r>
    </w:p>
    <w:p w14:paraId="55F50CE4">
      <w:pPr>
        <w:pStyle w:val="2"/>
        <w:jc w:val="both"/>
        <w:rPr>
          <w:rFonts w:hint="eastAsia" w:ascii="宋体" w:hAnsi="宋体" w:eastAsia="宋体" w:cs="宋体"/>
          <w:color w:val="auto"/>
          <w:sz w:val="36"/>
          <w:szCs w:val="36"/>
          <w:lang w:val="en-US" w:eastAsia="zh-CN"/>
        </w:rPr>
      </w:pPr>
    </w:p>
    <w:p w14:paraId="64EBF0AE">
      <w:pPr>
        <w:pStyle w:val="2"/>
        <w:jc w:val="both"/>
        <w:rPr>
          <w:rFonts w:hint="eastAsia" w:ascii="宋体" w:hAnsi="宋体" w:eastAsia="宋体" w:cs="宋体"/>
          <w:color w:val="auto"/>
          <w:sz w:val="36"/>
          <w:szCs w:val="36"/>
          <w:lang w:val="en-US" w:eastAsia="zh-CN"/>
        </w:rPr>
      </w:pPr>
    </w:p>
    <w:p w14:paraId="3E36AA6F">
      <w:pPr>
        <w:pStyle w:val="2"/>
        <w:jc w:val="both"/>
        <w:rPr>
          <w:rFonts w:hint="eastAsia" w:ascii="宋体" w:hAnsi="宋体" w:eastAsia="宋体" w:cs="宋体"/>
          <w:color w:val="auto"/>
          <w:sz w:val="36"/>
          <w:szCs w:val="36"/>
          <w:lang w:val="en-US" w:eastAsia="zh-CN"/>
        </w:rPr>
      </w:pPr>
    </w:p>
    <w:p w14:paraId="1770698B">
      <w:pPr>
        <w:pStyle w:val="2"/>
        <w:jc w:val="both"/>
        <w:rPr>
          <w:rFonts w:hint="eastAsia" w:ascii="仿宋" w:hAnsi="仿宋" w:eastAsia="仿宋" w:cs="仿宋"/>
          <w:color w:val="auto"/>
          <w:sz w:val="32"/>
          <w:szCs w:val="32"/>
        </w:rPr>
      </w:pPr>
      <w:r>
        <w:rPr>
          <w:rFonts w:hint="eastAsia" w:ascii="宋体" w:hAnsi="宋体" w:eastAsia="宋体" w:cs="宋体"/>
          <w:color w:val="auto"/>
          <w:sz w:val="36"/>
          <w:szCs w:val="36"/>
          <w:lang w:val="en-US" w:eastAsia="zh-CN"/>
        </w:rPr>
        <w:t>附：</w:t>
      </w:r>
      <w:r>
        <w:rPr>
          <w:rFonts w:hint="eastAsia" w:ascii="宋体" w:hAnsi="宋体" w:eastAsia="宋体" w:cs="宋体"/>
          <w:color w:val="auto"/>
          <w:sz w:val="36"/>
          <w:szCs w:val="36"/>
          <w:lang w:eastAsia="zh-CN"/>
        </w:rPr>
        <w:t>响应文件</w:t>
      </w:r>
      <w:r>
        <w:rPr>
          <w:rFonts w:hint="eastAsia" w:ascii="宋体" w:hAnsi="宋体" w:eastAsia="宋体" w:cs="宋体"/>
          <w:color w:val="auto"/>
          <w:sz w:val="36"/>
          <w:szCs w:val="36"/>
        </w:rPr>
        <w:t>格式</w:t>
      </w:r>
    </w:p>
    <w:p w14:paraId="38EA50D8">
      <w:pPr>
        <w:rPr>
          <w:rFonts w:hint="eastAsia" w:ascii="仿宋" w:hAnsi="仿宋" w:eastAsia="仿宋" w:cs="仿宋"/>
          <w:color w:val="auto"/>
          <w:sz w:val="32"/>
          <w:szCs w:val="32"/>
          <w:highlight w:val="none"/>
        </w:rPr>
      </w:pPr>
    </w:p>
    <w:p w14:paraId="1AD8C19E">
      <w:pPr>
        <w:rPr>
          <w:rFonts w:hint="eastAsia" w:ascii="仿宋" w:hAnsi="仿宋" w:eastAsia="仿宋" w:cs="仿宋"/>
          <w:color w:val="auto"/>
          <w:sz w:val="32"/>
          <w:szCs w:val="32"/>
          <w:highlight w:val="none"/>
        </w:rPr>
      </w:pPr>
    </w:p>
    <w:p w14:paraId="5D8447A5">
      <w:pPr>
        <w:rPr>
          <w:rFonts w:hint="eastAsia" w:ascii="仿宋" w:hAnsi="仿宋" w:eastAsia="仿宋" w:cs="仿宋"/>
          <w:color w:val="auto"/>
          <w:sz w:val="32"/>
          <w:szCs w:val="32"/>
          <w:highlight w:val="none"/>
        </w:rPr>
      </w:pPr>
    </w:p>
    <w:p w14:paraId="5D283E59">
      <w:pPr>
        <w:rPr>
          <w:rFonts w:hint="default" w:ascii="仿宋" w:hAnsi="仿宋" w:eastAsia="仿宋" w:cs="仿宋"/>
          <w:color w:val="auto"/>
          <w:sz w:val="32"/>
          <w:szCs w:val="32"/>
          <w:lang w:val="en-US"/>
        </w:rPr>
      </w:pPr>
      <w:r>
        <w:rPr>
          <w:rFonts w:hint="eastAsia" w:ascii="仿宋" w:hAnsi="仿宋" w:eastAsia="仿宋" w:cs="仿宋"/>
          <w:color w:val="auto"/>
          <w:sz w:val="32"/>
          <w:szCs w:val="32"/>
          <w:highlight w:val="none"/>
        </w:rPr>
        <w:t>项目编号：</w:t>
      </w:r>
      <w:r>
        <w:rPr>
          <w:rFonts w:hint="eastAsia" w:ascii="Times New Roman" w:hAnsi="Times New Roman" w:eastAsia="黑体"/>
          <w:color w:val="auto"/>
          <w:sz w:val="28"/>
          <w:szCs w:val="28"/>
          <w:highlight w:val="none"/>
          <w:lang w:val="en-US" w:eastAsia="zh-CN"/>
        </w:rPr>
        <w:t>XB20250520-01</w:t>
      </w:r>
    </w:p>
    <w:p w14:paraId="1E6D660F">
      <w:pPr>
        <w:spacing w:line="400" w:lineRule="exact"/>
        <w:rPr>
          <w:rFonts w:hint="eastAsia" w:ascii="仿宋" w:hAnsi="仿宋" w:eastAsia="仿宋" w:cs="仿宋"/>
          <w:color w:val="auto"/>
          <w:sz w:val="32"/>
          <w:szCs w:val="32"/>
        </w:rPr>
      </w:pPr>
    </w:p>
    <w:p w14:paraId="31F1CA32">
      <w:pPr>
        <w:spacing w:line="400" w:lineRule="exact"/>
        <w:rPr>
          <w:rFonts w:hint="eastAsia" w:ascii="仿宋" w:hAnsi="仿宋" w:eastAsia="仿宋" w:cs="仿宋"/>
          <w:color w:val="auto"/>
          <w:sz w:val="32"/>
          <w:szCs w:val="32"/>
        </w:rPr>
      </w:pPr>
    </w:p>
    <w:p w14:paraId="2450E1D9">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33EBD329">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w:t>
      </w:r>
      <w:r>
        <w:rPr>
          <w:rFonts w:hint="eastAsia" w:ascii="Times New Roman" w:hAnsi="Times New Roman" w:eastAsia="黑体"/>
          <w:color w:val="auto"/>
          <w:sz w:val="44"/>
          <w:szCs w:val="44"/>
          <w:highlight w:val="none"/>
          <w:lang w:val="en-US" w:eastAsia="zh-CN"/>
        </w:rPr>
        <w:t>5月硫酸车间空调</w:t>
      </w:r>
      <w:r>
        <w:rPr>
          <w:rFonts w:hint="eastAsia" w:ascii="黑体" w:hAnsi="黑体" w:eastAsia="黑体" w:cs="黑体"/>
          <w:b/>
          <w:bCs/>
          <w:color w:val="auto"/>
          <w:sz w:val="44"/>
          <w:szCs w:val="44"/>
          <w:lang w:val="en-US" w:eastAsia="zh-CN"/>
        </w:rPr>
        <w:t>采购项目询比</w:t>
      </w:r>
      <w:r>
        <w:rPr>
          <w:rFonts w:hint="eastAsia" w:ascii="黑体" w:hAnsi="黑体" w:eastAsia="黑体" w:cs="黑体"/>
          <w:b/>
          <w:bCs/>
          <w:color w:val="auto"/>
          <w:sz w:val="44"/>
          <w:szCs w:val="44"/>
          <w:lang w:eastAsia="zh-CN"/>
        </w:rPr>
        <w:t>采购</w:t>
      </w:r>
      <w:bookmarkStart w:id="207" w:name="_GoBack"/>
      <w:bookmarkEnd w:id="207"/>
    </w:p>
    <w:p w14:paraId="03361B3F">
      <w:pPr>
        <w:rPr>
          <w:rFonts w:hint="eastAsia" w:ascii="黑体" w:hAnsi="黑体" w:eastAsia="黑体" w:cs="黑体"/>
          <w:b/>
          <w:bCs/>
          <w:color w:val="auto"/>
          <w:sz w:val="44"/>
          <w:szCs w:val="44"/>
        </w:rPr>
      </w:pPr>
    </w:p>
    <w:p w14:paraId="28C73C99">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2D9C5AB5">
      <w:pPr>
        <w:jc w:val="center"/>
        <w:rPr>
          <w:rFonts w:hint="eastAsia" w:ascii="黑体" w:hAnsi="黑体" w:eastAsia="黑体" w:cs="黑体"/>
          <w:b/>
          <w:bCs/>
          <w:color w:val="auto"/>
          <w:sz w:val="44"/>
          <w:szCs w:val="44"/>
        </w:rPr>
      </w:pPr>
    </w:p>
    <w:p w14:paraId="6D54FD2B">
      <w:pPr>
        <w:rPr>
          <w:rFonts w:hint="eastAsia" w:ascii="仿宋" w:hAnsi="仿宋" w:eastAsia="仿宋" w:cs="仿宋"/>
          <w:color w:val="auto"/>
          <w:sz w:val="32"/>
          <w:szCs w:val="32"/>
        </w:rPr>
      </w:pPr>
    </w:p>
    <w:p w14:paraId="08450B17">
      <w:pPr>
        <w:rPr>
          <w:rFonts w:hint="eastAsia" w:ascii="仿宋" w:hAnsi="仿宋" w:eastAsia="仿宋" w:cs="仿宋"/>
          <w:color w:val="auto"/>
          <w:sz w:val="32"/>
          <w:szCs w:val="32"/>
        </w:rPr>
      </w:pPr>
    </w:p>
    <w:p w14:paraId="48BADFF5">
      <w:pPr>
        <w:rPr>
          <w:rFonts w:hint="eastAsia" w:ascii="仿宋" w:hAnsi="仿宋" w:eastAsia="仿宋" w:cs="仿宋"/>
          <w:color w:val="auto"/>
          <w:sz w:val="32"/>
          <w:szCs w:val="32"/>
        </w:rPr>
      </w:pPr>
    </w:p>
    <w:p w14:paraId="0484835E">
      <w:pPr>
        <w:rPr>
          <w:rFonts w:hint="eastAsia" w:ascii="仿宋" w:hAnsi="仿宋" w:eastAsia="仿宋" w:cs="仿宋"/>
          <w:color w:val="auto"/>
          <w:sz w:val="32"/>
          <w:szCs w:val="32"/>
        </w:rPr>
      </w:pPr>
    </w:p>
    <w:p w14:paraId="515CCC07">
      <w:pPr>
        <w:rPr>
          <w:rFonts w:hint="eastAsia" w:ascii="仿宋" w:hAnsi="仿宋" w:eastAsia="仿宋" w:cs="仿宋"/>
          <w:color w:val="auto"/>
          <w:sz w:val="32"/>
          <w:szCs w:val="32"/>
        </w:rPr>
      </w:pPr>
    </w:p>
    <w:p w14:paraId="3A4E5EA6">
      <w:pPr>
        <w:rPr>
          <w:rFonts w:hint="eastAsia" w:ascii="仿宋" w:hAnsi="仿宋" w:eastAsia="仿宋" w:cs="仿宋"/>
          <w:color w:val="auto"/>
          <w:sz w:val="32"/>
          <w:szCs w:val="32"/>
        </w:rPr>
      </w:pPr>
    </w:p>
    <w:p w14:paraId="28836960">
      <w:pPr>
        <w:rPr>
          <w:rFonts w:hint="eastAsia" w:ascii="仿宋" w:hAnsi="仿宋" w:eastAsia="仿宋" w:cs="仿宋"/>
          <w:color w:val="auto"/>
          <w:sz w:val="32"/>
          <w:szCs w:val="32"/>
        </w:rPr>
      </w:pPr>
    </w:p>
    <w:p w14:paraId="10D810A1">
      <w:pPr>
        <w:spacing w:line="360" w:lineRule="auto"/>
        <w:rPr>
          <w:rFonts w:hint="eastAsia" w:ascii="仿宋" w:hAnsi="仿宋" w:eastAsia="仿宋" w:cs="仿宋"/>
          <w:color w:val="auto"/>
          <w:sz w:val="32"/>
          <w:szCs w:val="32"/>
        </w:rPr>
      </w:pPr>
    </w:p>
    <w:p w14:paraId="4FD35501">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12FA1E0B">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1B8A25F7">
      <w:pPr>
        <w:jc w:val="center"/>
        <w:rPr>
          <w:rFonts w:hint="eastAsia" w:ascii="宋体" w:hAnsi="宋体" w:eastAsia="宋体" w:cs="宋体"/>
          <w:b/>
          <w:bCs/>
          <w:color w:val="auto"/>
          <w:sz w:val="32"/>
          <w:szCs w:val="32"/>
        </w:rPr>
      </w:pPr>
    </w:p>
    <w:p w14:paraId="0763616A">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21D9F8A4">
      <w:pPr>
        <w:pStyle w:val="3"/>
        <w:jc w:val="center"/>
        <w:rPr>
          <w:rFonts w:hint="eastAsia" w:ascii="黑体" w:hAnsi="黑体" w:eastAsia="黑体" w:cs="黑体"/>
          <w:b/>
          <w:bCs w:val="0"/>
          <w:color w:val="auto"/>
          <w:sz w:val="36"/>
          <w:szCs w:val="36"/>
        </w:rPr>
      </w:pPr>
      <w:bookmarkStart w:id="175" w:name="_Toc504488767"/>
      <w:bookmarkStart w:id="176" w:name="_Toc3885"/>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539C925E">
      <w:pPr>
        <w:spacing w:line="540" w:lineRule="exact"/>
        <w:rPr>
          <w:rFonts w:hint="eastAsia" w:ascii="仿宋" w:hAnsi="仿宋" w:eastAsia="仿宋" w:cs="仿宋"/>
          <w:color w:val="auto"/>
          <w:sz w:val="32"/>
          <w:szCs w:val="32"/>
        </w:rPr>
      </w:pPr>
    </w:p>
    <w:p w14:paraId="767AF9A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196BC6F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399C08E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6E09EBBB">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102230B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0E86F4D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3D517A3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482B95B">
      <w:pPr>
        <w:pStyle w:val="3"/>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606063C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5D1E4B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w:t>
      </w:r>
      <w:r>
        <w:rPr>
          <w:rFonts w:hint="eastAsia" w:ascii="仿宋" w:hAnsi="仿宋" w:eastAsia="仿宋" w:cs="仿宋"/>
          <w:color w:val="auto"/>
          <w:sz w:val="32"/>
          <w:szCs w:val="32"/>
          <w:lang w:val="en-US" w:eastAsia="zh-CN"/>
        </w:rPr>
        <w:t>采购人单位该类产品标准合同模版格式签订合同，</w:t>
      </w:r>
      <w:r>
        <w:rPr>
          <w:rFonts w:hint="eastAsia" w:ascii="仿宋" w:hAnsi="仿宋" w:eastAsia="仿宋" w:cs="仿宋"/>
          <w:color w:val="auto"/>
          <w:sz w:val="32"/>
          <w:szCs w:val="32"/>
        </w:rPr>
        <w:t>履行</w:t>
      </w:r>
      <w:r>
        <w:rPr>
          <w:rFonts w:hint="eastAsia" w:ascii="仿宋" w:hAnsi="仿宋" w:eastAsia="仿宋" w:cs="仿宋"/>
          <w:color w:val="auto"/>
          <w:sz w:val="32"/>
          <w:szCs w:val="32"/>
          <w:lang w:val="en-US" w:eastAsia="zh-CN"/>
        </w:rPr>
        <w:t>合同约定的</w:t>
      </w:r>
      <w:r>
        <w:rPr>
          <w:rFonts w:hint="eastAsia" w:ascii="仿宋" w:hAnsi="仿宋" w:eastAsia="仿宋" w:cs="仿宋"/>
          <w:color w:val="auto"/>
          <w:sz w:val="32"/>
          <w:szCs w:val="32"/>
        </w:rPr>
        <w:t>义务。</w:t>
      </w:r>
    </w:p>
    <w:p w14:paraId="22D3A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2E3B5FFC">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280D9A9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4CDB3F4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334005AD">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ABBEF90">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3507C90E">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4C8115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6F933F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98988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2D36FBE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0E457893">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E578B9A">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2178CBB8">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6785C6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w:t>
      </w:r>
      <w:bookmarkStart w:id="179" w:name="OLE_LINK1"/>
      <w:r>
        <w:rPr>
          <w:rFonts w:hint="eastAsia" w:ascii="仿宋" w:hAnsi="仿宋" w:eastAsia="仿宋" w:cs="仿宋"/>
          <w:color w:val="auto"/>
          <w:sz w:val="32"/>
          <w:szCs w:val="32"/>
          <w:lang w:val="en-US" w:eastAsia="zh-CN"/>
        </w:rPr>
        <w:t>第一条第十一款</w:t>
      </w:r>
      <w:bookmarkEnd w:id="179"/>
      <w:r>
        <w:rPr>
          <w:rFonts w:hint="eastAsia" w:ascii="仿宋" w:hAnsi="仿宋" w:eastAsia="仿宋" w:cs="仿宋"/>
          <w:color w:val="auto"/>
          <w:sz w:val="32"/>
          <w:szCs w:val="32"/>
        </w:rPr>
        <w:t>规定的任何一种情形。</w:t>
      </w:r>
    </w:p>
    <w:p w14:paraId="1BD714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06472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516D239A">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7B38CE6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1BEEAF8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5FAD7601">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36471AA0">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5E28ED4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1166C0E5">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156477AD">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322D411">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02E59844">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0D6213C8">
      <w:pPr>
        <w:spacing w:line="440" w:lineRule="exact"/>
        <w:rPr>
          <w:rFonts w:hint="eastAsia" w:ascii="仿宋" w:hAnsi="仿宋" w:eastAsia="仿宋" w:cs="仿宋"/>
          <w:color w:val="auto"/>
          <w:sz w:val="32"/>
          <w:szCs w:val="32"/>
        </w:rPr>
      </w:pPr>
    </w:p>
    <w:p w14:paraId="445460A7">
      <w:pPr>
        <w:spacing w:line="440" w:lineRule="exact"/>
        <w:rPr>
          <w:rFonts w:hint="eastAsia" w:ascii="仿宋" w:hAnsi="仿宋" w:eastAsia="仿宋" w:cs="仿宋"/>
          <w:color w:val="auto"/>
          <w:sz w:val="32"/>
          <w:szCs w:val="32"/>
        </w:rPr>
      </w:pPr>
    </w:p>
    <w:p w14:paraId="2CE1FA29">
      <w:pPr>
        <w:spacing w:line="440" w:lineRule="exact"/>
        <w:rPr>
          <w:rFonts w:hint="eastAsia" w:ascii="仿宋" w:hAnsi="仿宋" w:eastAsia="仿宋" w:cs="仿宋"/>
          <w:color w:val="auto"/>
          <w:sz w:val="32"/>
          <w:szCs w:val="32"/>
        </w:rPr>
      </w:pPr>
    </w:p>
    <w:p w14:paraId="25982256">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80" w:name="_Toc504488769"/>
      <w:bookmarkStart w:id="181" w:name="_Toc28734"/>
    </w:p>
    <w:p w14:paraId="366AF68A">
      <w:pPr>
        <w:pStyle w:val="3"/>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80"/>
      <w:bookmarkEnd w:id="181"/>
    </w:p>
    <w:p w14:paraId="7342B374">
      <w:pPr>
        <w:spacing w:line="440" w:lineRule="exact"/>
        <w:rPr>
          <w:rFonts w:hint="eastAsia" w:ascii="仿宋" w:hAnsi="仿宋" w:eastAsia="仿宋" w:cs="仿宋"/>
          <w:color w:val="auto"/>
          <w:sz w:val="32"/>
          <w:szCs w:val="32"/>
        </w:rPr>
      </w:pPr>
    </w:p>
    <w:p w14:paraId="6BD84B97">
      <w:pPr>
        <w:spacing w:line="440" w:lineRule="exact"/>
        <w:rPr>
          <w:rFonts w:hint="eastAsia" w:ascii="仿宋" w:hAnsi="仿宋" w:eastAsia="仿宋" w:cs="仿宋"/>
          <w:color w:val="auto"/>
          <w:sz w:val="32"/>
          <w:szCs w:val="32"/>
        </w:rPr>
      </w:pPr>
    </w:p>
    <w:p w14:paraId="4AB8444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4B9E07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2" w:name="_Toc27897"/>
      <w:bookmarkStart w:id="183" w:name="_Toc369531698"/>
      <w:bookmarkStart w:id="184"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2"/>
      <w:bookmarkEnd w:id="183"/>
      <w:bookmarkEnd w:id="184"/>
      <w:r>
        <w:rPr>
          <w:rFonts w:hint="eastAsia" w:ascii="仿宋" w:hAnsi="仿宋" w:eastAsia="仿宋" w:cs="仿宋"/>
          <w:color w:val="auto"/>
          <w:sz w:val="32"/>
          <w:szCs w:val="32"/>
        </w:rPr>
        <w:t>龄</w:t>
      </w:r>
      <w:bookmarkStart w:id="185" w:name="_Toc352691663"/>
      <w:bookmarkStart w:id="186" w:name="_Toc384308377"/>
      <w:bookmarkStart w:id="187" w:name="_Toc15573"/>
      <w:bookmarkStart w:id="188" w:name="_Toc247514248"/>
      <w:bookmarkStart w:id="189" w:name="_Toc152045789"/>
      <w:bookmarkStart w:id="190" w:name="_Toc369531699"/>
      <w:bookmarkStart w:id="191" w:name="_Toc247527829"/>
      <w:bookmarkStart w:id="192" w:name="_Toc300835211"/>
      <w:bookmarkStart w:id="193" w:name="_Toc144974858"/>
      <w:bookmarkStart w:id="194" w:name="_Toc361508754"/>
      <w:bookmarkStart w:id="195" w:name="_Toc152042578"/>
      <w:r>
        <w:rPr>
          <w:rFonts w:hint="eastAsia" w:ascii="仿宋" w:hAnsi="仿宋" w:eastAsia="仿宋" w:cs="仿宋"/>
          <w:color w:val="auto"/>
          <w:sz w:val="32"/>
          <w:szCs w:val="32"/>
        </w:rPr>
        <w:t>：</w:t>
      </w:r>
      <w:bookmarkEnd w:id="185"/>
      <w:bookmarkEnd w:id="186"/>
      <w:bookmarkEnd w:id="187"/>
      <w:bookmarkEnd w:id="188"/>
      <w:bookmarkEnd w:id="189"/>
      <w:bookmarkEnd w:id="190"/>
      <w:bookmarkEnd w:id="191"/>
      <w:bookmarkEnd w:id="192"/>
      <w:bookmarkEnd w:id="193"/>
      <w:bookmarkEnd w:id="194"/>
      <w:bookmarkEnd w:id="195"/>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5AF0256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262BC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5D6F5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00D31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4282A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6F77F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35797A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A348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7E7F0D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1340C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0A632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996D3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2E59F729">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E3A6494">
      <w:pPr>
        <w:pStyle w:val="3"/>
        <w:jc w:val="center"/>
        <w:rPr>
          <w:rFonts w:hint="eastAsia" w:ascii="黑体" w:hAnsi="黑体" w:eastAsia="黑体" w:cs="黑体"/>
          <w:color w:val="auto"/>
          <w:sz w:val="36"/>
          <w:szCs w:val="36"/>
        </w:rPr>
      </w:pPr>
      <w:bookmarkStart w:id="196" w:name="_Toc2777"/>
      <w:bookmarkStart w:id="197" w:name="_Toc504488770"/>
      <w:r>
        <w:rPr>
          <w:rFonts w:hint="eastAsia" w:ascii="黑体" w:hAnsi="黑体" w:eastAsia="黑体" w:cs="黑体"/>
          <w:color w:val="auto"/>
          <w:sz w:val="36"/>
          <w:szCs w:val="36"/>
        </w:rPr>
        <w:t>二、授权委托书</w:t>
      </w:r>
      <w:bookmarkEnd w:id="196"/>
      <w:bookmarkEnd w:id="197"/>
    </w:p>
    <w:p w14:paraId="580D5787">
      <w:pPr>
        <w:spacing w:line="440" w:lineRule="exact"/>
        <w:rPr>
          <w:rFonts w:hint="eastAsia" w:ascii="仿宋" w:hAnsi="仿宋" w:eastAsia="仿宋" w:cs="仿宋"/>
          <w:color w:val="auto"/>
          <w:sz w:val="32"/>
          <w:szCs w:val="32"/>
        </w:rPr>
      </w:pPr>
    </w:p>
    <w:p w14:paraId="3388F96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044FFEF8">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5F2363B">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5D615299">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79C1B78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58DD3AD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D7E20F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45CC5713">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69F13CD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6DACEB6A">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FA9043">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65C3B62D">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3152AD59">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1BBA4997">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39CE9E79">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33F0917">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7738B6">
      <w:pPr>
        <w:pStyle w:val="3"/>
        <w:spacing w:after="0" w:line="413" w:lineRule="auto"/>
        <w:jc w:val="center"/>
        <w:rPr>
          <w:rFonts w:hint="eastAsia" w:ascii="黑体" w:hAnsi="黑体" w:eastAsia="黑体" w:cs="黑体"/>
          <w:color w:val="auto"/>
          <w:sz w:val="36"/>
          <w:szCs w:val="36"/>
          <w:u w:val="single"/>
          <w:lang w:eastAsia="zh-CN"/>
        </w:rPr>
      </w:pPr>
      <w:bookmarkStart w:id="198" w:name="_Toc7842"/>
      <w:bookmarkStart w:id="199" w:name="_Toc50448877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8"/>
      <w:bookmarkEnd w:id="199"/>
      <w:r>
        <w:rPr>
          <w:rFonts w:hint="eastAsia" w:ascii="黑体" w:hAnsi="黑体" w:eastAsia="黑体" w:cs="黑体"/>
          <w:color w:val="auto"/>
          <w:sz w:val="36"/>
          <w:szCs w:val="36"/>
          <w:lang w:eastAsia="zh-CN"/>
        </w:rPr>
        <w:t>响应保证金</w:t>
      </w:r>
    </w:p>
    <w:p w14:paraId="44122CD4">
      <w:pPr>
        <w:spacing w:line="440" w:lineRule="exact"/>
        <w:rPr>
          <w:rFonts w:hint="eastAsia" w:ascii="仿宋" w:hAnsi="仿宋" w:eastAsia="仿宋" w:cs="仿宋"/>
          <w:b/>
          <w:bCs/>
          <w:color w:val="auto"/>
          <w:sz w:val="32"/>
          <w:szCs w:val="32"/>
        </w:rPr>
      </w:pPr>
    </w:p>
    <w:p w14:paraId="118B211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3EFC3C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2C3010EB">
      <w:pPr>
        <w:spacing w:line="440" w:lineRule="exact"/>
        <w:rPr>
          <w:rFonts w:hint="eastAsia" w:ascii="仿宋" w:hAnsi="仿宋" w:eastAsia="仿宋" w:cs="仿宋"/>
          <w:color w:val="auto"/>
          <w:sz w:val="32"/>
          <w:szCs w:val="32"/>
          <w:u w:val="single"/>
        </w:rPr>
      </w:pPr>
    </w:p>
    <w:p w14:paraId="200F8924">
      <w:pPr>
        <w:spacing w:line="440" w:lineRule="exact"/>
        <w:rPr>
          <w:rFonts w:hint="eastAsia" w:ascii="仿宋" w:hAnsi="仿宋" w:eastAsia="仿宋" w:cs="仿宋"/>
          <w:color w:val="auto"/>
          <w:sz w:val="32"/>
          <w:szCs w:val="32"/>
          <w:u w:val="single"/>
        </w:rPr>
      </w:pPr>
    </w:p>
    <w:p w14:paraId="72AD2831">
      <w:pPr>
        <w:pStyle w:val="3"/>
        <w:pageBreakBefore/>
        <w:snapToGrid w:val="0"/>
        <w:spacing w:before="0" w:after="0" w:line="288" w:lineRule="auto"/>
        <w:rPr>
          <w:rFonts w:hint="eastAsia" w:ascii="仿宋" w:hAnsi="仿宋" w:eastAsia="仿宋" w:cs="仿宋"/>
          <w:color w:val="auto"/>
          <w:sz w:val="32"/>
          <w:szCs w:val="32"/>
        </w:rPr>
      </w:pPr>
      <w:bookmarkStart w:id="200"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200"/>
    </w:p>
    <w:p w14:paraId="7D3B6591">
      <w:pPr>
        <w:pStyle w:val="5"/>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0CBE35DA">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BE97BE3">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7541C69C">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1E17F36A">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4B9CCCB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0994BB7D">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3A793D9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3F2A8EF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03FF46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0B52389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671166F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33CB28B6">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22C4E75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429D62EF">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548EF0A0">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7CB4AF17">
      <w:pPr>
        <w:snapToGrid w:val="0"/>
        <w:spacing w:line="312" w:lineRule="auto"/>
        <w:rPr>
          <w:rFonts w:hint="eastAsia" w:ascii="仿宋" w:hAnsi="仿宋" w:eastAsia="仿宋" w:cs="仿宋"/>
          <w:color w:val="auto"/>
          <w:sz w:val="32"/>
          <w:szCs w:val="32"/>
        </w:rPr>
      </w:pPr>
    </w:p>
    <w:p w14:paraId="2F516EA9">
      <w:pPr>
        <w:snapToGrid w:val="0"/>
        <w:spacing w:line="312" w:lineRule="auto"/>
        <w:rPr>
          <w:rFonts w:hint="eastAsia" w:ascii="仿宋" w:hAnsi="仿宋" w:eastAsia="仿宋" w:cs="仿宋"/>
          <w:color w:val="auto"/>
          <w:sz w:val="32"/>
          <w:szCs w:val="32"/>
        </w:rPr>
      </w:pPr>
    </w:p>
    <w:p w14:paraId="09183318">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4BF45487">
      <w:pPr>
        <w:snapToGrid w:val="0"/>
        <w:spacing w:line="312" w:lineRule="auto"/>
        <w:rPr>
          <w:rFonts w:hint="eastAsia" w:ascii="仿宋" w:hAnsi="仿宋" w:eastAsia="仿宋" w:cs="仿宋"/>
          <w:color w:val="auto"/>
          <w:sz w:val="32"/>
          <w:szCs w:val="32"/>
        </w:rPr>
      </w:pPr>
    </w:p>
    <w:p w14:paraId="0E9ACF3D">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A762E87">
      <w:pPr>
        <w:snapToGrid w:val="0"/>
        <w:spacing w:line="312" w:lineRule="auto"/>
        <w:rPr>
          <w:rFonts w:hint="eastAsia" w:ascii="仿宋" w:hAnsi="仿宋" w:eastAsia="仿宋" w:cs="仿宋"/>
          <w:color w:val="auto"/>
          <w:sz w:val="32"/>
          <w:szCs w:val="32"/>
        </w:rPr>
      </w:pPr>
    </w:p>
    <w:p w14:paraId="1B316FD2">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1D2E5DFE">
      <w:pPr>
        <w:snapToGrid w:val="0"/>
        <w:spacing w:line="312" w:lineRule="auto"/>
        <w:ind w:firstLine="1280" w:firstLineChars="400"/>
        <w:rPr>
          <w:rFonts w:hint="eastAsia" w:ascii="仿宋" w:hAnsi="仿宋" w:eastAsia="仿宋" w:cs="仿宋"/>
          <w:color w:val="auto"/>
          <w:sz w:val="32"/>
          <w:szCs w:val="32"/>
        </w:rPr>
      </w:pPr>
    </w:p>
    <w:p w14:paraId="71F045F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5B96D0B7">
      <w:pPr>
        <w:pStyle w:val="8"/>
        <w:snapToGrid w:val="0"/>
        <w:spacing w:after="120"/>
        <w:ind w:firstLine="0" w:firstLineChars="0"/>
        <w:jc w:val="both"/>
        <w:rPr>
          <w:rFonts w:hint="eastAsia" w:ascii="仿宋" w:hAnsi="仿宋" w:eastAsia="仿宋" w:cs="仿宋"/>
          <w:color w:val="auto"/>
          <w:sz w:val="32"/>
          <w:szCs w:val="32"/>
        </w:rPr>
      </w:pPr>
    </w:p>
    <w:p w14:paraId="48F53E70">
      <w:pPr>
        <w:pStyle w:val="8"/>
        <w:snapToGrid w:val="0"/>
        <w:spacing w:after="120"/>
        <w:ind w:firstLine="0" w:firstLineChars="0"/>
        <w:jc w:val="both"/>
        <w:rPr>
          <w:rFonts w:hint="eastAsia" w:ascii="仿宋" w:hAnsi="仿宋" w:eastAsia="仿宋" w:cs="仿宋"/>
          <w:color w:val="auto"/>
          <w:sz w:val="32"/>
          <w:szCs w:val="32"/>
        </w:rPr>
      </w:pPr>
    </w:p>
    <w:p w14:paraId="3638099E">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50FD67BF">
      <w:pPr>
        <w:widowControl/>
        <w:jc w:val="left"/>
        <w:rPr>
          <w:rFonts w:ascii="Times New Roman" w:hAnsi="Times New Roman"/>
          <w:color w:val="auto"/>
          <w:sz w:val="24"/>
          <w:szCs w:val="24"/>
        </w:rPr>
      </w:pPr>
    </w:p>
    <w:p w14:paraId="1C74C057">
      <w:pPr>
        <w:spacing w:line="440" w:lineRule="exact"/>
        <w:jc w:val="center"/>
        <w:rPr>
          <w:rFonts w:ascii="Times New Roman" w:hAnsi="Times New Roman" w:eastAsia="黑体"/>
          <w:color w:val="auto"/>
          <w:sz w:val="27"/>
          <w:szCs w:val="27"/>
        </w:rPr>
      </w:pPr>
    </w:p>
    <w:p w14:paraId="2DDC7BDF">
      <w:pPr>
        <w:spacing w:line="440" w:lineRule="exact"/>
        <w:ind w:firstLine="420" w:firstLineChars="200"/>
        <w:rPr>
          <w:rFonts w:ascii="Times New Roman" w:hAnsi="Times New Roman"/>
          <w:color w:val="auto"/>
          <w:szCs w:val="21"/>
        </w:rPr>
      </w:pPr>
    </w:p>
    <w:p w14:paraId="2537484B">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E6EA452">
      <w:pPr>
        <w:pStyle w:val="3"/>
        <w:numPr>
          <w:ilvl w:val="0"/>
          <w:numId w:val="1"/>
        </w:numPr>
        <w:ind w:left="0" w:leftChars="0" w:firstLine="723" w:firstLineChars="200"/>
        <w:jc w:val="left"/>
        <w:rPr>
          <w:rFonts w:hint="eastAsia" w:ascii="黑体" w:hAnsi="黑体" w:cs="黑体"/>
          <w:b/>
          <w:bCs/>
          <w:color w:val="auto"/>
          <w:kern w:val="2"/>
          <w:sz w:val="36"/>
          <w:szCs w:val="36"/>
          <w:lang w:val="en-US" w:eastAsia="zh-CN" w:bidi="ar-SA"/>
        </w:rPr>
      </w:pPr>
      <w:bookmarkStart w:id="201" w:name="_Toc1755"/>
      <w:bookmarkStart w:id="202" w:name="_Toc504488775"/>
      <w:r>
        <w:rPr>
          <w:rFonts w:hint="eastAsia" w:ascii="黑体" w:hAnsi="黑体" w:eastAsia="黑体" w:cs="黑体"/>
          <w:b/>
          <w:bCs/>
          <w:color w:val="auto"/>
          <w:kern w:val="2"/>
          <w:sz w:val="36"/>
          <w:szCs w:val="36"/>
          <w:lang w:val="en-US" w:eastAsia="zh-CN" w:bidi="ar-SA"/>
        </w:rPr>
        <w:t>分项报价表</w:t>
      </w:r>
      <w:r>
        <w:rPr>
          <w:rFonts w:hint="eastAsia" w:ascii="黑体" w:hAnsi="黑体" w:cs="黑体"/>
          <w:b/>
          <w:bCs/>
          <w:color w:val="auto"/>
          <w:kern w:val="2"/>
          <w:sz w:val="36"/>
          <w:szCs w:val="36"/>
          <w:lang w:val="en-US" w:eastAsia="zh-CN" w:bidi="ar-SA"/>
        </w:rPr>
        <w:t>及技术要求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25"/>
        <w:gridCol w:w="3243"/>
        <w:gridCol w:w="673"/>
        <w:gridCol w:w="664"/>
        <w:gridCol w:w="964"/>
        <w:gridCol w:w="1094"/>
      </w:tblGrid>
      <w:tr w14:paraId="49FE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9" w:type="dxa"/>
            <w:vAlign w:val="center"/>
          </w:tcPr>
          <w:p w14:paraId="64B2AE78">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编号</w:t>
            </w:r>
          </w:p>
        </w:tc>
        <w:tc>
          <w:tcPr>
            <w:tcW w:w="1225" w:type="dxa"/>
            <w:vAlign w:val="center"/>
          </w:tcPr>
          <w:p w14:paraId="03425135">
            <w:pPr>
              <w:keepNext w:val="0"/>
              <w:keepLines w:val="0"/>
              <w:pageBreakBefore w:val="0"/>
              <w:widowControl w:val="0"/>
              <w:kinsoku/>
              <w:wordWrap/>
              <w:overflowPunct/>
              <w:topLinePunct w:val="0"/>
              <w:autoSpaceDE/>
              <w:autoSpaceDN/>
              <w:bidi w:val="0"/>
              <w:adjustRightInd/>
              <w:snapToGrid/>
              <w:spacing w:beforeLines="0" w:afterLines="0" w:line="380" w:lineRule="exact"/>
              <w:jc w:val="both"/>
              <w:textAlignment w:val="auto"/>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名称</w:t>
            </w:r>
          </w:p>
        </w:tc>
        <w:tc>
          <w:tcPr>
            <w:tcW w:w="3243" w:type="dxa"/>
            <w:vAlign w:val="center"/>
          </w:tcPr>
          <w:p w14:paraId="05AE240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规格型号</w:t>
            </w:r>
          </w:p>
        </w:tc>
        <w:tc>
          <w:tcPr>
            <w:tcW w:w="673" w:type="dxa"/>
            <w:vAlign w:val="center"/>
          </w:tcPr>
          <w:p w14:paraId="0BE30C6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default" w:ascii="仿宋" w:hAnsi="仿宋" w:eastAsia="仿宋" w:cs="仿宋"/>
                <w:color w:val="auto"/>
                <w:sz w:val="32"/>
                <w:szCs w:val="32"/>
                <w:vertAlign w:val="baseline"/>
                <w:lang w:val="en-US" w:eastAsia="zh-CN"/>
              </w:rPr>
            </w:pPr>
            <w:r>
              <w:rPr>
                <w:rFonts w:hint="eastAsia" w:ascii="宋体" w:hAnsi="宋体" w:eastAsia="宋体" w:cs="宋体"/>
                <w:color w:val="auto"/>
                <w:sz w:val="24"/>
                <w:szCs w:val="24"/>
                <w:highlight w:val="none"/>
              </w:rPr>
              <w:t>数量</w:t>
            </w:r>
          </w:p>
        </w:tc>
        <w:tc>
          <w:tcPr>
            <w:tcW w:w="664" w:type="dxa"/>
            <w:vAlign w:val="center"/>
          </w:tcPr>
          <w:p w14:paraId="76530CF6">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单位</w:t>
            </w:r>
          </w:p>
        </w:tc>
        <w:tc>
          <w:tcPr>
            <w:tcW w:w="964" w:type="dxa"/>
            <w:vAlign w:val="center"/>
          </w:tcPr>
          <w:p w14:paraId="3CA8421A">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rPr>
              <w:t>送到价</w:t>
            </w:r>
            <w:r>
              <w:rPr>
                <w:rFonts w:hint="eastAsia" w:ascii="宋体" w:hAnsi="宋体" w:cs="宋体"/>
                <w:color w:val="auto"/>
                <w:sz w:val="24"/>
                <w:szCs w:val="24"/>
                <w:highlight w:val="none"/>
                <w:lang w:val="en-US" w:eastAsia="zh-CN"/>
              </w:rPr>
              <w:t xml:space="preserve"> （元）      </w:t>
            </w:r>
          </w:p>
        </w:tc>
        <w:tc>
          <w:tcPr>
            <w:tcW w:w="1094" w:type="dxa"/>
            <w:vAlign w:val="center"/>
          </w:tcPr>
          <w:p w14:paraId="4D15B37C">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rPr>
              <w:t>金额（元）</w:t>
            </w:r>
          </w:p>
        </w:tc>
      </w:tr>
      <w:tr w14:paraId="154A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 w:type="dxa"/>
            <w:vAlign w:val="center"/>
          </w:tcPr>
          <w:p w14:paraId="3DFE33F8">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225" w:type="dxa"/>
            <w:vAlign w:val="center"/>
          </w:tcPr>
          <w:p w14:paraId="049B310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空调</w:t>
            </w:r>
          </w:p>
        </w:tc>
        <w:tc>
          <w:tcPr>
            <w:tcW w:w="3243" w:type="dxa"/>
            <w:vAlign w:val="center"/>
          </w:tcPr>
          <w:p w14:paraId="4E94203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3P柜机，能效等级国家新一级，含辅材、安装费，每台含角铁支架一付、铜管额外加2米，报价品牌格力空调。</w:t>
            </w:r>
          </w:p>
        </w:tc>
        <w:tc>
          <w:tcPr>
            <w:tcW w:w="673" w:type="dxa"/>
            <w:vAlign w:val="center"/>
          </w:tcPr>
          <w:p w14:paraId="4D2B3235">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664" w:type="dxa"/>
            <w:vAlign w:val="center"/>
          </w:tcPr>
          <w:p w14:paraId="5337C349">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台</w:t>
            </w:r>
          </w:p>
        </w:tc>
        <w:tc>
          <w:tcPr>
            <w:tcW w:w="964" w:type="dxa"/>
            <w:vAlign w:val="center"/>
          </w:tcPr>
          <w:p w14:paraId="0346F7BF">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rPr>
            </w:pPr>
          </w:p>
        </w:tc>
        <w:tc>
          <w:tcPr>
            <w:tcW w:w="1094" w:type="dxa"/>
            <w:vAlign w:val="center"/>
          </w:tcPr>
          <w:p w14:paraId="3BD75837">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宋体" w:hAnsi="宋体" w:eastAsia="宋体" w:cs="宋体"/>
                <w:color w:val="auto"/>
                <w:sz w:val="24"/>
                <w:szCs w:val="24"/>
                <w:highlight w:val="none"/>
                <w:lang w:val="en-US" w:eastAsia="zh-CN"/>
              </w:rPr>
            </w:pPr>
          </w:p>
        </w:tc>
      </w:tr>
      <w:tr w14:paraId="20DA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59" w:type="dxa"/>
            <w:vAlign w:val="center"/>
          </w:tcPr>
          <w:p w14:paraId="051A286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w:t>
            </w:r>
          </w:p>
        </w:tc>
        <w:tc>
          <w:tcPr>
            <w:tcW w:w="1225" w:type="dxa"/>
            <w:vAlign w:val="center"/>
          </w:tcPr>
          <w:p w14:paraId="0C86FB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243" w:type="dxa"/>
            <w:vAlign w:val="top"/>
          </w:tcPr>
          <w:p w14:paraId="68344DEC">
            <w:pPr>
              <w:keepNext w:val="0"/>
              <w:keepLines w:val="0"/>
              <w:widowControl/>
              <w:suppressLineNumbers w:val="0"/>
              <w:jc w:val="center"/>
              <w:textAlignment w:val="top"/>
              <w:rPr>
                <w:rFonts w:hint="eastAsia" w:ascii="宋体" w:hAnsi="宋体" w:eastAsia="宋体" w:cs="宋体"/>
                <w:i w:val="0"/>
                <w:iCs w:val="0"/>
                <w:color w:val="000000"/>
                <w:kern w:val="0"/>
                <w:sz w:val="21"/>
                <w:szCs w:val="21"/>
                <w:u w:val="none"/>
                <w:lang w:val="en-US" w:eastAsia="zh-CN" w:bidi="ar"/>
              </w:rPr>
            </w:pPr>
          </w:p>
        </w:tc>
        <w:tc>
          <w:tcPr>
            <w:tcW w:w="673" w:type="dxa"/>
            <w:vAlign w:val="center"/>
          </w:tcPr>
          <w:p w14:paraId="71ABAF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64" w:type="dxa"/>
            <w:vAlign w:val="center"/>
          </w:tcPr>
          <w:p w14:paraId="3AA3CF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4" w:type="dxa"/>
            <w:vAlign w:val="center"/>
          </w:tcPr>
          <w:p w14:paraId="68A6E961">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c>
          <w:tcPr>
            <w:tcW w:w="1094" w:type="dxa"/>
            <w:vAlign w:val="center"/>
          </w:tcPr>
          <w:p w14:paraId="605F2C22">
            <w:pPr>
              <w:keepNext w:val="0"/>
              <w:keepLines w:val="0"/>
              <w:pageBreakBefore w:val="0"/>
              <w:widowControl w:val="0"/>
              <w:kinsoku/>
              <w:wordWrap/>
              <w:overflowPunct w:val="0"/>
              <w:topLinePunct w:val="0"/>
              <w:autoSpaceDE/>
              <w:autoSpaceDN/>
              <w:bidi w:val="0"/>
              <w:adjustRightInd w:val="0"/>
              <w:snapToGrid/>
              <w:spacing w:line="380" w:lineRule="exact"/>
              <w:jc w:val="center"/>
              <w:textAlignment w:val="baseline"/>
              <w:rPr>
                <w:rFonts w:hint="eastAsia" w:ascii="仿宋" w:hAnsi="仿宋" w:eastAsia="仿宋" w:cs="仿宋"/>
                <w:color w:val="auto"/>
                <w:sz w:val="32"/>
                <w:szCs w:val="32"/>
                <w:vertAlign w:val="baseline"/>
                <w:lang w:eastAsia="zh-CN"/>
              </w:rPr>
            </w:pPr>
          </w:p>
        </w:tc>
      </w:tr>
      <w:tr w14:paraId="40F6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522" w:type="dxa"/>
            <w:gridSpan w:val="7"/>
            <w:vAlign w:val="center"/>
          </w:tcPr>
          <w:p w14:paraId="76488467">
            <w:pPr>
              <w:keepNext w:val="0"/>
              <w:keepLines w:val="0"/>
              <w:pageBreakBefore w:val="0"/>
              <w:widowControl w:val="0"/>
              <w:kinsoku/>
              <w:wordWrap/>
              <w:overflowPunct w:val="0"/>
              <w:topLinePunct w:val="0"/>
              <w:autoSpaceDE/>
              <w:autoSpaceDN/>
              <w:bidi w:val="0"/>
              <w:adjustRightInd w:val="0"/>
              <w:snapToGrid/>
              <w:spacing w:line="380" w:lineRule="exact"/>
              <w:jc w:val="left"/>
              <w:textAlignment w:val="baseline"/>
              <w:rPr>
                <w:rFonts w:hint="default" w:ascii="仿宋" w:hAnsi="仿宋" w:eastAsia="仿宋" w:cs="仿宋"/>
                <w:color w:val="auto"/>
                <w:sz w:val="32"/>
                <w:szCs w:val="32"/>
                <w:vertAlign w:val="baseline"/>
                <w:lang w:val="en-US" w:eastAsia="zh-CN"/>
              </w:rPr>
            </w:pPr>
            <w:r>
              <w:rPr>
                <w:rFonts w:hint="eastAsia" w:ascii="仿宋" w:hAnsi="仿宋" w:eastAsia="仿宋" w:cs="仿宋"/>
                <w:color w:val="auto"/>
                <w:sz w:val="30"/>
                <w:szCs w:val="30"/>
                <w:vertAlign w:val="baseline"/>
                <w:lang w:val="en-US" w:eastAsia="zh-CN"/>
              </w:rPr>
              <w:t>备注：按要求品牌报价，否则报价无效。</w:t>
            </w:r>
          </w:p>
        </w:tc>
      </w:tr>
    </w:tbl>
    <w:p w14:paraId="4E6C7B7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E444340">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949745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E3E74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6D21508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ACB6048">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BC21EDE">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DB5C3F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1341B297">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269222C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AC42A03">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0DD9025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4FCC1F25">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37E89B76">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25D86D2">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D279594">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5C1CB3B">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775F02AA">
      <w:pPr>
        <w:keepNext w:val="0"/>
        <w:keepLines w:val="0"/>
        <w:pageBreakBefore w:val="0"/>
        <w:widowControl w:val="0"/>
        <w:kinsoku/>
        <w:wordWrap/>
        <w:overflowPunct w:val="0"/>
        <w:topLinePunct w:val="0"/>
        <w:autoSpaceDE/>
        <w:autoSpaceDN/>
        <w:bidi w:val="0"/>
        <w:adjustRightInd w:val="0"/>
        <w:snapToGrid/>
        <w:spacing w:line="500" w:lineRule="exact"/>
        <w:ind w:firstLine="320" w:firstLineChars="100"/>
        <w:jc w:val="both"/>
        <w:textAlignment w:val="baseline"/>
        <w:rPr>
          <w:rFonts w:hint="eastAsia" w:ascii="仿宋" w:hAnsi="仿宋" w:eastAsia="仿宋" w:cs="仿宋"/>
          <w:color w:val="auto"/>
          <w:sz w:val="32"/>
          <w:szCs w:val="32"/>
          <w:lang w:val="en-US" w:eastAsia="zh-CN"/>
        </w:rPr>
      </w:pPr>
    </w:p>
    <w:p w14:paraId="5B0BB40C">
      <w:pPr>
        <w:pStyle w:val="3"/>
        <w:spacing w:after="0"/>
        <w:jc w:val="both"/>
        <w:rPr>
          <w:rFonts w:ascii="Times New Roman" w:hAnsi="Times New Roman"/>
          <w:color w:val="auto"/>
        </w:rPr>
      </w:pP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1"/>
      <w:bookmarkEnd w:id="202"/>
    </w:p>
    <w:p w14:paraId="19CC04B3">
      <w:pPr>
        <w:pStyle w:val="4"/>
        <w:spacing w:before="20" w:after="0"/>
        <w:ind w:firstLine="103"/>
        <w:rPr>
          <w:rFonts w:ascii="Times New Roman"/>
          <w:color w:val="auto"/>
          <w:sz w:val="32"/>
          <w:szCs w:val="32"/>
        </w:rPr>
      </w:pPr>
      <w:bookmarkStart w:id="203" w:name="_Toc13906"/>
      <w:bookmarkStart w:id="204" w:name="_Toc504488776"/>
      <w:r>
        <w:rPr>
          <w:rFonts w:hint="eastAsia" w:ascii="Times New Roman"/>
          <w:color w:val="auto"/>
          <w:sz w:val="32"/>
          <w:szCs w:val="32"/>
        </w:rPr>
        <w:t>（一）基本情况表</w:t>
      </w:r>
      <w:bookmarkEnd w:id="203"/>
      <w:bookmarkEnd w:id="204"/>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6230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BB53A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名称</w:t>
            </w:r>
          </w:p>
        </w:tc>
        <w:tc>
          <w:tcPr>
            <w:tcW w:w="6307" w:type="dxa"/>
            <w:gridSpan w:val="4"/>
            <w:tcBorders>
              <w:top w:val="single" w:color="auto" w:sz="4" w:space="0"/>
              <w:left w:val="single" w:color="auto" w:sz="4" w:space="0"/>
              <w:bottom w:val="single" w:color="auto" w:sz="4" w:space="0"/>
            </w:tcBorders>
            <w:noWrap w:val="0"/>
            <w:vAlign w:val="center"/>
          </w:tcPr>
          <w:p w14:paraId="50679E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04E0A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noWrap w:val="0"/>
            <w:vAlign w:val="center"/>
          </w:tcPr>
          <w:p w14:paraId="0CA4DFE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15ABA54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9B6B80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1958" w:type="dxa"/>
            <w:tcBorders>
              <w:top w:val="single" w:color="auto" w:sz="4" w:space="0"/>
              <w:left w:val="single" w:color="auto" w:sz="4" w:space="0"/>
              <w:bottom w:val="single" w:color="auto" w:sz="4" w:space="0"/>
            </w:tcBorders>
            <w:noWrap w:val="0"/>
            <w:vAlign w:val="center"/>
          </w:tcPr>
          <w:p w14:paraId="6AE89DF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2447E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633E626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6307" w:type="dxa"/>
            <w:gridSpan w:val="4"/>
            <w:tcBorders>
              <w:top w:val="single" w:color="auto" w:sz="4" w:space="0"/>
              <w:left w:val="single" w:color="auto" w:sz="4" w:space="0"/>
              <w:bottom w:val="single" w:color="auto" w:sz="4" w:space="0"/>
            </w:tcBorders>
            <w:noWrap w:val="0"/>
            <w:vAlign w:val="center"/>
          </w:tcPr>
          <w:p w14:paraId="6E850E6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4B43F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88D486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03EF5B4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2E16A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员工总数</w:t>
            </w:r>
          </w:p>
        </w:tc>
        <w:tc>
          <w:tcPr>
            <w:tcW w:w="1958" w:type="dxa"/>
            <w:tcBorders>
              <w:top w:val="single" w:color="auto" w:sz="4" w:space="0"/>
              <w:left w:val="single" w:color="auto" w:sz="4" w:space="0"/>
              <w:bottom w:val="single" w:color="auto" w:sz="4" w:space="0"/>
            </w:tcBorders>
            <w:noWrap w:val="0"/>
            <w:vAlign w:val="center"/>
          </w:tcPr>
          <w:p w14:paraId="1CA0BD2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557D6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759CE89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28AF7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750E41F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C71591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7FCE435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A289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61970FF8">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1"/>
                <w:szCs w:val="21"/>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0809CB6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EC6CDC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B97798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传真</w:t>
            </w:r>
          </w:p>
        </w:tc>
        <w:tc>
          <w:tcPr>
            <w:tcW w:w="1958" w:type="dxa"/>
            <w:tcBorders>
              <w:top w:val="single" w:color="auto" w:sz="4" w:space="0"/>
              <w:left w:val="single" w:color="auto" w:sz="4" w:space="0"/>
              <w:bottom w:val="single" w:color="auto" w:sz="4" w:space="0"/>
            </w:tcBorders>
            <w:noWrap w:val="0"/>
            <w:vAlign w:val="center"/>
          </w:tcPr>
          <w:p w14:paraId="0C4856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1DBEE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286BEB5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p w14:paraId="20D0EC4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396B56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1909E20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A5BEFF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958" w:type="dxa"/>
            <w:tcBorders>
              <w:top w:val="single" w:color="auto" w:sz="4" w:space="0"/>
              <w:left w:val="single" w:color="auto" w:sz="4" w:space="0"/>
              <w:bottom w:val="single" w:color="auto" w:sz="4" w:space="0"/>
            </w:tcBorders>
            <w:noWrap w:val="0"/>
            <w:vAlign w:val="center"/>
          </w:tcPr>
          <w:p w14:paraId="22F685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r w14:paraId="3EC9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noWrap w:val="0"/>
            <w:vAlign w:val="center"/>
          </w:tcPr>
          <w:p w14:paraId="0CA4BD86">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须知要求</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75F0A581">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类型：</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等级：</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证书号：</w:t>
            </w:r>
          </w:p>
        </w:tc>
      </w:tr>
      <w:tr w14:paraId="754211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5AE65A5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6307" w:type="dxa"/>
            <w:gridSpan w:val="4"/>
            <w:tcBorders>
              <w:top w:val="single" w:color="auto" w:sz="4" w:space="0"/>
              <w:left w:val="single" w:color="auto" w:sz="4" w:space="0"/>
              <w:bottom w:val="single" w:color="auto" w:sz="4" w:space="0"/>
            </w:tcBorders>
            <w:noWrap w:val="0"/>
            <w:vAlign w:val="center"/>
          </w:tcPr>
          <w:p w14:paraId="7D8A1850">
            <w:pPr>
              <w:keepNext w:val="0"/>
              <w:keepLines w:val="0"/>
              <w:pageBreakBefore w:val="0"/>
              <w:widowControl w:val="0"/>
              <w:kinsoku/>
              <w:wordWrap/>
              <w:overflowPunct/>
              <w:topLinePunct/>
              <w:autoSpaceDE/>
              <w:autoSpaceDN/>
              <w:bidi w:val="0"/>
              <w:adjustRightInd/>
              <w:snapToGrid/>
              <w:spacing w:line="320" w:lineRule="exact"/>
              <w:ind w:firstLine="105" w:firstLineChars="50"/>
              <w:textAlignment w:val="auto"/>
              <w:rPr>
                <w:rFonts w:hint="eastAsia" w:ascii="宋体" w:hAnsi="宋体" w:eastAsia="宋体" w:cs="宋体"/>
                <w:color w:val="auto"/>
                <w:sz w:val="21"/>
                <w:szCs w:val="21"/>
              </w:rPr>
            </w:pPr>
          </w:p>
        </w:tc>
      </w:tr>
      <w:tr w14:paraId="6CE54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41ABCE6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tc>
        <w:tc>
          <w:tcPr>
            <w:tcW w:w="6307" w:type="dxa"/>
            <w:gridSpan w:val="4"/>
            <w:tcBorders>
              <w:top w:val="single" w:color="auto" w:sz="4" w:space="0"/>
              <w:left w:val="single" w:color="auto" w:sz="4" w:space="0"/>
            </w:tcBorders>
            <w:noWrap w:val="0"/>
            <w:vAlign w:val="center"/>
          </w:tcPr>
          <w:p w14:paraId="09EEC36C">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22A1A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5A710CB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近三年营业额</w:t>
            </w:r>
          </w:p>
        </w:tc>
        <w:tc>
          <w:tcPr>
            <w:tcW w:w="6307" w:type="dxa"/>
            <w:gridSpan w:val="4"/>
            <w:tcBorders>
              <w:top w:val="single" w:color="auto" w:sz="4" w:space="0"/>
              <w:left w:val="single" w:color="auto" w:sz="4" w:space="0"/>
            </w:tcBorders>
            <w:noWrap w:val="0"/>
            <w:vAlign w:val="center"/>
          </w:tcPr>
          <w:p w14:paraId="0287A1D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E34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6E27CD47">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响应文件所供</w:t>
            </w:r>
            <w:r>
              <w:rPr>
                <w:rFonts w:hint="eastAsia" w:ascii="宋体" w:hAnsi="宋体" w:eastAsia="宋体" w:cs="宋体"/>
                <w:color w:val="auto"/>
                <w:sz w:val="21"/>
                <w:szCs w:val="21"/>
              </w:rPr>
              <w:t>产品制造商名称</w:t>
            </w:r>
          </w:p>
        </w:tc>
        <w:tc>
          <w:tcPr>
            <w:tcW w:w="6307" w:type="dxa"/>
            <w:gridSpan w:val="4"/>
            <w:tcBorders>
              <w:top w:val="single" w:color="auto" w:sz="4" w:space="0"/>
              <w:left w:val="single" w:color="auto" w:sz="4" w:space="0"/>
            </w:tcBorders>
            <w:noWrap w:val="0"/>
            <w:vAlign w:val="center"/>
          </w:tcPr>
          <w:p w14:paraId="498627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1"/>
                <w:szCs w:val="21"/>
              </w:rPr>
            </w:pPr>
          </w:p>
        </w:tc>
      </w:tr>
      <w:tr w14:paraId="363CE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642FCB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307" w:type="dxa"/>
            <w:gridSpan w:val="4"/>
            <w:tcBorders>
              <w:top w:val="single" w:color="auto" w:sz="4" w:space="0"/>
              <w:left w:val="single" w:color="auto" w:sz="4" w:space="0"/>
              <w:bottom w:val="single" w:color="auto" w:sz="4" w:space="0"/>
            </w:tcBorders>
            <w:noWrap w:val="0"/>
            <w:vAlign w:val="center"/>
          </w:tcPr>
          <w:p w14:paraId="308E402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1"/>
                <w:szCs w:val="21"/>
              </w:rPr>
            </w:pPr>
          </w:p>
        </w:tc>
      </w:tr>
    </w:tbl>
    <w:p w14:paraId="004DB634">
      <w:pPr>
        <w:spacing w:line="360" w:lineRule="auto"/>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w:t>
      </w:r>
      <w:r>
        <w:rPr>
          <w:rFonts w:hint="eastAsia" w:ascii="宋体" w:hAnsi="宋体" w:eastAsia="宋体" w:cs="宋体"/>
          <w:b w:val="0"/>
          <w:bCs w:val="0"/>
          <w:color w:val="auto"/>
          <w:sz w:val="24"/>
          <w:szCs w:val="24"/>
          <w:lang w:val="en-US" w:eastAsia="zh-CN"/>
        </w:rPr>
        <w:t>据采购邀请函</w:t>
      </w:r>
      <w:r>
        <w:rPr>
          <w:rFonts w:hint="eastAsia" w:ascii="宋体" w:hAnsi="宋体" w:eastAsia="宋体" w:cs="宋体"/>
          <w:color w:val="auto"/>
          <w:sz w:val="24"/>
          <w:szCs w:val="24"/>
          <w:lang w:val="en-US" w:eastAsia="zh-CN"/>
        </w:rPr>
        <w:t>第一条第十一款</w:t>
      </w:r>
      <w:r>
        <w:rPr>
          <w:rFonts w:hint="eastAsia" w:ascii="宋体" w:hAnsi="宋体" w:eastAsia="宋体" w:cs="宋体"/>
          <w:b w:val="0"/>
          <w:bCs w:val="0"/>
          <w:color w:val="auto"/>
          <w:sz w:val="24"/>
          <w:szCs w:val="24"/>
        </w:rPr>
        <w:t>的要求在本表后附相关证明材料。</w:t>
      </w:r>
    </w:p>
    <w:p w14:paraId="6B5DB549">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21D57EC">
      <w:pPr>
        <w:rPr>
          <w:b/>
          <w:color w:val="auto"/>
          <w:sz w:val="28"/>
          <w:szCs w:val="28"/>
        </w:rPr>
      </w:pPr>
      <w:r>
        <w:rPr>
          <w:rFonts w:hint="eastAsia" w:ascii="宋体" w:hAnsi="宋体" w:eastAsia="宋体" w:cs="宋体"/>
          <w:color w:val="auto"/>
          <w:sz w:val="24"/>
          <w:szCs w:val="24"/>
        </w:rPr>
        <w:br w:type="page"/>
      </w:r>
    </w:p>
    <w:p w14:paraId="01F74292">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09CC69A5">
      <w:pPr>
        <w:spacing w:line="440" w:lineRule="exact"/>
        <w:ind w:firstLine="643" w:firstLineChars="200"/>
        <w:jc w:val="left"/>
        <w:rPr>
          <w:rFonts w:hint="eastAsia" w:ascii="仿宋" w:hAnsi="仿宋" w:eastAsia="仿宋" w:cs="仿宋"/>
          <w:b/>
          <w:color w:val="auto"/>
          <w:sz w:val="32"/>
          <w:szCs w:val="32"/>
          <w:u w:val="single"/>
        </w:rPr>
      </w:pPr>
    </w:p>
    <w:p w14:paraId="10DC549E">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4126C416">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5E3F3ABB">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7C2F069C">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6F181177">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0015BC4">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A48F8BE">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23A8EBFC">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04B234F8">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02F36743">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17C9349A">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2A2642D2">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1366D656">
      <w:pPr>
        <w:pStyle w:val="4"/>
        <w:ind w:firstLine="103"/>
        <w:rPr>
          <w:rFonts w:ascii="Times New Roman"/>
          <w:color w:val="auto"/>
          <w:sz w:val="32"/>
          <w:szCs w:val="32"/>
        </w:rPr>
      </w:pPr>
      <w:bookmarkStart w:id="205" w:name="_Toc504488778"/>
      <w:bookmarkStart w:id="206"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w:t>
      </w:r>
      <w:r>
        <w:rPr>
          <w:rFonts w:hint="eastAsia" w:ascii="Times New Roman"/>
          <w:color w:val="auto"/>
          <w:sz w:val="32"/>
          <w:szCs w:val="32"/>
          <w:lang w:val="en-US" w:eastAsia="zh-CN"/>
        </w:rPr>
        <w:t>业绩</w:t>
      </w:r>
      <w:r>
        <w:rPr>
          <w:rFonts w:hint="eastAsia" w:ascii="Times New Roman"/>
          <w:color w:val="auto"/>
          <w:sz w:val="32"/>
          <w:szCs w:val="32"/>
        </w:rPr>
        <w:t>情况</w:t>
      </w:r>
      <w:bookmarkEnd w:id="205"/>
      <w:bookmarkEnd w:id="206"/>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201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noWrap w:val="0"/>
            <w:vAlign w:val="center"/>
          </w:tcPr>
          <w:p w14:paraId="4742CBB3">
            <w:pPr>
              <w:keepNext w:val="0"/>
              <w:keepLines w:val="0"/>
              <w:pageBreakBefore w:val="0"/>
              <w:widowControl w:val="0"/>
              <w:kinsoku/>
              <w:wordWrap/>
              <w:overflowPunct/>
              <w:topLinePunct/>
              <w:autoSpaceDE/>
              <w:autoSpaceDN/>
              <w:bidi w:val="0"/>
              <w:adjustRightInd/>
              <w:snapToGrid/>
              <w:spacing w:line="320" w:lineRule="exact"/>
              <w:jc w:val="both"/>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序号</w:t>
            </w:r>
          </w:p>
        </w:tc>
        <w:tc>
          <w:tcPr>
            <w:tcW w:w="7795" w:type="dxa"/>
            <w:noWrap w:val="0"/>
            <w:vAlign w:val="center"/>
          </w:tcPr>
          <w:p w14:paraId="3A93037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合同名称</w:t>
            </w:r>
          </w:p>
        </w:tc>
      </w:tr>
      <w:tr w14:paraId="76E7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noWrap w:val="0"/>
            <w:vAlign w:val="center"/>
          </w:tcPr>
          <w:p w14:paraId="3DB80F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1</w:t>
            </w:r>
          </w:p>
        </w:tc>
        <w:tc>
          <w:tcPr>
            <w:tcW w:w="7795" w:type="dxa"/>
            <w:noWrap w:val="0"/>
            <w:vAlign w:val="top"/>
          </w:tcPr>
          <w:p w14:paraId="58FF6D4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160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noWrap w:val="0"/>
            <w:vAlign w:val="center"/>
          </w:tcPr>
          <w:p w14:paraId="368CACF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2</w:t>
            </w:r>
          </w:p>
        </w:tc>
        <w:tc>
          <w:tcPr>
            <w:tcW w:w="7795" w:type="dxa"/>
            <w:noWrap w:val="0"/>
            <w:vAlign w:val="top"/>
          </w:tcPr>
          <w:p w14:paraId="0124D65D">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66D5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noWrap w:val="0"/>
            <w:vAlign w:val="center"/>
          </w:tcPr>
          <w:p w14:paraId="1279AC4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3</w:t>
            </w:r>
          </w:p>
        </w:tc>
        <w:tc>
          <w:tcPr>
            <w:tcW w:w="7795" w:type="dxa"/>
            <w:noWrap w:val="0"/>
            <w:vAlign w:val="top"/>
          </w:tcPr>
          <w:p w14:paraId="2444653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79D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noWrap w:val="0"/>
            <w:vAlign w:val="center"/>
          </w:tcPr>
          <w:p w14:paraId="27D9C45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color w:val="auto"/>
                <w:sz w:val="24"/>
                <w:szCs w:val="24"/>
                <w:lang w:val="en-US" w:eastAsia="zh-CN"/>
              </w:rPr>
              <w:t>4</w:t>
            </w:r>
          </w:p>
        </w:tc>
        <w:tc>
          <w:tcPr>
            <w:tcW w:w="7795" w:type="dxa"/>
            <w:noWrap w:val="0"/>
            <w:vAlign w:val="top"/>
          </w:tcPr>
          <w:p w14:paraId="2838240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58793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noWrap w:val="0"/>
            <w:vAlign w:val="center"/>
          </w:tcPr>
          <w:p w14:paraId="105A3D4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7795" w:type="dxa"/>
            <w:noWrap w:val="0"/>
            <w:vAlign w:val="top"/>
          </w:tcPr>
          <w:p w14:paraId="400284C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1F691F72">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价格可隐去，时间以合同签订时间为准。</w:t>
      </w:r>
    </w:p>
    <w:p w14:paraId="0E63F720">
      <w:pPr>
        <w:topLinePunct/>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1B5AE0-33AC-4930-B111-B4AFAF32FF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4F46CE77-5CE5-4D04-9A3C-75EF4F12955C}"/>
  </w:font>
  <w:font w:name="方正小标宋简体">
    <w:panose1 w:val="02000000000000000000"/>
    <w:charset w:val="86"/>
    <w:family w:val="auto"/>
    <w:pitch w:val="default"/>
    <w:sig w:usb0="00000001" w:usb1="08000000" w:usb2="00000000" w:usb3="00000000" w:csb0="00040000" w:csb1="00000000"/>
    <w:embedRegular r:id="rId3" w:fontKey="{76C80D75-C4C1-4F62-A634-8035121E1828}"/>
  </w:font>
  <w:font w:name="微软雅黑">
    <w:panose1 w:val="020B0503020204020204"/>
    <w:charset w:val="86"/>
    <w:family w:val="auto"/>
    <w:pitch w:val="default"/>
    <w:sig w:usb0="80000287" w:usb1="2ACF3C50" w:usb2="00000016" w:usb3="00000000" w:csb0="0004001F" w:csb1="00000000"/>
    <w:embedRegular r:id="rId4" w:fontKey="{8C6710EF-99B9-41B0-820E-A217D78CDC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B3E59">
    <w:pPr>
      <w:pStyle w:val="15"/>
      <w:spacing w:line="240" w:lineRule="atLeast"/>
      <w:jc w:val="center"/>
      <w:rPr>
        <w:rFonts w:hAnsi="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00F226">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00F22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34B5E">
    <w:pPr>
      <w:pStyle w:val="2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119FA81D">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CA98">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3687B"/>
    <w:multiLevelType w:val="singleLevel"/>
    <w:tmpl w:val="7CD3687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ZDI3YmM2OTM0OTc5MDk5YTBkNjhmMmRhYmE5NDgifQ=="/>
  </w:docVars>
  <w:rsids>
    <w:rsidRoot w:val="69E314DA"/>
    <w:rsid w:val="00072A32"/>
    <w:rsid w:val="00CB6297"/>
    <w:rsid w:val="01251650"/>
    <w:rsid w:val="01A67659"/>
    <w:rsid w:val="023E2922"/>
    <w:rsid w:val="026A1189"/>
    <w:rsid w:val="029C3B08"/>
    <w:rsid w:val="037B371D"/>
    <w:rsid w:val="051379D8"/>
    <w:rsid w:val="0584418A"/>
    <w:rsid w:val="05BE40FB"/>
    <w:rsid w:val="06141C07"/>
    <w:rsid w:val="06AB431A"/>
    <w:rsid w:val="076A5F83"/>
    <w:rsid w:val="07720B9B"/>
    <w:rsid w:val="077554EB"/>
    <w:rsid w:val="08D00E36"/>
    <w:rsid w:val="0AA3355A"/>
    <w:rsid w:val="0ACE1349"/>
    <w:rsid w:val="0CAF4DC4"/>
    <w:rsid w:val="0D782A7C"/>
    <w:rsid w:val="0F4345F5"/>
    <w:rsid w:val="102F1EF5"/>
    <w:rsid w:val="110A60E1"/>
    <w:rsid w:val="114161E7"/>
    <w:rsid w:val="120D40DA"/>
    <w:rsid w:val="130628D8"/>
    <w:rsid w:val="14F74BCE"/>
    <w:rsid w:val="14F90946"/>
    <w:rsid w:val="14FD19B0"/>
    <w:rsid w:val="15350822"/>
    <w:rsid w:val="158755FE"/>
    <w:rsid w:val="16933BA9"/>
    <w:rsid w:val="174B0D9F"/>
    <w:rsid w:val="17725CE9"/>
    <w:rsid w:val="18226406"/>
    <w:rsid w:val="18B3705E"/>
    <w:rsid w:val="193E726F"/>
    <w:rsid w:val="19B65298"/>
    <w:rsid w:val="19BF0744"/>
    <w:rsid w:val="19BF485E"/>
    <w:rsid w:val="19EF056A"/>
    <w:rsid w:val="1AEC4493"/>
    <w:rsid w:val="1B177D78"/>
    <w:rsid w:val="1DA8115B"/>
    <w:rsid w:val="1DB27CC5"/>
    <w:rsid w:val="1DD30B53"/>
    <w:rsid w:val="1E1E31CB"/>
    <w:rsid w:val="1E34479D"/>
    <w:rsid w:val="207E073E"/>
    <w:rsid w:val="21834158"/>
    <w:rsid w:val="21C72A3E"/>
    <w:rsid w:val="220426D8"/>
    <w:rsid w:val="22280ABD"/>
    <w:rsid w:val="22340084"/>
    <w:rsid w:val="22F5715A"/>
    <w:rsid w:val="241430A6"/>
    <w:rsid w:val="2452597D"/>
    <w:rsid w:val="2556149D"/>
    <w:rsid w:val="257B5469"/>
    <w:rsid w:val="26A86F43"/>
    <w:rsid w:val="27CC3C98"/>
    <w:rsid w:val="28AD5878"/>
    <w:rsid w:val="297D7484"/>
    <w:rsid w:val="2A2E0C3A"/>
    <w:rsid w:val="2A4B3DED"/>
    <w:rsid w:val="2BCA0AEC"/>
    <w:rsid w:val="2BF61145"/>
    <w:rsid w:val="2D331C6F"/>
    <w:rsid w:val="2D636A96"/>
    <w:rsid w:val="2DB651CE"/>
    <w:rsid w:val="2DBB27E5"/>
    <w:rsid w:val="2DE05E9B"/>
    <w:rsid w:val="2E033918"/>
    <w:rsid w:val="2EA4771D"/>
    <w:rsid w:val="31832E12"/>
    <w:rsid w:val="32A1627D"/>
    <w:rsid w:val="33260700"/>
    <w:rsid w:val="333C7F24"/>
    <w:rsid w:val="333D3C9C"/>
    <w:rsid w:val="339B5162"/>
    <w:rsid w:val="34DF16EF"/>
    <w:rsid w:val="354E1250"/>
    <w:rsid w:val="358E6037"/>
    <w:rsid w:val="36AC716F"/>
    <w:rsid w:val="372E2279"/>
    <w:rsid w:val="37991DE9"/>
    <w:rsid w:val="38C369F1"/>
    <w:rsid w:val="39974106"/>
    <w:rsid w:val="3A1E0383"/>
    <w:rsid w:val="3A3A65D2"/>
    <w:rsid w:val="3A561988"/>
    <w:rsid w:val="3BFF184D"/>
    <w:rsid w:val="3CB63F34"/>
    <w:rsid w:val="3CEB6517"/>
    <w:rsid w:val="3CFB6595"/>
    <w:rsid w:val="3CFD6BB7"/>
    <w:rsid w:val="3D34475C"/>
    <w:rsid w:val="3D5B326E"/>
    <w:rsid w:val="3E3C01FF"/>
    <w:rsid w:val="3FE9293F"/>
    <w:rsid w:val="405A4224"/>
    <w:rsid w:val="427A5715"/>
    <w:rsid w:val="433C5D1E"/>
    <w:rsid w:val="43770B04"/>
    <w:rsid w:val="44093E52"/>
    <w:rsid w:val="44107006"/>
    <w:rsid w:val="44920CB0"/>
    <w:rsid w:val="45726E52"/>
    <w:rsid w:val="45A00D58"/>
    <w:rsid w:val="45AF0A29"/>
    <w:rsid w:val="460F14C8"/>
    <w:rsid w:val="46637C62"/>
    <w:rsid w:val="467D4A76"/>
    <w:rsid w:val="46933C70"/>
    <w:rsid w:val="46C40504"/>
    <w:rsid w:val="46C81A09"/>
    <w:rsid w:val="47832D0E"/>
    <w:rsid w:val="47A46821"/>
    <w:rsid w:val="48F86DE0"/>
    <w:rsid w:val="497A134E"/>
    <w:rsid w:val="4B896DF6"/>
    <w:rsid w:val="4CB27A82"/>
    <w:rsid w:val="4D64659D"/>
    <w:rsid w:val="4D66647C"/>
    <w:rsid w:val="4DD94895"/>
    <w:rsid w:val="4E6B74B7"/>
    <w:rsid w:val="4ECD3CCE"/>
    <w:rsid w:val="4F18763F"/>
    <w:rsid w:val="4F2D1733"/>
    <w:rsid w:val="4F4A53A9"/>
    <w:rsid w:val="500261D8"/>
    <w:rsid w:val="50610B72"/>
    <w:rsid w:val="509B2FD7"/>
    <w:rsid w:val="51D376E3"/>
    <w:rsid w:val="523676EA"/>
    <w:rsid w:val="524F1A19"/>
    <w:rsid w:val="53E915AA"/>
    <w:rsid w:val="54EB7CA8"/>
    <w:rsid w:val="55EF7BB3"/>
    <w:rsid w:val="55F20E2B"/>
    <w:rsid w:val="56737851"/>
    <w:rsid w:val="5680683F"/>
    <w:rsid w:val="56F815DC"/>
    <w:rsid w:val="57711FE2"/>
    <w:rsid w:val="57D83E10"/>
    <w:rsid w:val="59907EED"/>
    <w:rsid w:val="59C4289D"/>
    <w:rsid w:val="5A715E56"/>
    <w:rsid w:val="5B97061C"/>
    <w:rsid w:val="5C02145B"/>
    <w:rsid w:val="5C2B04AE"/>
    <w:rsid w:val="5C594DF3"/>
    <w:rsid w:val="5D042FB1"/>
    <w:rsid w:val="5DA87DE0"/>
    <w:rsid w:val="5DCA09A3"/>
    <w:rsid w:val="5E253E84"/>
    <w:rsid w:val="5E8D407E"/>
    <w:rsid w:val="5F213A10"/>
    <w:rsid w:val="5F8C5DB5"/>
    <w:rsid w:val="602C2F4B"/>
    <w:rsid w:val="60675D3C"/>
    <w:rsid w:val="6077565B"/>
    <w:rsid w:val="60C97FB7"/>
    <w:rsid w:val="61137C66"/>
    <w:rsid w:val="61483E9A"/>
    <w:rsid w:val="61D92AF5"/>
    <w:rsid w:val="64B22605"/>
    <w:rsid w:val="661E50E3"/>
    <w:rsid w:val="66452F0C"/>
    <w:rsid w:val="6667362D"/>
    <w:rsid w:val="671D4BFD"/>
    <w:rsid w:val="672C3830"/>
    <w:rsid w:val="68365066"/>
    <w:rsid w:val="68B74363"/>
    <w:rsid w:val="69E314DA"/>
    <w:rsid w:val="69F446AA"/>
    <w:rsid w:val="6A445335"/>
    <w:rsid w:val="6BD87931"/>
    <w:rsid w:val="6C2347F8"/>
    <w:rsid w:val="6CCD1611"/>
    <w:rsid w:val="6CE26D5D"/>
    <w:rsid w:val="6DB30807"/>
    <w:rsid w:val="6F4D07E7"/>
    <w:rsid w:val="703561B0"/>
    <w:rsid w:val="70626755"/>
    <w:rsid w:val="707458D8"/>
    <w:rsid w:val="718030F6"/>
    <w:rsid w:val="72E3289C"/>
    <w:rsid w:val="736305DA"/>
    <w:rsid w:val="736B56E0"/>
    <w:rsid w:val="74F87447"/>
    <w:rsid w:val="7530098F"/>
    <w:rsid w:val="76987E92"/>
    <w:rsid w:val="77211E88"/>
    <w:rsid w:val="78511348"/>
    <w:rsid w:val="78632E2A"/>
    <w:rsid w:val="7AD7365B"/>
    <w:rsid w:val="7B5A49B8"/>
    <w:rsid w:val="7D8E0949"/>
    <w:rsid w:val="7E762B70"/>
    <w:rsid w:val="7F06435D"/>
    <w:rsid w:val="7F0D7F93"/>
    <w:rsid w:val="7F442849"/>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6">
    <w:name w:val="Body Text Indent"/>
    <w:basedOn w:val="1"/>
    <w:qFormat/>
    <w:uiPriority w:val="0"/>
    <w:pPr>
      <w:spacing w:after="120"/>
      <w:ind w:left="420" w:leftChars="200"/>
    </w:pPr>
    <w:rPr>
      <w:rFonts w:ascii="Times New Roman" w:hAnsi="Times New Roman" w:eastAsia="宋体" w:cs="Times New Roman"/>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character" w:customStyle="1" w:styleId="16">
    <w:name w:val="font71"/>
    <w:basedOn w:val="11"/>
    <w:qFormat/>
    <w:uiPriority w:val="0"/>
    <w:rPr>
      <w:rFonts w:hint="eastAsia" w:ascii="宋体" w:hAnsi="宋体" w:eastAsia="宋体" w:cs="宋体"/>
      <w:b/>
      <w:bCs/>
      <w:color w:val="000000"/>
      <w:sz w:val="24"/>
      <w:szCs w:val="24"/>
      <w:u w:val="none"/>
    </w:rPr>
  </w:style>
  <w:style w:type="character" w:customStyle="1" w:styleId="17">
    <w:name w:val="font81"/>
    <w:basedOn w:val="11"/>
    <w:qFormat/>
    <w:uiPriority w:val="0"/>
    <w:rPr>
      <w:rFonts w:hint="eastAsia" w:ascii="宋体" w:hAnsi="宋体" w:eastAsia="宋体" w:cs="宋体"/>
      <w:color w:val="000000"/>
      <w:sz w:val="24"/>
      <w:szCs w:val="24"/>
      <w:u w:val="none"/>
    </w:rPr>
  </w:style>
  <w:style w:type="character" w:customStyle="1" w:styleId="18">
    <w:name w:val="font91"/>
    <w:basedOn w:val="11"/>
    <w:qFormat/>
    <w:uiPriority w:val="0"/>
    <w:rPr>
      <w:rFonts w:hint="eastAsia" w:ascii="宋体" w:hAnsi="宋体" w:eastAsia="宋体" w:cs="宋体"/>
      <w:color w:val="000000"/>
      <w:sz w:val="21"/>
      <w:szCs w:val="21"/>
      <w:u w:val="none"/>
    </w:rPr>
  </w:style>
  <w:style w:type="paragraph" w:customStyle="1" w:styleId="19">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20">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21">
    <w:name w:val="Page Number1"/>
    <w:basedOn w:val="11"/>
    <w:qFormat/>
    <w:uiPriority w:val="0"/>
    <w:rPr>
      <w:rFonts w:ascii="Times New Roman" w:hAnsi="Times New Roman" w:eastAsia="宋体" w:cs="Times New Roman"/>
    </w:rPr>
  </w:style>
  <w:style w:type="character" w:customStyle="1" w:styleId="22">
    <w:name w:val="font21"/>
    <w:basedOn w:val="11"/>
    <w:qFormat/>
    <w:uiPriority w:val="0"/>
    <w:rPr>
      <w:rFonts w:hint="eastAsia" w:ascii="仿宋" w:hAnsi="仿宋" w:eastAsia="仿宋" w:cs="仿宋"/>
      <w:color w:val="FF0000"/>
      <w:sz w:val="24"/>
      <w:szCs w:val="24"/>
      <w:u w:val="none"/>
    </w:rPr>
  </w:style>
  <w:style w:type="character" w:customStyle="1" w:styleId="23">
    <w:name w:val="font01"/>
    <w:basedOn w:val="11"/>
    <w:qFormat/>
    <w:uiPriority w:val="0"/>
    <w:rPr>
      <w:rFonts w:hint="eastAsia" w:ascii="宋体" w:hAnsi="宋体" w:eastAsia="宋体" w:cs="宋体"/>
      <w:color w:val="000000"/>
      <w:sz w:val="24"/>
      <w:szCs w:val="24"/>
      <w:u w:val="none"/>
    </w:rPr>
  </w:style>
  <w:style w:type="character" w:customStyle="1" w:styleId="24">
    <w:name w:val="font11"/>
    <w:basedOn w:val="11"/>
    <w:qFormat/>
    <w:uiPriority w:val="0"/>
    <w:rPr>
      <w:rFonts w:hint="eastAsia" w:ascii="仿宋" w:hAnsi="仿宋" w:eastAsia="仿宋" w:cs="仿宋"/>
      <w:color w:val="000000"/>
      <w:sz w:val="24"/>
      <w:szCs w:val="24"/>
      <w:u w:val="none"/>
    </w:rPr>
  </w:style>
  <w:style w:type="character" w:customStyle="1" w:styleId="25">
    <w:name w:val="font31"/>
    <w:basedOn w:val="11"/>
    <w:qFormat/>
    <w:uiPriority w:val="0"/>
    <w:rPr>
      <w:rFonts w:hint="eastAsia" w:ascii="仿宋" w:hAnsi="仿宋" w:eastAsia="仿宋" w:cs="仿宋"/>
      <w:color w:val="000000"/>
      <w:sz w:val="24"/>
      <w:szCs w:val="24"/>
      <w:u w:val="none"/>
    </w:rPr>
  </w:style>
  <w:style w:type="character" w:customStyle="1" w:styleId="26">
    <w:name w:val="font41"/>
    <w:basedOn w:val="11"/>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6604</Words>
  <Characters>6778</Characters>
  <Lines>0</Lines>
  <Paragraphs>0</Paragraphs>
  <TotalTime>0</TotalTime>
  <ScaleCrop>false</ScaleCrop>
  <LinksUpToDate>false</LinksUpToDate>
  <CharactersWithSpaces>7096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郭保平</cp:lastModifiedBy>
  <dcterms:modified xsi:type="dcterms:W3CDTF">2025-05-20T07:35:28Z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7B45DB9A7B6440F18A01E498AC8328F5_13</vt:lpwstr>
  </property>
  <property fmtid="{D5CDD505-2E9C-101B-9397-08002B2CF9AE}" pid="4" name="KSOTemplateDocerSaveRecord">
    <vt:lpwstr>eyJoZGlkIjoiYjVjZDVhYWVmMTBiNTBjNzdjNjhhM2FmZTAyYmQ1ZTgifQ==</vt:lpwstr>
  </property>
</Properties>
</file>