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firstLine="0"/>
        <w:jc w:val="center"/>
        <w:rPr>
          <w:rStyle w:val="11"/>
          <w:rFonts w:hint="eastAsia" w:ascii="宋体" w:hAnsi="宋体" w:eastAsia="宋体" w:cs="宋体"/>
          <w:b/>
          <w:bCs w:val="0"/>
          <w:i w:val="0"/>
          <w:iCs w:val="0"/>
          <w:caps w:val="0"/>
          <w:color w:val="000000"/>
          <w:spacing w:val="0"/>
          <w:sz w:val="36"/>
          <w:szCs w:val="36"/>
        </w:rPr>
      </w:pPr>
      <w:r>
        <w:rPr>
          <w:rStyle w:val="11"/>
          <w:rFonts w:hint="eastAsia" w:ascii="宋体" w:hAnsi="宋体" w:eastAsia="宋体" w:cs="宋体"/>
          <w:b/>
          <w:bCs w:val="0"/>
          <w:i w:val="0"/>
          <w:iCs w:val="0"/>
          <w:caps w:val="0"/>
          <w:color w:val="000000"/>
          <w:spacing w:val="0"/>
          <w:sz w:val="36"/>
          <w:szCs w:val="36"/>
        </w:rPr>
        <w:t>陕西锌业有限公司</w:t>
      </w:r>
    </w:p>
    <w:p w14:paraId="00A7A40E">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firstLine="0"/>
        <w:jc w:val="center"/>
        <w:rPr>
          <w:rFonts w:hint="eastAsia" w:ascii="宋体" w:hAnsi="宋体" w:eastAsia="宋体" w:cs="宋体"/>
          <w:i w:val="0"/>
          <w:iCs w:val="0"/>
          <w:caps w:val="0"/>
          <w:color w:val="000000"/>
          <w:spacing w:val="0"/>
          <w:sz w:val="36"/>
          <w:szCs w:val="36"/>
          <w:lang w:val="en-US" w:eastAsia="zh-CN"/>
        </w:rPr>
      </w:pPr>
      <w:r>
        <w:rPr>
          <w:rStyle w:val="11"/>
          <w:rFonts w:hint="eastAsia" w:ascii="宋体" w:hAnsi="宋体" w:eastAsia="宋体" w:cs="宋体"/>
          <w:i w:val="0"/>
          <w:iCs w:val="0"/>
          <w:caps w:val="0"/>
          <w:color w:val="000000"/>
          <w:spacing w:val="0"/>
          <w:sz w:val="36"/>
          <w:szCs w:val="36"/>
          <w:lang w:val="en-US" w:eastAsia="zh-CN"/>
        </w:rPr>
        <w:t>石墨电极采购项目</w:t>
      </w:r>
      <w:r>
        <w:rPr>
          <w:rStyle w:val="11"/>
          <w:rFonts w:hint="eastAsia" w:ascii="宋体" w:hAnsi="宋体" w:eastAsia="宋体" w:cs="宋体"/>
          <w:i w:val="0"/>
          <w:iCs w:val="0"/>
          <w:caps w:val="0"/>
          <w:color w:val="000000"/>
          <w:spacing w:val="0"/>
          <w:sz w:val="36"/>
          <w:szCs w:val="36"/>
        </w:rPr>
        <w:t>询比采购</w:t>
      </w:r>
      <w:r>
        <w:rPr>
          <w:rStyle w:val="11"/>
          <w:rFonts w:hint="eastAsia" w:ascii="宋体" w:hAnsi="宋体" w:eastAsia="宋体" w:cs="宋体"/>
          <w:i w:val="0"/>
          <w:iCs w:val="0"/>
          <w:caps w:val="0"/>
          <w:color w:val="000000"/>
          <w:spacing w:val="0"/>
          <w:sz w:val="36"/>
          <w:szCs w:val="36"/>
          <w:lang w:val="en-US" w:eastAsia="zh-CN"/>
        </w:rPr>
        <w:t>邀请函</w:t>
      </w:r>
    </w:p>
    <w:p w14:paraId="1EC36912">
      <w:pPr>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outlineLvl w:val="9"/>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采购石墨电极若干</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after="0" w:line="440" w:lineRule="exact"/>
        <w:ind w:firstLine="562" w:firstLineChars="200"/>
        <w:jc w:val="both"/>
        <w:rPr>
          <w:rFonts w:hint="eastAsia" w:ascii="仿宋" w:hAnsi="仿宋" w:eastAsia="仿宋" w:cs="仿宋"/>
          <w:b/>
          <w:bCs/>
          <w:color w:val="auto"/>
          <w:sz w:val="28"/>
          <w:szCs w:val="28"/>
          <w:lang w:val="en-US"/>
        </w:rPr>
      </w:pPr>
      <w:bookmarkStart w:id="0" w:name="_Toc33795775"/>
      <w:bookmarkStart w:id="1" w:name="_Toc4593"/>
      <w:bookmarkStart w:id="2" w:name="_Toc20230"/>
      <w:bookmarkStart w:id="3" w:name="_Toc14440"/>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4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14565"/>
      <w:bookmarkStart w:id="5" w:name="_Toc33795776"/>
      <w:bookmarkStart w:id="6" w:name="_Toc11471"/>
      <w:bookmarkStart w:id="7" w:name="_Toc7037"/>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石墨电极采购项目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合同签订日起10日内，在此期间，如遇采购人检修、减产、生产工艺调整等，采购人根据实际情况适时调整采购量。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（四）交货地点：采购方公司辅材库房（带磅码单、质检单、合格证）。</w:t>
      </w:r>
    </w:p>
    <w:p w14:paraId="389EDD44">
      <w:pPr>
        <w:keepNext w:val="0"/>
        <w:keepLines w:val="0"/>
        <w:pageBreakBefore w:val="0"/>
        <w:numPr>
          <w:ilvl w:val="0"/>
          <w:numId w:val="0"/>
        </w:numPr>
        <w:kinsoku/>
        <w:wordWrap/>
        <w:overflowPunct/>
        <w:topLinePunct w:val="0"/>
        <w:autoSpaceDE/>
        <w:autoSpaceDN/>
        <w:bidi w:val="0"/>
        <w:adjustRightInd/>
        <w:snapToGrid/>
        <w:spacing w:line="440" w:lineRule="exact"/>
        <w:ind w:firstLine="28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（五）数量：35吨。</w:t>
      </w:r>
    </w:p>
    <w:p w14:paraId="70B87450">
      <w:pPr>
        <w:keepNext w:val="0"/>
        <w:keepLines w:val="0"/>
        <w:pageBreakBefore w:val="0"/>
        <w:widowControl w:val="0"/>
        <w:kinsoku/>
        <w:wordWrap/>
        <w:overflowPunct/>
        <w:topLinePunct w:val="0"/>
        <w:autoSpaceDE/>
        <w:autoSpaceDN/>
        <w:bidi w:val="0"/>
        <w:adjustRightInd w:val="0"/>
        <w:snapToGrid/>
        <w:spacing w:line="44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3498EC47">
      <w:pPr>
        <w:pageBreakBefore w:val="0"/>
        <w:kinsoku/>
        <w:wordWrap/>
        <w:overflowPunct/>
        <w:topLinePunct w:val="0"/>
        <w:autoSpaceDE/>
        <w:autoSpaceDN/>
        <w:bidi w:val="0"/>
        <w:snapToGrid/>
        <w:spacing w:line="440" w:lineRule="exact"/>
        <w:ind w:firstLine="560" w:firstLineChars="200"/>
        <w:rPr>
          <w:rFonts w:hint="eastAsia" w:ascii="仿宋" w:hAnsi="仿宋" w:eastAsia="仿宋" w:cs="仿宋"/>
          <w:b w:val="0"/>
          <w:bCs/>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质量要求：</w:t>
      </w:r>
      <w:r>
        <w:rPr>
          <w:rFonts w:hint="eastAsia" w:ascii="仿宋" w:hAnsi="仿宋" w:eastAsia="仿宋" w:cs="仿宋"/>
          <w:b w:val="0"/>
          <w:bCs/>
          <w:sz w:val="28"/>
          <w:szCs w:val="28"/>
        </w:rPr>
        <w:t>执行</w:t>
      </w:r>
      <w:r>
        <w:rPr>
          <w:rStyle w:val="11"/>
          <w:rFonts w:hint="eastAsia" w:ascii="仿宋" w:hAnsi="仿宋" w:eastAsia="仿宋" w:cs="仿宋"/>
          <w:b w:val="0"/>
          <w:bCs/>
          <w:i w:val="0"/>
          <w:iCs w:val="0"/>
          <w:caps w:val="0"/>
          <w:color w:val="000000"/>
          <w:spacing w:val="0"/>
          <w:sz w:val="28"/>
          <w:szCs w:val="28"/>
          <w:shd w:val="clear" w:fill="FFFFFF"/>
        </w:rPr>
        <w:t>YB/T 4088-2015</w:t>
      </w:r>
      <w:r>
        <w:rPr>
          <w:rFonts w:hint="eastAsia" w:ascii="仿宋" w:hAnsi="仿宋" w:eastAsia="仿宋" w:cs="仿宋"/>
          <w:b w:val="0"/>
          <w:bCs/>
          <w:sz w:val="28"/>
          <w:szCs w:val="28"/>
        </w:rPr>
        <w:t>标准，</w:t>
      </w:r>
      <w:r>
        <w:rPr>
          <w:rFonts w:hint="eastAsia" w:ascii="仿宋" w:hAnsi="仿宋" w:eastAsia="仿宋" w:cs="仿宋"/>
          <w:b w:val="0"/>
          <w:bCs/>
          <w:sz w:val="28"/>
          <w:szCs w:val="28"/>
          <w:lang w:val="en-US" w:eastAsia="zh-CN"/>
        </w:rPr>
        <w:t>HP</w:t>
      </w:r>
      <w:r>
        <w:rPr>
          <w:rFonts w:hint="eastAsia" w:ascii="仿宋" w:hAnsi="仿宋" w:eastAsia="仿宋" w:cs="仿宋"/>
          <w:b w:val="0"/>
          <w:bCs/>
          <w:color w:val="auto"/>
          <w:sz w:val="28"/>
          <w:szCs w:val="28"/>
        </w:rPr>
        <w:t>Φ350</w:t>
      </w:r>
      <w:r>
        <w:rPr>
          <w:rFonts w:hint="eastAsia" w:ascii="仿宋" w:hAnsi="仿宋" w:eastAsia="仿宋" w:cs="仿宋"/>
          <w:b w:val="0"/>
          <w:bCs/>
          <w:color w:val="auto"/>
          <w:sz w:val="28"/>
          <w:szCs w:val="28"/>
          <w:vertAlign w:val="superscript"/>
          <w:lang w:val="en-US" w:eastAsia="zh-CN"/>
        </w:rPr>
        <w:t>+4</w:t>
      </w:r>
      <w:r>
        <w:rPr>
          <w:rFonts w:hint="eastAsia" w:ascii="仿宋" w:hAnsi="仿宋" w:eastAsia="仿宋" w:cs="仿宋"/>
          <w:b w:val="0"/>
          <w:bCs/>
          <w:color w:val="auto"/>
          <w:sz w:val="28"/>
          <w:szCs w:val="28"/>
          <w:vertAlign w:val="subscript"/>
          <w:lang w:val="en-US" w:eastAsia="zh-CN"/>
        </w:rPr>
        <w:t>+2</w:t>
      </w:r>
      <w:r>
        <w:rPr>
          <w:rFonts w:hint="eastAsia" w:ascii="仿宋" w:hAnsi="仿宋" w:eastAsia="仿宋" w:cs="仿宋"/>
          <w:b w:val="0"/>
          <w:bCs/>
          <w:color w:val="auto"/>
          <w:sz w:val="28"/>
          <w:szCs w:val="28"/>
        </w:rPr>
        <w:t>长度1.5m-1.</w:t>
      </w:r>
      <w:r>
        <w:rPr>
          <w:rFonts w:hint="eastAsia" w:ascii="仿宋" w:hAnsi="仿宋" w:eastAsia="仿宋" w:cs="仿宋"/>
          <w:b w:val="0"/>
          <w:bCs/>
          <w:color w:val="auto"/>
          <w:sz w:val="28"/>
          <w:szCs w:val="28"/>
          <w:lang w:val="en-US" w:eastAsia="zh-CN"/>
        </w:rPr>
        <w:t>9</w:t>
      </w:r>
      <w:r>
        <w:rPr>
          <w:rFonts w:hint="eastAsia" w:ascii="仿宋" w:hAnsi="仿宋" w:eastAsia="仿宋" w:cs="仿宋"/>
          <w:b w:val="0"/>
          <w:bCs/>
          <w:color w:val="auto"/>
          <w:sz w:val="28"/>
          <w:szCs w:val="28"/>
        </w:rPr>
        <w:t>m</w:t>
      </w:r>
      <w:r>
        <w:rPr>
          <w:rFonts w:hint="eastAsia" w:ascii="仿宋" w:hAnsi="仿宋" w:eastAsia="仿宋" w:cs="仿宋"/>
          <w:b w:val="0"/>
          <w:bCs/>
          <w:color w:val="008000"/>
          <w:sz w:val="28"/>
          <w:szCs w:val="28"/>
        </w:rPr>
        <w:t>，</w:t>
      </w:r>
      <w:r>
        <w:rPr>
          <w:rFonts w:hint="eastAsia" w:ascii="仿宋" w:hAnsi="仿宋" w:eastAsia="仿宋" w:cs="仿宋"/>
          <w:b w:val="0"/>
          <w:bCs/>
          <w:sz w:val="28"/>
          <w:szCs w:val="28"/>
        </w:rPr>
        <w:t>随车携带合格证</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码单、材质报告</w:t>
      </w:r>
      <w:r>
        <w:rPr>
          <w:rFonts w:hint="eastAsia" w:ascii="仿宋" w:hAnsi="仿宋" w:eastAsia="仿宋" w:cs="仿宋"/>
          <w:b w:val="0"/>
          <w:bCs/>
          <w:sz w:val="28"/>
          <w:szCs w:val="28"/>
          <w:lang w:eastAsia="zh-CN"/>
        </w:rPr>
        <w:t>。</w:t>
      </w:r>
    </w:p>
    <w:p w14:paraId="0B4DFD63">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33795778"/>
      <w:bookmarkStart w:id="9" w:name="_Toc29895"/>
      <w:bookmarkStart w:id="10" w:name="_Toc14688"/>
      <w:bookmarkStart w:id="11" w:name="_Toc14196"/>
    </w:p>
    <w:p w14:paraId="581D30CB">
      <w:pPr>
        <w:keepNext w:val="0"/>
        <w:keepLines w:val="0"/>
        <w:pageBreakBefore w:val="0"/>
        <w:kinsoku/>
        <w:wordWrap/>
        <w:overflowPunct/>
        <w:topLinePunct w:val="0"/>
        <w:autoSpaceDE/>
        <w:autoSpaceDN/>
        <w:bidi w:val="0"/>
        <w:adjustRightInd/>
        <w:snapToGrid/>
        <w:spacing w:line="440" w:lineRule="exact"/>
        <w:ind w:left="513" w:leftChars="114" w:hanging="274" w:hangingChars="98"/>
        <w:textAlignment w:val="auto"/>
        <w:outlineLvl w:val="9"/>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w:t>
      </w:r>
      <w:r>
        <w:rPr>
          <w:rFonts w:hint="eastAsia" w:ascii="仿宋" w:hAnsi="仿宋" w:eastAsia="仿宋" w:cs="仿宋"/>
          <w:b w:val="0"/>
          <w:bCs/>
          <w:sz w:val="28"/>
          <w:szCs w:val="28"/>
        </w:rPr>
        <w:t>汽运</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车辆</w:t>
      </w:r>
      <w:r>
        <w:rPr>
          <w:rFonts w:hint="eastAsia" w:ascii="仿宋" w:hAnsi="仿宋" w:eastAsia="仿宋" w:cs="仿宋"/>
          <w:i w:val="0"/>
          <w:iCs w:val="0"/>
          <w:caps w:val="0"/>
          <w:color w:val="333333"/>
          <w:spacing w:val="0"/>
          <w:sz w:val="28"/>
          <w:szCs w:val="28"/>
          <w:shd w:val="clear" w:fill="FFFFFF"/>
        </w:rPr>
        <w:t>国五标准</w:t>
      </w:r>
      <w:r>
        <w:rPr>
          <w:rFonts w:hint="eastAsia" w:ascii="仿宋" w:hAnsi="仿宋" w:eastAsia="仿宋" w:cs="仿宋"/>
          <w:i w:val="0"/>
          <w:iCs w:val="0"/>
          <w:caps w:val="0"/>
          <w:color w:val="333333"/>
          <w:spacing w:val="0"/>
          <w:sz w:val="28"/>
          <w:szCs w:val="28"/>
          <w:shd w:val="clear" w:fill="FFFFFF"/>
          <w:lang w:val="en-US" w:eastAsia="zh-CN"/>
        </w:rPr>
        <w:t>或以</w:t>
      </w:r>
    </w:p>
    <w:p w14:paraId="3D26B792">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val="0"/>
          <w:bCs/>
          <w:sz w:val="28"/>
          <w:szCs w:val="28"/>
        </w:rPr>
      </w:pPr>
      <w:r>
        <w:rPr>
          <w:rFonts w:hint="eastAsia" w:ascii="仿宋" w:hAnsi="仿宋" w:eastAsia="仿宋" w:cs="仿宋"/>
          <w:i w:val="0"/>
          <w:iCs w:val="0"/>
          <w:caps w:val="0"/>
          <w:color w:val="333333"/>
          <w:spacing w:val="0"/>
          <w:sz w:val="28"/>
          <w:szCs w:val="28"/>
          <w:shd w:val="clear" w:fill="FFFFFF"/>
          <w:lang w:val="en-US" w:eastAsia="zh-CN"/>
        </w:rPr>
        <w:t>上）</w:t>
      </w:r>
      <w:r>
        <w:rPr>
          <w:rFonts w:hint="eastAsia" w:ascii="仿宋" w:hAnsi="仿宋" w:eastAsia="仿宋" w:cs="仿宋"/>
          <w:b w:val="0"/>
          <w:bCs/>
          <w:sz w:val="28"/>
          <w:szCs w:val="28"/>
        </w:rPr>
        <w:t>，费用由</w:t>
      </w:r>
      <w:r>
        <w:rPr>
          <w:rFonts w:hint="eastAsia" w:ascii="仿宋" w:hAnsi="仿宋" w:eastAsia="仿宋" w:cs="仿宋"/>
          <w:b w:val="0"/>
          <w:bCs/>
          <w:sz w:val="28"/>
          <w:szCs w:val="28"/>
          <w:lang w:val="en-US" w:eastAsia="zh-CN"/>
        </w:rPr>
        <w:t>报价方</w:t>
      </w:r>
      <w:r>
        <w:rPr>
          <w:rFonts w:hint="eastAsia" w:ascii="仿宋" w:hAnsi="仿宋" w:eastAsia="仿宋" w:cs="仿宋"/>
          <w:b w:val="0"/>
          <w:bCs/>
          <w:sz w:val="28"/>
          <w:szCs w:val="28"/>
        </w:rPr>
        <w:t>承担</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运输车辆必须符合国家</w:t>
      </w:r>
      <w:r>
        <w:rPr>
          <w:rFonts w:hint="eastAsia" w:ascii="仿宋" w:hAnsi="仿宋" w:eastAsia="仿宋" w:cs="仿宋"/>
          <w:b w:val="0"/>
          <w:bCs/>
          <w:sz w:val="28"/>
          <w:szCs w:val="28"/>
          <w:lang w:val="en-US" w:eastAsia="zh-CN"/>
        </w:rPr>
        <w:t>环保</w:t>
      </w:r>
      <w:r>
        <w:rPr>
          <w:rFonts w:hint="eastAsia" w:ascii="仿宋" w:hAnsi="仿宋" w:eastAsia="仿宋" w:cs="仿宋"/>
          <w:b w:val="0"/>
          <w:bCs/>
          <w:sz w:val="28"/>
          <w:szCs w:val="28"/>
        </w:rPr>
        <w:t>安全管理需要</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加盖防尘及</w:t>
      </w:r>
      <w:r>
        <w:rPr>
          <w:rFonts w:hint="eastAsia" w:ascii="仿宋" w:hAnsi="仿宋" w:eastAsia="仿宋" w:cs="仿宋"/>
          <w:b w:val="0"/>
          <w:bCs/>
          <w:sz w:val="28"/>
          <w:szCs w:val="28"/>
        </w:rPr>
        <w:t>防火安全相关设备，如灭火器、防火罩等，否则</w:t>
      </w:r>
      <w:r>
        <w:rPr>
          <w:rFonts w:hint="eastAsia" w:ascii="仿宋" w:hAnsi="仿宋" w:eastAsia="仿宋" w:cs="仿宋"/>
          <w:b w:val="0"/>
          <w:bCs/>
          <w:sz w:val="28"/>
          <w:szCs w:val="28"/>
          <w:lang w:eastAsia="zh-CN"/>
        </w:rPr>
        <w:t>不得</w:t>
      </w:r>
      <w:r>
        <w:rPr>
          <w:rFonts w:hint="eastAsia" w:ascii="仿宋" w:hAnsi="仿宋" w:eastAsia="仿宋" w:cs="仿宋"/>
          <w:b w:val="0"/>
          <w:bCs/>
          <w:sz w:val="28"/>
          <w:szCs w:val="28"/>
        </w:rPr>
        <w:t>进入</w:t>
      </w:r>
      <w:r>
        <w:rPr>
          <w:rFonts w:hint="eastAsia" w:ascii="仿宋" w:hAnsi="仿宋" w:eastAsia="仿宋" w:cs="仿宋"/>
          <w:b w:val="0"/>
          <w:bCs/>
          <w:sz w:val="28"/>
          <w:szCs w:val="28"/>
          <w:lang w:val="en-US" w:eastAsia="zh-CN"/>
        </w:rPr>
        <w:t>采购方</w:t>
      </w:r>
      <w:r>
        <w:rPr>
          <w:rFonts w:hint="eastAsia" w:ascii="仿宋" w:hAnsi="仿宋" w:eastAsia="仿宋" w:cs="仿宋"/>
          <w:b w:val="0"/>
          <w:bCs/>
          <w:sz w:val="28"/>
          <w:szCs w:val="28"/>
        </w:rPr>
        <w:t>公司厂内。</w:t>
      </w:r>
    </w:p>
    <w:p w14:paraId="24BAC03C">
      <w:pPr>
        <w:keepNext w:val="0"/>
        <w:keepLines w:val="0"/>
        <w:pageBreakBefore w:val="0"/>
        <w:widowControl w:val="0"/>
        <w:kinsoku/>
        <w:wordWrap/>
        <w:overflowPunct/>
        <w:topLinePunct w:val="0"/>
        <w:autoSpaceDE/>
        <w:autoSpaceDN/>
        <w:bidi w:val="0"/>
        <w:adjustRightInd w:val="0"/>
        <w:snapToGrid/>
        <w:spacing w:line="44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40" w:lineRule="exact"/>
        <w:ind w:firstLine="280" w:firstLineChars="100"/>
        <w:jc w:val="left"/>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 w:val="0"/>
          <w:bCs/>
          <w:sz w:val="28"/>
          <w:szCs w:val="28"/>
        </w:rPr>
        <w:t>：按标准包装</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包装物不回收</w:t>
      </w:r>
    </w:p>
    <w:p w14:paraId="66177F4C">
      <w:pPr>
        <w:keepNext w:val="0"/>
        <w:keepLines w:val="0"/>
        <w:pageBreakBefore w:val="0"/>
        <w:widowControl w:val="0"/>
        <w:kinsoku/>
        <w:wordWrap/>
        <w:overflowPunct/>
        <w:topLinePunct w:val="0"/>
        <w:autoSpaceDE/>
        <w:autoSpaceDN/>
        <w:bidi w:val="0"/>
        <w:adjustRightInd w:val="0"/>
        <w:snapToGrid/>
        <w:spacing w:line="44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6021050F">
      <w:pPr>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outlineLvl w:val="9"/>
        <w:rPr>
          <w:rFonts w:hint="eastAsia" w:ascii="仿宋" w:hAnsi="仿宋" w:eastAsia="仿宋" w:cs="仿宋"/>
          <w:b w:val="0"/>
          <w:bCs w:val="0"/>
          <w:sz w:val="28"/>
          <w:szCs w:val="28"/>
          <w:highlight w:val="none"/>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方式、标准及期限：</w:t>
      </w:r>
      <w:r>
        <w:rPr>
          <w:rFonts w:hint="eastAsia" w:ascii="仿宋" w:hAnsi="仿宋" w:eastAsia="仿宋" w:cs="仿宋"/>
          <w:bCs/>
          <w:color w:val="auto"/>
          <w:sz w:val="28"/>
          <w:szCs w:val="28"/>
          <w:lang w:val="en-US" w:eastAsia="zh-CN"/>
        </w:rPr>
        <w:t>质量符合本邀请函的</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要求第一款时，报价结算</w:t>
      </w:r>
      <w:r>
        <w:rPr>
          <w:rFonts w:hint="eastAsia" w:ascii="仿宋" w:hAnsi="仿宋" w:eastAsia="仿宋" w:cs="仿宋"/>
          <w:b w:val="0"/>
          <w:bCs w:val="0"/>
          <w:sz w:val="28"/>
          <w:szCs w:val="28"/>
          <w:highlight w:val="none"/>
          <w:lang w:val="en-US" w:eastAsia="zh-CN"/>
        </w:rPr>
        <w:t>，报价</w:t>
      </w:r>
      <w:r>
        <w:rPr>
          <w:rFonts w:hint="eastAsia" w:ascii="仿宋" w:hAnsi="仿宋" w:eastAsia="仿宋" w:cs="仿宋"/>
          <w:b w:val="0"/>
          <w:bCs w:val="0"/>
          <w:sz w:val="28"/>
          <w:szCs w:val="28"/>
          <w:highlight w:val="none"/>
          <w:lang w:eastAsia="zh-CN"/>
        </w:rPr>
        <w:t>方提供</w:t>
      </w:r>
      <w:r>
        <w:rPr>
          <w:rFonts w:hint="eastAsia" w:ascii="仿宋" w:hAnsi="仿宋" w:eastAsia="仿宋" w:cs="仿宋"/>
          <w:b w:val="0"/>
          <w:bCs w:val="0"/>
          <w:sz w:val="28"/>
          <w:szCs w:val="28"/>
          <w:highlight w:val="none"/>
          <w:lang w:val="en-US" w:eastAsia="zh-CN"/>
        </w:rPr>
        <w:t>全额增值税</w:t>
      </w:r>
      <w:r>
        <w:rPr>
          <w:rFonts w:hint="eastAsia" w:ascii="仿宋" w:hAnsi="仿宋" w:eastAsia="仿宋" w:cs="仿宋"/>
          <w:b w:val="0"/>
          <w:bCs w:val="0"/>
          <w:sz w:val="28"/>
          <w:szCs w:val="28"/>
          <w:highlight w:val="none"/>
          <w:lang w:eastAsia="zh-CN"/>
        </w:rPr>
        <w:t>发票，</w:t>
      </w:r>
      <w:r>
        <w:rPr>
          <w:rFonts w:hint="eastAsia" w:ascii="仿宋" w:hAnsi="仿宋" w:eastAsia="仿宋" w:cs="仿宋"/>
          <w:b w:val="0"/>
          <w:bCs w:val="0"/>
          <w:sz w:val="28"/>
          <w:szCs w:val="28"/>
          <w:highlight w:val="none"/>
          <w:lang w:val="en-US" w:eastAsia="zh-CN"/>
        </w:rPr>
        <w:t>挂账</w:t>
      </w:r>
      <w:r>
        <w:rPr>
          <w:rFonts w:hint="eastAsia" w:ascii="仿宋" w:hAnsi="仿宋" w:eastAsia="仿宋" w:cs="仿宋"/>
          <w:b w:val="0"/>
          <w:bCs w:val="0"/>
          <w:sz w:val="28"/>
          <w:szCs w:val="28"/>
          <w:highlight w:val="none"/>
          <w:lang w:eastAsia="zh-CN"/>
        </w:rPr>
        <w:t>后</w:t>
      </w:r>
      <w:r>
        <w:rPr>
          <w:rFonts w:hint="eastAsia" w:ascii="仿宋" w:hAnsi="仿宋" w:eastAsia="仿宋" w:cs="仿宋"/>
          <w:b w:val="0"/>
          <w:bCs w:val="0"/>
          <w:sz w:val="28"/>
          <w:szCs w:val="28"/>
          <w:highlight w:val="none"/>
          <w:lang w:val="en-US" w:eastAsia="zh-CN"/>
        </w:rPr>
        <w:t>三</w:t>
      </w:r>
      <w:r>
        <w:rPr>
          <w:rFonts w:hint="eastAsia" w:ascii="仿宋" w:hAnsi="仿宋" w:eastAsia="仿宋" w:cs="仿宋"/>
          <w:b w:val="0"/>
          <w:bCs w:val="0"/>
          <w:sz w:val="28"/>
          <w:szCs w:val="28"/>
          <w:highlight w:val="none"/>
        </w:rPr>
        <w:t>月内</w:t>
      </w:r>
      <w:r>
        <w:rPr>
          <w:rFonts w:hint="eastAsia" w:ascii="仿宋" w:hAnsi="仿宋" w:eastAsia="仿宋" w:cs="仿宋"/>
          <w:b w:val="0"/>
          <w:bCs w:val="0"/>
          <w:sz w:val="28"/>
          <w:szCs w:val="28"/>
          <w:highlight w:val="none"/>
          <w:lang w:val="en-US" w:eastAsia="zh-CN"/>
        </w:rPr>
        <w:t>付款</w:t>
      </w:r>
      <w:r>
        <w:rPr>
          <w:rFonts w:hint="eastAsia" w:ascii="仿宋" w:hAnsi="仿宋" w:eastAsia="仿宋" w:cs="仿宋"/>
          <w:b w:val="0"/>
          <w:bCs w:val="0"/>
          <w:sz w:val="28"/>
          <w:szCs w:val="28"/>
          <w:highlight w:val="none"/>
          <w:lang w:eastAsia="zh-CN"/>
        </w:rPr>
        <w:t>。</w:t>
      </w:r>
    </w:p>
    <w:p w14:paraId="7AC338B0">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供应商2023年5月至今具有类似业绩（提供合同复印件，时间以合同签订时间为准）；</w:t>
      </w:r>
    </w:p>
    <w:p w14:paraId="04C0E152">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44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440" w:lineRule="exact"/>
        <w:rPr>
          <w:rFonts w:hint="eastAsia" w:ascii="仿宋" w:hAnsi="仿宋" w:eastAsia="仿宋" w:cs="仿宋"/>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44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25772"/>
      <w:bookmarkStart w:id="13" w:name="_Toc352691486"/>
      <w:bookmarkStart w:id="14" w:name="_Toc247527567"/>
      <w:bookmarkStart w:id="15" w:name="_Toc384308223"/>
      <w:bookmarkStart w:id="16" w:name="_Toc152045542"/>
      <w:bookmarkStart w:id="17" w:name="_Toc361508598"/>
      <w:bookmarkStart w:id="18" w:name="_Toc247513966"/>
      <w:bookmarkStart w:id="19" w:name="_Toc144974510"/>
      <w:bookmarkStart w:id="20" w:name="_Toc152042318"/>
      <w:bookmarkStart w:id="21" w:name="_Toc300834963"/>
      <w:bookmarkStart w:id="22" w:name="_Toc369531529"/>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247513967"/>
      <w:bookmarkStart w:id="24" w:name="_Toc369531530"/>
      <w:bookmarkStart w:id="25" w:name="_Toc152045543"/>
      <w:bookmarkStart w:id="26" w:name="_Toc352691487"/>
      <w:bookmarkStart w:id="27" w:name="_Toc144974511"/>
      <w:bookmarkStart w:id="28" w:name="_Toc152042319"/>
      <w:bookmarkStart w:id="29" w:name="_Toc300834964"/>
      <w:bookmarkStart w:id="30" w:name="_Toc361508599"/>
      <w:bookmarkStart w:id="31" w:name="_Toc384308224"/>
      <w:bookmarkStart w:id="32" w:name="_Toc247527568"/>
      <w:bookmarkStart w:id="33" w:name="_Toc15242"/>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从提交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截止之日起算</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天。</w:t>
      </w:r>
    </w:p>
    <w:p w14:paraId="3EAC3C8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1万元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361508602"/>
      <w:bookmarkStart w:id="35" w:name="_Toc384308227"/>
      <w:bookmarkStart w:id="36" w:name="_Toc369531533"/>
      <w:bookmarkStart w:id="37" w:name="_Toc29025"/>
      <w:bookmarkStart w:id="38" w:name="_Toc352691490"/>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14751"/>
      <w:bookmarkStart w:id="40" w:name="_Toc152045546"/>
      <w:bookmarkStart w:id="41" w:name="_Toc247527571"/>
      <w:bookmarkStart w:id="42" w:name="_Toc152042322"/>
      <w:bookmarkStart w:id="43" w:name="_Toc361508603"/>
      <w:bookmarkStart w:id="44" w:name="_Toc369531534"/>
      <w:bookmarkStart w:id="45" w:name="_Toc384308228"/>
      <w:bookmarkStart w:id="46" w:name="_Toc247513970"/>
      <w:bookmarkStart w:id="47" w:name="_Toc300834967"/>
      <w:bookmarkStart w:id="48" w:name="_Toc352691491"/>
      <w:bookmarkStart w:id="49" w:name="_Toc144974514"/>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152042323"/>
      <w:bookmarkStart w:id="51" w:name="_Toc247513971"/>
      <w:bookmarkStart w:id="52" w:name="_Toc384308229"/>
      <w:bookmarkStart w:id="53" w:name="_Toc144974515"/>
      <w:bookmarkStart w:id="54" w:name="_Toc152045547"/>
      <w:bookmarkStart w:id="55" w:name="_Toc369531535"/>
      <w:bookmarkStart w:id="56" w:name="_Toc361508604"/>
      <w:bookmarkStart w:id="57" w:name="_Toc300834968"/>
      <w:bookmarkStart w:id="58" w:name="_Toc17952"/>
      <w:bookmarkStart w:id="59" w:name="_Toc352691492"/>
      <w:bookmarkStart w:id="60" w:name="_Toc247527572"/>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3"/>
        <w:pageBreakBefore w:val="0"/>
        <w:kinsoku/>
        <w:wordWrap/>
        <w:overflowPunct/>
        <w:topLinePunct w:val="0"/>
        <w:autoSpaceDE/>
        <w:autoSpaceDN/>
        <w:bidi w:val="0"/>
        <w:snapToGrid/>
        <w:spacing w:before="0" w:after="0" w:line="440" w:lineRule="exact"/>
        <w:ind w:left="0" w:firstLine="280" w:firstLineChars="100"/>
        <w:jc w:val="both"/>
        <w:rPr>
          <w:rFonts w:hint="eastAsia" w:ascii="仿宋" w:hAnsi="仿宋" w:eastAsia="仿宋" w:cs="仿宋"/>
          <w:color w:val="auto"/>
          <w:sz w:val="28"/>
          <w:szCs w:val="28"/>
        </w:rPr>
      </w:pPr>
      <w:bookmarkStart w:id="61" w:name="_Toc24514"/>
      <w:bookmarkStart w:id="62" w:name="_Toc21871"/>
      <w:bookmarkStart w:id="63" w:name="_Toc33795794"/>
      <w:bookmarkStart w:id="64" w:name="_Toc2821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37C3954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从2023年3月至今的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2022年3月至今的</w:t>
      </w:r>
      <w:r>
        <w:rPr>
          <w:rFonts w:hint="eastAsia" w:ascii="仿宋" w:hAnsi="仿宋" w:eastAsia="仿宋" w:cs="仿宋"/>
          <w:color w:val="auto"/>
          <w:sz w:val="28"/>
          <w:szCs w:val="28"/>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响应文件提交截止时间：2025年6月4日14（北京时间）；</w:t>
      </w:r>
    </w:p>
    <w:p w14:paraId="1FFC55D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2"/>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联系人：南晓霞     电话： 0914-2552485</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44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4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2025年6月4日14时</w:t>
      </w:r>
      <w:r>
        <w:rPr>
          <w:rFonts w:hint="eastAsia" w:ascii="仿宋" w:hAnsi="仿宋" w:eastAsia="仿宋" w:cs="仿宋"/>
          <w:color w:val="auto"/>
          <w:spacing w:val="1"/>
          <w:kern w:val="0"/>
          <w:sz w:val="28"/>
          <w:szCs w:val="28"/>
          <w:highlight w:val="none"/>
          <w:lang w:val="en-US" w:eastAsia="zh-CN" w:bidi="ar-SA"/>
        </w:rPr>
        <w:t>；</w:t>
      </w:r>
    </w:p>
    <w:p w14:paraId="527DA884">
      <w:pPr>
        <w:keepNext w:val="0"/>
        <w:keepLines w:val="0"/>
        <w:pageBreakBefore w:val="0"/>
        <w:shd w:val="clear" w:color="auto" w:fill="auto"/>
        <w:kinsoku/>
        <w:wordWrap/>
        <w:overflowPunct/>
        <w:topLinePunct w:val="0"/>
        <w:autoSpaceDE/>
        <w:autoSpaceDN/>
        <w:bidi w:val="0"/>
        <w:adjustRightInd/>
        <w:snapToGrid/>
        <w:spacing w:line="440" w:lineRule="exact"/>
        <w:ind w:firstLine="564"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（二）响应文件的开启地点：陕西锌业有限公司办公楼二楼西招投标办公室（陕西省商洛市商州区沙河子镇）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440"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snapToGrid/>
        <w:spacing w:line="440" w:lineRule="exact"/>
        <w:rPr>
          <w:rFonts w:hint="eastAsia" w:ascii="仿宋" w:hAnsi="仿宋" w:eastAsia="仿宋" w:cs="仿宋"/>
          <w:sz w:val="28"/>
          <w:szCs w:val="28"/>
          <w:lang w:val="en-US"/>
        </w:rPr>
      </w:pPr>
      <w:r>
        <w:rPr>
          <w:rFonts w:hint="eastAsia" w:ascii="仿宋" w:hAnsi="仿宋" w:eastAsia="仿宋" w:cs="仿宋"/>
          <w:color w:val="auto"/>
          <w:sz w:val="28"/>
          <w:szCs w:val="28"/>
          <w:lang w:val="en-US" w:eastAsia="zh-CN"/>
        </w:rPr>
        <w:t xml:space="preserve">    （一）响应文件评审办法</w:t>
      </w:r>
    </w:p>
    <w:p w14:paraId="0C5E4239">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第一条第十二款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2907"/>
      <w:bookmarkStart w:id="66" w:name="_Toc247527628"/>
      <w:bookmarkStart w:id="67" w:name="_Toc384308277"/>
      <w:bookmarkStart w:id="68" w:name="_Toc369531582"/>
      <w:bookmarkStart w:id="69" w:name="_Toc152045603"/>
      <w:bookmarkStart w:id="70" w:name="_Toc247514027"/>
      <w:bookmarkStart w:id="71" w:name="_Toc352691538"/>
      <w:bookmarkStart w:id="72" w:name="_Toc300835013"/>
      <w:bookmarkStart w:id="73" w:name="_Toc144974570"/>
      <w:bookmarkStart w:id="74" w:name="_Toc361508651"/>
      <w:bookmarkStart w:id="75" w:name="_Toc152042380"/>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16955"/>
      <w:bookmarkStart w:id="77" w:name="_Toc13563"/>
      <w:bookmarkStart w:id="78" w:name="_Toc29291"/>
      <w:bookmarkStart w:id="79" w:name="_Toc33795835"/>
    </w:p>
    <w:p w14:paraId="74649D2E">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440" w:lineRule="exact"/>
        <w:ind w:left="0" w:leftChars="0" w:firstLine="280" w:firstLineChars="100"/>
        <w:jc w:val="both"/>
        <w:textAlignment w:val="auto"/>
        <w:rPr>
          <w:rFonts w:hint="eastAsia" w:ascii="仿宋" w:hAnsi="仿宋" w:eastAsia="仿宋" w:cs="仿宋"/>
          <w:color w:val="auto"/>
          <w:sz w:val="28"/>
          <w:szCs w:val="28"/>
        </w:rPr>
      </w:pPr>
      <w:bookmarkStart w:id="80" w:name="_Toc32669"/>
      <w:bookmarkStart w:id="81" w:name="_Toc3366"/>
      <w:bookmarkStart w:id="82" w:name="_Toc15253"/>
      <w:bookmarkStart w:id="83" w:name="_Toc3379583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44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2"/>
        <w:pageBreakBefore w:val="0"/>
        <w:kinsoku/>
        <w:wordWrap/>
        <w:overflowPunct/>
        <w:topLinePunct w:val="0"/>
        <w:autoSpaceDE/>
        <w:autoSpaceDN/>
        <w:bidi w:val="0"/>
        <w:snapToGrid/>
        <w:spacing w:before="0" w:after="0" w:line="440" w:lineRule="exact"/>
        <w:ind w:left="0" w:firstLine="562" w:firstLineChars="200"/>
        <w:jc w:val="both"/>
        <w:rPr>
          <w:rFonts w:hint="eastAsia" w:ascii="仿宋" w:hAnsi="仿宋" w:eastAsia="仿宋" w:cs="仿宋"/>
          <w:color w:val="auto"/>
          <w:sz w:val="28"/>
          <w:szCs w:val="28"/>
        </w:rPr>
      </w:pPr>
      <w:bookmarkStart w:id="84" w:name="_Toc33795807"/>
      <w:bookmarkStart w:id="85" w:name="_Toc9481"/>
      <w:bookmarkStart w:id="86" w:name="_Toc8518"/>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87" w:name="_Toc30852"/>
      <w:bookmarkStart w:id="88" w:name="_Toc33795808"/>
      <w:bookmarkStart w:id="89" w:name="_Toc21093"/>
      <w:bookmarkStart w:id="90" w:name="_Toc1609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91" w:name="_Toc7018"/>
      <w:bookmarkStart w:id="92" w:name="_Toc33795809"/>
      <w:bookmarkStart w:id="93" w:name="_Toc10372"/>
      <w:bookmarkStart w:id="94" w:name="_Toc19079"/>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247527586"/>
      <w:bookmarkStart w:id="96" w:name="_Toc384308243"/>
      <w:bookmarkStart w:id="97" w:name="_Toc247513985"/>
      <w:bookmarkStart w:id="98" w:name="_Toc144974529"/>
      <w:bookmarkStart w:id="99" w:name="_Toc300834982"/>
      <w:bookmarkStart w:id="100" w:name="_Toc369531549"/>
      <w:bookmarkStart w:id="101" w:name="_Toc352691505"/>
      <w:bookmarkStart w:id="102" w:name="_Toc30095"/>
      <w:bookmarkStart w:id="103" w:name="_Toc361508618"/>
      <w:bookmarkStart w:id="104" w:name="_Toc152042337"/>
      <w:bookmarkStart w:id="105" w:name="_Toc152045561"/>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06" w:name="_Toc28756"/>
      <w:bookmarkStart w:id="107" w:name="_Toc25590"/>
      <w:bookmarkStart w:id="108" w:name="_Toc33795810"/>
      <w:bookmarkStart w:id="109" w:name="_Toc2164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lang w:val="en-US"/>
        </w:rPr>
      </w:pPr>
      <w:bookmarkStart w:id="110" w:name="_Toc2191"/>
      <w:bookmarkStart w:id="111" w:name="_Toc19470"/>
      <w:bookmarkStart w:id="112" w:name="_Toc33795811"/>
      <w:bookmarkStart w:id="113" w:name="_Toc24665"/>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14" w:name="_Toc6928"/>
      <w:bookmarkStart w:id="115" w:name="_Toc31681"/>
      <w:bookmarkStart w:id="116" w:name="_Toc10813"/>
      <w:bookmarkStart w:id="117" w:name="_Toc3379581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352691506"/>
      <w:bookmarkStart w:id="119" w:name="_Toc361508619"/>
      <w:bookmarkStart w:id="120" w:name="_Toc5668"/>
      <w:bookmarkStart w:id="121" w:name="_Toc384308244"/>
      <w:bookmarkStart w:id="122" w:name="_Toc300834983"/>
      <w:bookmarkStart w:id="123" w:name="_Toc36953155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24" w:name="_Toc33795813"/>
      <w:bookmarkStart w:id="125" w:name="_Toc21613"/>
      <w:bookmarkStart w:id="126" w:name="_Toc4342"/>
      <w:bookmarkStart w:id="127" w:name="_Toc30705"/>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28" w:name="_Toc11183"/>
      <w:bookmarkStart w:id="129" w:name="_Toc14362"/>
      <w:bookmarkStart w:id="130" w:name="_Toc33795814"/>
      <w:bookmarkStart w:id="131" w:name="_Toc367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384308247"/>
      <w:bookmarkStart w:id="133" w:name="_Toc144974532"/>
      <w:bookmarkStart w:id="134" w:name="_Toc152042340"/>
      <w:bookmarkStart w:id="135" w:name="_Toc361508622"/>
      <w:bookmarkStart w:id="136" w:name="_Toc247513988"/>
      <w:bookmarkStart w:id="137" w:name="_Toc300834986"/>
      <w:bookmarkStart w:id="138" w:name="_Toc152045564"/>
      <w:bookmarkStart w:id="139" w:name="_Toc4656"/>
      <w:bookmarkStart w:id="140" w:name="_Toc247527589"/>
      <w:bookmarkStart w:id="141" w:name="_Toc369531553"/>
      <w:bookmarkStart w:id="142" w:name="_Toc352691509"/>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247513989"/>
      <w:bookmarkStart w:id="144" w:name="_Toc144974533"/>
      <w:bookmarkStart w:id="145" w:name="_Toc369531554"/>
      <w:bookmarkStart w:id="146" w:name="_Toc247527590"/>
      <w:bookmarkStart w:id="147" w:name="_Toc18247"/>
      <w:bookmarkStart w:id="148" w:name="_Toc352691510"/>
      <w:bookmarkStart w:id="149" w:name="_Toc152042341"/>
      <w:bookmarkStart w:id="150" w:name="_Toc384308248"/>
      <w:bookmarkStart w:id="151" w:name="_Toc361508623"/>
      <w:bookmarkStart w:id="152" w:name="_Toc152045565"/>
      <w:bookmarkStart w:id="153" w:name="_Toc300834987"/>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384308252"/>
      <w:bookmarkStart w:id="155" w:name="_Toc361508627"/>
      <w:bookmarkStart w:id="156" w:name="_Toc24067"/>
      <w:bookmarkStart w:id="157" w:name="_Toc144974536"/>
      <w:bookmarkStart w:id="158" w:name="_Toc300834991"/>
      <w:bookmarkStart w:id="159" w:name="_Toc152045568"/>
      <w:bookmarkStart w:id="160" w:name="_Toc247513992"/>
      <w:bookmarkStart w:id="161" w:name="_Toc247527593"/>
      <w:bookmarkStart w:id="162" w:name="_Toc152042344"/>
    </w:p>
    <w:bookmarkEnd w:id="154"/>
    <w:bookmarkEnd w:id="155"/>
    <w:bookmarkEnd w:id="156"/>
    <w:p w14:paraId="5C60697D">
      <w:pPr>
        <w:pStyle w:val="2"/>
        <w:pageBreakBefore w:val="0"/>
        <w:kinsoku/>
        <w:wordWrap/>
        <w:overflowPunct/>
        <w:topLinePunct w:val="0"/>
        <w:autoSpaceDE/>
        <w:autoSpaceDN/>
        <w:bidi w:val="0"/>
        <w:snapToGrid/>
        <w:spacing w:before="0" w:after="0" w:line="440" w:lineRule="exact"/>
        <w:ind w:left="0" w:firstLine="562" w:firstLineChars="200"/>
        <w:jc w:val="both"/>
        <w:rPr>
          <w:rFonts w:hint="eastAsia" w:ascii="仿宋" w:hAnsi="仿宋" w:eastAsia="仿宋" w:cs="仿宋"/>
          <w:color w:val="auto"/>
          <w:sz w:val="28"/>
          <w:szCs w:val="28"/>
        </w:rPr>
      </w:pPr>
      <w:bookmarkStart w:id="163" w:name="_Toc25347"/>
      <w:bookmarkStart w:id="164" w:name="_Toc33795815"/>
      <w:bookmarkStart w:id="165" w:name="_Toc14752"/>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361508628"/>
      <w:bookmarkStart w:id="167" w:name="_Toc13644"/>
      <w:bookmarkStart w:id="168" w:name="_Toc384308253"/>
      <w:bookmarkStart w:id="169" w:name="_Toc369531559"/>
      <w:bookmarkStart w:id="170" w:name="_Toc352691515"/>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440" w:lineRule="exact"/>
        <w:ind w:left="0" w:firstLine="560" w:firstLineChars="200"/>
        <w:jc w:val="both"/>
        <w:rPr>
          <w:rFonts w:hint="eastAsia" w:ascii="仿宋" w:hAnsi="仿宋" w:eastAsia="仿宋" w:cs="仿宋"/>
          <w:color w:val="auto"/>
          <w:sz w:val="28"/>
          <w:szCs w:val="28"/>
        </w:rPr>
      </w:pPr>
      <w:bookmarkStart w:id="171" w:name="_Toc33795820"/>
      <w:bookmarkStart w:id="172" w:name="_Toc22294"/>
      <w:bookmarkStart w:id="173" w:name="_Toc24957"/>
      <w:bookmarkStart w:id="174" w:name="_Toc18070"/>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14D21383">
      <w:pPr>
        <w:keepNext w:val="0"/>
        <w:keepLines w:val="0"/>
        <w:pageBreakBefore w:val="0"/>
        <w:widowControl w:val="0"/>
        <w:suppressLineNumbers w:val="0"/>
        <w:kinsoku/>
        <w:wordWrap/>
        <w:overflowPunct/>
        <w:topLinePunct w:val="0"/>
        <w:autoSpaceDE/>
        <w:autoSpaceDN/>
        <w:bidi w:val="0"/>
        <w:adjustRightInd/>
        <w:snapToGrid/>
        <w:spacing w:line="440" w:lineRule="exact"/>
        <w:jc w:val="both"/>
        <w:rPr>
          <w:rFonts w:hint="eastAsia" w:ascii="仿宋" w:hAnsi="仿宋" w:eastAsia="仿宋" w:cs="仿宋"/>
          <w:color w:val="auto"/>
          <w:kern w:val="0"/>
          <w:sz w:val="28"/>
          <w:szCs w:val="28"/>
          <w:lang w:val="en-US" w:eastAsia="zh-CN" w:bidi="ar"/>
        </w:rPr>
      </w:pPr>
    </w:p>
    <w:p w14:paraId="582C5FB4">
      <w:pPr>
        <w:keepNext w:val="0"/>
        <w:keepLines w:val="0"/>
        <w:pageBreakBefore w:val="0"/>
        <w:widowControl w:val="0"/>
        <w:suppressLineNumbers w:val="0"/>
        <w:kinsoku/>
        <w:wordWrap/>
        <w:overflowPunct/>
        <w:topLinePunct w:val="0"/>
        <w:autoSpaceDE/>
        <w:autoSpaceDN/>
        <w:bidi w:val="0"/>
        <w:adjustRightInd/>
        <w:snapToGrid/>
        <w:spacing w:line="440" w:lineRule="exact"/>
        <w:jc w:val="both"/>
        <w:rPr>
          <w:rFonts w:hint="eastAsia" w:ascii="仿宋" w:hAnsi="仿宋" w:eastAsia="仿宋" w:cs="仿宋"/>
          <w:color w:val="auto"/>
          <w:kern w:val="0"/>
          <w:sz w:val="28"/>
          <w:szCs w:val="28"/>
          <w:lang w:val="en-US" w:eastAsia="zh-CN" w:bidi="ar"/>
        </w:rPr>
      </w:pPr>
    </w:p>
    <w:p w14:paraId="243C7D85">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0" w:firstLineChars="2000"/>
        <w:jc w:val="both"/>
        <w:rPr>
          <w:rFonts w:hint="eastAsia" w:ascii="仿宋" w:hAnsi="仿宋" w:eastAsia="仿宋" w:cs="仿宋"/>
          <w:color w:val="auto"/>
          <w:kern w:val="0"/>
          <w:sz w:val="28"/>
          <w:szCs w:val="28"/>
          <w:lang w:val="en-US" w:eastAsia="zh-CN" w:bidi="ar"/>
        </w:rPr>
      </w:pPr>
    </w:p>
    <w:p w14:paraId="05AB7805">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0" w:firstLineChars="2000"/>
        <w:jc w:val="both"/>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0" w:firstLineChars="20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40" w:lineRule="exact"/>
        <w:ind w:firstLine="5600" w:firstLineChars="20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2025年5月29日</w:t>
      </w:r>
    </w:p>
    <w:p w14:paraId="09DD35AC">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p>
    <w:p w14:paraId="7F5F69B0">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b/>
          <w:bCs/>
          <w:color w:val="auto"/>
          <w:sz w:val="28"/>
          <w:szCs w:val="28"/>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附：</w:t>
      </w:r>
      <w:r>
        <w:rPr>
          <w:rFonts w:hint="eastAsia" w:ascii="仿宋" w:hAnsi="仿宋" w:eastAsia="仿宋" w:cs="仿宋"/>
          <w:b/>
          <w:bCs/>
          <w:color w:val="auto"/>
          <w:sz w:val="36"/>
          <w:szCs w:val="36"/>
          <w:lang w:eastAsia="zh-CN"/>
        </w:rPr>
        <w:t>响应文件</w:t>
      </w:r>
      <w:r>
        <w:rPr>
          <w:rFonts w:hint="eastAsia" w:ascii="仿宋" w:hAnsi="仿宋" w:eastAsia="仿宋" w:cs="仿宋"/>
          <w:b/>
          <w:bCs/>
          <w:color w:val="auto"/>
          <w:sz w:val="36"/>
          <w:szCs w:val="36"/>
        </w:rPr>
        <w:t>格式</w:t>
      </w:r>
    </w:p>
    <w:p w14:paraId="05CD95BA">
      <w:pPr>
        <w:pageBreakBefore w:val="0"/>
        <w:kinsoku/>
        <w:wordWrap/>
        <w:overflowPunct/>
        <w:topLinePunct w:val="0"/>
        <w:autoSpaceDE/>
        <w:autoSpaceDN/>
        <w:bidi w:val="0"/>
        <w:snapToGrid/>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14:paraId="47667630">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XB25050530-12</w:t>
      </w:r>
      <w:bookmarkStart w:id="210" w:name="_GoBack"/>
      <w:bookmarkEnd w:id="210"/>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val="0"/>
          <w:bCs w:val="0"/>
          <w:color w:val="auto"/>
          <w:sz w:val="44"/>
          <w:szCs w:val="44"/>
          <w:lang w:eastAsia="zh-CN"/>
        </w:rPr>
      </w:pPr>
      <w:r>
        <w:rPr>
          <w:rFonts w:hint="eastAsia" w:ascii="黑体" w:hAnsi="黑体" w:eastAsia="黑体" w:cs="黑体"/>
          <w:b w:val="0"/>
          <w:bCs w:val="0"/>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b w:val="0"/>
          <w:bCs w:val="0"/>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b w:val="0"/>
          <w:bCs w:val="0"/>
          <w:i w:val="0"/>
          <w:iCs w:val="0"/>
          <w:caps w:val="0"/>
          <w:color w:val="000000"/>
          <w:spacing w:val="0"/>
          <w:sz w:val="36"/>
          <w:szCs w:val="36"/>
          <w:lang w:val="en-US" w:eastAsia="zh-CN"/>
        </w:rPr>
        <w:t>2025年6月石墨电极询</w:t>
      </w:r>
      <w:r>
        <w:rPr>
          <w:rStyle w:val="11"/>
          <w:rFonts w:hint="eastAsia" w:ascii="方正粗黑宋简体" w:hAnsi="方正粗黑宋简体" w:eastAsia="方正粗黑宋简体" w:cs="方正粗黑宋简体"/>
          <w:b w:val="0"/>
          <w:bCs w:val="0"/>
          <w:i w:val="0"/>
          <w:iCs w:val="0"/>
          <w:caps w:val="0"/>
          <w:color w:val="000000"/>
          <w:spacing w:val="0"/>
          <w:sz w:val="36"/>
          <w:szCs w:val="36"/>
        </w:rPr>
        <w:t>比</w:t>
      </w:r>
      <w:r>
        <w:rPr>
          <w:rStyle w:val="11"/>
          <w:rFonts w:hint="eastAsia" w:ascii="方正粗黑宋简体" w:hAnsi="方正粗黑宋简体" w:eastAsia="方正粗黑宋简体" w:cs="方正粗黑宋简体"/>
          <w:b w:val="0"/>
          <w:bCs w:val="0"/>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504488769"/>
      <w:bookmarkStart w:id="180" w:name="_Toc28734"/>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52691662"/>
      <w:bookmarkStart w:id="182" w:name="_Toc369531698"/>
      <w:bookmarkStart w:id="183"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144974858"/>
      <w:bookmarkStart w:id="185" w:name="_Toc300835211"/>
      <w:bookmarkStart w:id="186" w:name="_Toc247527829"/>
      <w:bookmarkStart w:id="187" w:name="_Toc15573"/>
      <w:bookmarkStart w:id="188" w:name="_Toc247514248"/>
      <w:bookmarkStart w:id="189" w:name="_Toc384308377"/>
      <w:bookmarkStart w:id="190" w:name="_Toc352691663"/>
      <w:bookmarkStart w:id="191" w:name="_Toc152042578"/>
      <w:bookmarkStart w:id="192" w:name="_Toc152045789"/>
      <w:bookmarkStart w:id="193" w:name="_Toc369531699"/>
      <w:bookmarkStart w:id="194" w:name="_Toc361508754"/>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2777"/>
      <w:bookmarkStart w:id="196" w:name="_Toc504488770"/>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7842"/>
      <w:bookmarkStart w:id="198"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504488775"/>
      <w:bookmarkStart w:id="201" w:name="_Toc1755"/>
    </w:p>
    <w:p w14:paraId="0BFC4821">
      <w:pPr>
        <w:rPr>
          <w:rFonts w:hint="eastAsia"/>
          <w:lang w:val="en-US" w:eastAsia="zh-CN"/>
        </w:rPr>
      </w:pPr>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tbl>
      <w:tblPr>
        <w:tblStyle w:val="9"/>
        <w:tblpPr w:leftFromText="180" w:rightFromText="180" w:vertAnchor="page" w:horzAnchor="page" w:tblpX="1447" w:tblpY="4159"/>
        <w:tblOverlap w:val="never"/>
        <w:tblW w:w="9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1716"/>
        <w:gridCol w:w="2466"/>
        <w:gridCol w:w="1356"/>
        <w:gridCol w:w="1464"/>
        <w:gridCol w:w="1596"/>
      </w:tblGrid>
      <w:tr w14:paraId="18087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577" w:type="dxa"/>
            <w:tcBorders>
              <w:top w:val="single" w:color="000000" w:sz="4" w:space="0"/>
              <w:left w:val="single" w:color="000000" w:sz="4" w:space="0"/>
              <w:bottom w:val="single" w:color="auto" w:sz="4" w:space="0"/>
              <w:right w:val="single" w:color="000000" w:sz="4" w:space="0"/>
            </w:tcBorders>
            <w:shd w:val="clear" w:color="auto" w:fill="auto"/>
            <w:vAlign w:val="center"/>
          </w:tcPr>
          <w:p w14:paraId="2E337C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序号</w:t>
            </w:r>
          </w:p>
        </w:tc>
        <w:tc>
          <w:tcPr>
            <w:tcW w:w="1716" w:type="dxa"/>
            <w:tcBorders>
              <w:top w:val="single" w:color="000000" w:sz="4" w:space="0"/>
              <w:left w:val="single" w:color="000000" w:sz="4" w:space="0"/>
              <w:bottom w:val="single" w:color="auto" w:sz="4" w:space="0"/>
              <w:right w:val="single" w:color="000000" w:sz="4" w:space="0"/>
            </w:tcBorders>
            <w:shd w:val="clear" w:color="auto" w:fill="auto"/>
            <w:vAlign w:val="center"/>
          </w:tcPr>
          <w:p w14:paraId="74FA54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物资名称</w:t>
            </w:r>
          </w:p>
        </w:tc>
        <w:tc>
          <w:tcPr>
            <w:tcW w:w="2466" w:type="dxa"/>
            <w:tcBorders>
              <w:top w:val="single" w:color="000000" w:sz="4" w:space="0"/>
              <w:left w:val="single" w:color="000000" w:sz="4" w:space="0"/>
              <w:bottom w:val="single" w:color="auto" w:sz="4" w:space="0"/>
              <w:right w:val="single" w:color="000000" w:sz="4" w:space="0"/>
            </w:tcBorders>
            <w:shd w:val="clear" w:color="auto" w:fill="auto"/>
            <w:vAlign w:val="center"/>
          </w:tcPr>
          <w:p w14:paraId="1E260E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规格型号</w:t>
            </w:r>
          </w:p>
        </w:tc>
        <w:tc>
          <w:tcPr>
            <w:tcW w:w="1356" w:type="dxa"/>
            <w:tcBorders>
              <w:top w:val="single" w:color="000000" w:sz="4" w:space="0"/>
              <w:left w:val="single" w:color="000000" w:sz="4" w:space="0"/>
              <w:bottom w:val="single" w:color="auto" w:sz="4" w:space="0"/>
              <w:right w:val="single" w:color="000000" w:sz="4" w:space="0"/>
            </w:tcBorders>
            <w:shd w:val="clear" w:color="auto" w:fill="auto"/>
            <w:vAlign w:val="center"/>
          </w:tcPr>
          <w:p w14:paraId="4C84BA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数量  （吨）</w:t>
            </w:r>
          </w:p>
        </w:tc>
        <w:tc>
          <w:tcPr>
            <w:tcW w:w="1464" w:type="dxa"/>
            <w:tcBorders>
              <w:top w:val="single" w:color="000000" w:sz="4" w:space="0"/>
              <w:left w:val="single" w:color="000000" w:sz="4" w:space="0"/>
              <w:bottom w:val="single" w:color="auto" w:sz="4" w:space="0"/>
              <w:right w:val="single" w:color="000000" w:sz="4" w:space="0"/>
            </w:tcBorders>
            <w:shd w:val="clear" w:color="auto" w:fill="auto"/>
            <w:vAlign w:val="center"/>
          </w:tcPr>
          <w:p w14:paraId="420127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color w:val="000000"/>
                <w:kern w:val="0"/>
                <w:sz w:val="28"/>
                <w:szCs w:val="28"/>
                <w:u w:val="none"/>
                <w:lang w:val="en-US" w:eastAsia="zh-CN" w:bidi="ar"/>
              </w:rPr>
              <w:t xml:space="preserve">报价   （元/吨）  </w:t>
            </w:r>
          </w:p>
        </w:tc>
        <w:tc>
          <w:tcPr>
            <w:tcW w:w="1596" w:type="dxa"/>
            <w:tcBorders>
              <w:top w:val="single" w:color="000000" w:sz="4" w:space="0"/>
              <w:left w:val="single" w:color="000000" w:sz="4" w:space="0"/>
              <w:bottom w:val="single" w:color="auto" w:sz="4" w:space="0"/>
              <w:right w:val="single" w:color="000000" w:sz="4" w:space="0"/>
            </w:tcBorders>
            <w:shd w:val="clear" w:color="auto" w:fill="auto"/>
            <w:vAlign w:val="center"/>
          </w:tcPr>
          <w:p w14:paraId="540035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金额（元）</w:t>
            </w:r>
          </w:p>
        </w:tc>
      </w:tr>
      <w:tr w14:paraId="7A362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6"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68E0B4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14:paraId="5B58FDD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石墨电极</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19612F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sz w:val="28"/>
                <w:szCs w:val="28"/>
              </w:rPr>
              <w:t>执行</w:t>
            </w:r>
            <w:r>
              <w:rPr>
                <w:rStyle w:val="11"/>
                <w:rFonts w:hint="eastAsia" w:ascii="仿宋" w:hAnsi="仿宋" w:eastAsia="仿宋" w:cs="仿宋"/>
                <w:b w:val="0"/>
                <w:bCs/>
                <w:i w:val="0"/>
                <w:iCs w:val="0"/>
                <w:caps w:val="0"/>
                <w:color w:val="000000"/>
                <w:spacing w:val="0"/>
                <w:sz w:val="28"/>
                <w:szCs w:val="28"/>
                <w:shd w:val="clear" w:fill="FFFFFF"/>
              </w:rPr>
              <w:t>YB/T 4088-2015</w:t>
            </w:r>
            <w:r>
              <w:rPr>
                <w:rFonts w:hint="eastAsia" w:ascii="仿宋" w:hAnsi="仿宋" w:eastAsia="仿宋" w:cs="仿宋"/>
                <w:b w:val="0"/>
                <w:bCs/>
                <w:sz w:val="28"/>
                <w:szCs w:val="28"/>
              </w:rPr>
              <w:t>标准，</w:t>
            </w:r>
            <w:r>
              <w:rPr>
                <w:rFonts w:hint="eastAsia" w:ascii="仿宋" w:hAnsi="仿宋" w:eastAsia="仿宋" w:cs="仿宋"/>
                <w:b w:val="0"/>
                <w:bCs/>
                <w:sz w:val="28"/>
                <w:szCs w:val="28"/>
                <w:lang w:val="en-US" w:eastAsia="zh-CN"/>
              </w:rPr>
              <w:t>HP</w:t>
            </w:r>
            <w:r>
              <w:rPr>
                <w:rFonts w:hint="eastAsia" w:ascii="仿宋" w:hAnsi="仿宋" w:eastAsia="仿宋" w:cs="仿宋"/>
                <w:b w:val="0"/>
                <w:bCs/>
                <w:color w:val="auto"/>
                <w:sz w:val="28"/>
                <w:szCs w:val="28"/>
              </w:rPr>
              <w:t>Φ350</w:t>
            </w:r>
            <w:r>
              <w:rPr>
                <w:rFonts w:hint="eastAsia" w:ascii="仿宋" w:hAnsi="仿宋" w:eastAsia="仿宋" w:cs="仿宋"/>
                <w:b w:val="0"/>
                <w:bCs/>
                <w:color w:val="auto"/>
                <w:sz w:val="28"/>
                <w:szCs w:val="28"/>
                <w:vertAlign w:val="superscript"/>
                <w:lang w:val="en-US" w:eastAsia="zh-CN"/>
              </w:rPr>
              <w:t>+4</w:t>
            </w:r>
            <w:r>
              <w:rPr>
                <w:rFonts w:hint="eastAsia" w:ascii="仿宋" w:hAnsi="仿宋" w:eastAsia="仿宋" w:cs="仿宋"/>
                <w:b w:val="0"/>
                <w:bCs/>
                <w:color w:val="auto"/>
                <w:sz w:val="28"/>
                <w:szCs w:val="28"/>
                <w:vertAlign w:val="subscript"/>
                <w:lang w:val="en-US" w:eastAsia="zh-CN"/>
              </w:rPr>
              <w:t>+2</w:t>
            </w:r>
            <w:r>
              <w:rPr>
                <w:rFonts w:hint="eastAsia" w:ascii="仿宋" w:hAnsi="仿宋" w:eastAsia="仿宋" w:cs="仿宋"/>
                <w:b w:val="0"/>
                <w:bCs/>
                <w:color w:val="auto"/>
                <w:sz w:val="28"/>
                <w:szCs w:val="28"/>
              </w:rPr>
              <w:t>长度1.5m-1.</w:t>
            </w:r>
            <w:r>
              <w:rPr>
                <w:rFonts w:hint="eastAsia" w:ascii="仿宋" w:hAnsi="仿宋" w:eastAsia="仿宋" w:cs="仿宋"/>
                <w:b w:val="0"/>
                <w:bCs/>
                <w:color w:val="auto"/>
                <w:sz w:val="28"/>
                <w:szCs w:val="28"/>
                <w:lang w:val="en-US" w:eastAsia="zh-CN"/>
              </w:rPr>
              <w:t>9</w:t>
            </w:r>
            <w:r>
              <w:rPr>
                <w:rFonts w:hint="eastAsia" w:ascii="仿宋" w:hAnsi="仿宋" w:eastAsia="仿宋" w:cs="仿宋"/>
                <w:b w:val="0"/>
                <w:bCs/>
                <w:color w:val="auto"/>
                <w:sz w:val="28"/>
                <w:szCs w:val="28"/>
              </w:rPr>
              <w:t>m</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01EC8F68">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约35</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3C63E2F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7F10BE7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3A07F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22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10768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kern w:val="0"/>
                <w:sz w:val="28"/>
                <w:szCs w:val="28"/>
                <w:u w:val="none"/>
                <w:lang w:val="en-US" w:eastAsia="zh-CN" w:bidi="ar"/>
              </w:rPr>
              <w:t>合计</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6AA3A5F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sz w:val="28"/>
                <w:szCs w:val="28"/>
                <w:lang w:val="en-US" w:eastAsia="zh-CN"/>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3BA6CF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eastAsia="zh-CN"/>
              </w:rPr>
            </w:pP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2AD8739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5E32B47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bl>
    <w:p w14:paraId="19DFFD1E">
      <w:pPr>
        <w:pStyle w:val="2"/>
        <w:pageBreakBefore w:val="0"/>
        <w:kinsoku/>
        <w:wordWrap/>
        <w:overflowPunct/>
        <w:topLinePunct w:val="0"/>
        <w:autoSpaceDE/>
        <w:autoSpaceDN/>
        <w:bidi w:val="0"/>
        <w:adjustRightInd/>
        <w:snapToGrid/>
        <w:spacing w:after="0" w:line="320" w:lineRule="exact"/>
        <w:jc w:val="both"/>
        <w:rPr>
          <w:rFonts w:hint="eastAsia" w:ascii="Times New Roman" w:hAnsi="Times New Roman"/>
          <w:color w:val="auto"/>
          <w:kern w:val="0"/>
        </w:rPr>
      </w:pPr>
    </w:p>
    <w:p w14:paraId="18471B8D">
      <w:pPr>
        <w:bidi w:val="0"/>
        <w:rPr>
          <w:rFonts w:hint="eastAsia" w:ascii="Times New Roman" w:hAnsi="Times New Roman"/>
          <w:color w:val="auto"/>
          <w:kern w:val="0"/>
        </w:rPr>
      </w:pPr>
    </w:p>
    <w:p w14:paraId="79427AA5">
      <w:pPr>
        <w:bidi w:val="0"/>
        <w:rPr>
          <w:rFonts w:hint="eastAsia" w:ascii="Times New Roman" w:hAnsi="Times New Roman"/>
          <w:color w:val="auto"/>
          <w:kern w:val="0"/>
        </w:rPr>
      </w:pPr>
    </w:p>
    <w:p w14:paraId="426B0F7D">
      <w:pPr>
        <w:bidi w:val="0"/>
        <w:rPr>
          <w:rFonts w:hint="eastAsia" w:ascii="Times New Roman" w:hAnsi="Times New Roman"/>
          <w:color w:val="auto"/>
          <w:kern w:val="0"/>
        </w:rPr>
      </w:pPr>
    </w:p>
    <w:p w14:paraId="413685F5">
      <w:pPr>
        <w:bidi w:val="0"/>
        <w:ind w:firstLine="3000" w:firstLineChars="1000"/>
        <w:jc w:val="left"/>
        <w:rPr>
          <w:rFonts w:hint="default" w:ascii="Times New Roman" w:hAnsi="Times New Roman"/>
          <w:color w:val="auto"/>
          <w:kern w:val="0"/>
          <w:sz w:val="30"/>
          <w:szCs w:val="30"/>
          <w:u w:val="single"/>
          <w:lang w:val="en-US" w:eastAsia="zh-CN"/>
        </w:rPr>
      </w:pPr>
      <w:r>
        <w:rPr>
          <w:rFonts w:hint="eastAsia" w:ascii="Times New Roman" w:hAnsi="Times New Roman"/>
          <w:color w:val="auto"/>
          <w:kern w:val="0"/>
          <w:sz w:val="30"/>
          <w:szCs w:val="30"/>
          <w:lang w:val="en-US" w:eastAsia="zh-CN"/>
        </w:rPr>
        <w:t>报价单位签字盖章：</w:t>
      </w:r>
      <w:r>
        <w:rPr>
          <w:rFonts w:hint="eastAsia" w:ascii="Times New Roman" w:hAnsi="Times New Roman"/>
          <w:color w:val="auto"/>
          <w:kern w:val="0"/>
          <w:sz w:val="30"/>
          <w:szCs w:val="30"/>
          <w:u w:val="single"/>
          <w:lang w:val="en-US" w:eastAsia="zh-CN"/>
        </w:rPr>
        <w:t xml:space="preserve">                           </w:t>
      </w:r>
    </w:p>
    <w:p w14:paraId="71B6CB57">
      <w:pPr>
        <w:bidi w:val="0"/>
        <w:ind w:firstLine="3000" w:firstLineChars="1000"/>
        <w:jc w:val="left"/>
        <w:rPr>
          <w:rFonts w:hint="eastAsia" w:ascii="Times New Roman" w:hAnsi="Times New Roman"/>
          <w:color w:val="auto"/>
          <w:kern w:val="0"/>
          <w:sz w:val="30"/>
          <w:szCs w:val="30"/>
          <w:lang w:val="en-US" w:eastAsia="zh-CN"/>
        </w:rPr>
      </w:pPr>
    </w:p>
    <w:p w14:paraId="0C4F7D97">
      <w:pPr>
        <w:bidi w:val="0"/>
        <w:ind w:firstLine="4800" w:firstLineChars="1600"/>
        <w:jc w:val="left"/>
        <w:rPr>
          <w:rFonts w:ascii="Times New Roman" w:hAnsi="Times New Roman"/>
          <w:color w:val="auto"/>
        </w:rPr>
      </w:pPr>
      <w:r>
        <w:rPr>
          <w:rFonts w:hint="eastAsia" w:ascii="Times New Roman" w:hAnsi="Times New Roman"/>
          <w:color w:val="auto"/>
          <w:kern w:val="0"/>
          <w:sz w:val="30"/>
          <w:szCs w:val="30"/>
          <w:u w:val="single"/>
          <w:lang w:val="en-US" w:eastAsia="zh-CN"/>
        </w:rPr>
        <w:t xml:space="preserve">     </w:t>
      </w:r>
      <w:r>
        <w:rPr>
          <w:rFonts w:hint="eastAsia" w:ascii="Times New Roman" w:hAnsi="Times New Roman"/>
          <w:color w:val="auto"/>
          <w:kern w:val="0"/>
          <w:sz w:val="30"/>
          <w:szCs w:val="30"/>
          <w:lang w:val="en-US" w:eastAsia="zh-CN"/>
        </w:rPr>
        <w:t>年</w:t>
      </w:r>
      <w:r>
        <w:rPr>
          <w:rFonts w:hint="eastAsia" w:ascii="Times New Roman" w:hAnsi="Times New Roman"/>
          <w:color w:val="auto"/>
          <w:kern w:val="0"/>
          <w:sz w:val="30"/>
          <w:szCs w:val="30"/>
          <w:u w:val="single"/>
          <w:lang w:val="en-US" w:eastAsia="zh-CN"/>
        </w:rPr>
        <w:t xml:space="preserve">     </w:t>
      </w:r>
      <w:r>
        <w:rPr>
          <w:rFonts w:hint="eastAsia" w:ascii="Times New Roman" w:hAnsi="Times New Roman"/>
          <w:color w:val="auto"/>
          <w:kern w:val="0"/>
          <w:sz w:val="30"/>
          <w:szCs w:val="30"/>
          <w:lang w:val="en-US" w:eastAsia="zh-CN"/>
        </w:rPr>
        <w:t>月</w:t>
      </w:r>
      <w:r>
        <w:rPr>
          <w:rFonts w:hint="eastAsia" w:ascii="Times New Roman" w:hAnsi="Times New Roman"/>
          <w:color w:val="auto"/>
          <w:kern w:val="0"/>
          <w:sz w:val="30"/>
          <w:szCs w:val="30"/>
          <w:u w:val="single"/>
          <w:lang w:val="en-US" w:eastAsia="zh-CN"/>
        </w:rPr>
        <w:t xml:space="preserve">    </w:t>
      </w:r>
      <w:r>
        <w:rPr>
          <w:rFonts w:hint="eastAsia" w:ascii="Times New Roman" w:hAnsi="Times New Roman"/>
          <w:color w:val="auto"/>
          <w:kern w:val="0"/>
          <w:sz w:val="30"/>
          <w:szCs w:val="30"/>
          <w:lang w:val="en-US" w:eastAsia="zh-CN"/>
        </w:rPr>
        <w:t>日</w:t>
      </w:r>
      <w:r>
        <w:rPr>
          <w:rFonts w:hint="eastAsia" w:ascii="Times New Roman" w:hAnsi="Times New Roman"/>
          <w:color w:val="auto"/>
          <w:kern w:val="0"/>
          <w:sz w:val="30"/>
          <w:szCs w:val="3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097D03FF">
      <w:pPr>
        <w:pStyle w:val="3"/>
        <w:spacing w:before="20" w:after="0"/>
        <w:ind w:firstLine="103"/>
        <w:rPr>
          <w:rFonts w:ascii="Times New Roman"/>
          <w:color w:val="auto"/>
          <w:sz w:val="32"/>
          <w:szCs w:val="32"/>
        </w:rPr>
      </w:pPr>
      <w:bookmarkStart w:id="202" w:name="_Toc504488776"/>
      <w:bookmarkStart w:id="203" w:name="_Toc1390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504488780"/>
      <w:bookmarkStart w:id="207"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2"/>
        <w:spacing w:line="400" w:lineRule="exact"/>
        <w:jc w:val="both"/>
        <w:rPr>
          <w:rFonts w:hint="eastAsia" w:ascii="仿宋" w:hAnsi="仿宋" w:eastAsia="仿宋" w:cs="仿宋"/>
          <w:color w:val="auto"/>
          <w:sz w:val="32"/>
          <w:szCs w:val="32"/>
          <w:lang w:val="en-US" w:eastAsia="zh-CN"/>
        </w:rPr>
      </w:pPr>
      <w:bookmarkStart w:id="208" w:name="_Toc504488783"/>
      <w:bookmarkStart w:id="209" w:name="_Toc22199"/>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p w14:paraId="7F226D4F"/>
    <w:p w14:paraId="49DE75CB"/>
    <w:p w14:paraId="571F1435"/>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8069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FD39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3FD39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98D99">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D782A"/>
    <w:rsid w:val="03801D41"/>
    <w:rsid w:val="07CA66B8"/>
    <w:rsid w:val="461604A9"/>
    <w:rsid w:val="47136F95"/>
    <w:rsid w:val="550661A5"/>
    <w:rsid w:val="692D782A"/>
    <w:rsid w:val="6A276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7268</Words>
  <Characters>7477</Characters>
  <Lines>0</Lines>
  <Paragraphs>0</Paragraphs>
  <TotalTime>0</TotalTime>
  <ScaleCrop>false</ScaleCrop>
  <LinksUpToDate>false</LinksUpToDate>
  <CharactersWithSpaces>7965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2025-04-27T07:55:00Z</dcterms:created>
  <dc:creator>瞬间无语</dc:creator>
  <cp:lastModifiedBy>李晶</cp:lastModifiedBy>
  <cp:lastPrinted>2025-05-28T08:10:00Z</cp:lastPrinted>
  <dcterms:modified xsi:type="dcterms:W3CDTF">2025-05-30T08:41:45Z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7AAEB0FB567145149505C8B6B06E8C53_11</vt:lpwstr>
  </property>
  <property fmtid="{D5CDD505-2E9C-101B-9397-08002B2CF9AE}" pid="4" name="KSOTemplateDocerSaveRecord">
    <vt:lpwstr>eyJoZGlkIjoiM2ExNjY5MWQ0OWUzYjcxZjUxYWY0YjAzMjk0YjQ0NDAiLCJ1c2VySWQiOiI2Mjg3MjA1MDUifQ==</vt:lpwstr>
  </property>
</Properties>
</file>