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exact"/>
        <w:ind w:left="0" w:firstLine="0"/>
        <w:jc w:val="center"/>
        <w:rPr>
          <w:rStyle w:val="11"/>
          <w:rFonts w:hint="eastAsia" w:ascii="仿宋" w:hAnsi="仿宋" w:eastAsia="仿宋" w:cs="仿宋"/>
          <w:b/>
          <w:bCs w:val="0"/>
          <w:i w:val="0"/>
          <w:iCs w:val="0"/>
          <w:caps w:val="0"/>
          <w:color w:val="000000"/>
          <w:spacing w:val="0"/>
          <w:sz w:val="32"/>
          <w:szCs w:val="32"/>
        </w:rPr>
      </w:pPr>
      <w:r>
        <w:rPr>
          <w:rStyle w:val="11"/>
          <w:rFonts w:hint="eastAsia" w:ascii="方正粗黑宋简体" w:hAnsi="方正粗黑宋简体" w:eastAsia="方正粗黑宋简体" w:cs="方正粗黑宋简体"/>
          <w:b/>
          <w:bCs w:val="0"/>
          <w:i w:val="0"/>
          <w:iCs w:val="0"/>
          <w:caps w:val="0"/>
          <w:color w:val="000000"/>
          <w:spacing w:val="0"/>
          <w:sz w:val="32"/>
          <w:szCs w:val="32"/>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exact"/>
        <w:ind w:left="0" w:firstLine="0"/>
        <w:jc w:val="center"/>
        <w:rPr>
          <w:rFonts w:hint="eastAsia" w:ascii="方正粗黑宋简体" w:hAnsi="方正粗黑宋简体" w:eastAsia="方正粗黑宋简体" w:cs="方正粗黑宋简体"/>
          <w:i w:val="0"/>
          <w:iCs w:val="0"/>
          <w:caps w:val="0"/>
          <w:color w:val="000000"/>
          <w:spacing w:val="0"/>
          <w:sz w:val="32"/>
          <w:szCs w:val="32"/>
          <w:lang w:val="en-US" w:eastAsia="zh-CN"/>
        </w:rPr>
      </w:pP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聚丙烯酰胺采购项目</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二次</w:t>
      </w:r>
      <w:bookmarkStart w:id="210" w:name="_GoBack"/>
      <w:bookmarkEnd w:id="210"/>
      <w:r>
        <w:rPr>
          <w:rStyle w:val="11"/>
          <w:rFonts w:hint="eastAsia" w:ascii="方正粗黑宋简体" w:hAnsi="方正粗黑宋简体" w:eastAsia="方正粗黑宋简体" w:cs="方正粗黑宋简体"/>
          <w:i w:val="0"/>
          <w:iCs w:val="0"/>
          <w:caps w:val="0"/>
          <w:color w:val="000000"/>
          <w:spacing w:val="0"/>
          <w:sz w:val="32"/>
          <w:szCs w:val="32"/>
        </w:rPr>
        <w:t>询比采购</w:t>
      </w: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邀请函</w:t>
      </w:r>
    </w:p>
    <w:p w14:paraId="708DF0CF">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陕西锌业有限公司</w:t>
      </w:r>
      <w:r>
        <w:rPr>
          <w:rFonts w:hint="eastAsia" w:ascii="宋体" w:hAnsi="宋体" w:eastAsia="宋体" w:cs="宋体"/>
          <w:i w:val="0"/>
          <w:iCs w:val="0"/>
          <w:caps w:val="0"/>
          <w:color w:val="000000"/>
          <w:spacing w:val="0"/>
          <w:sz w:val="24"/>
          <w:szCs w:val="24"/>
          <w:lang w:val="en-US" w:eastAsia="zh-CN"/>
        </w:rPr>
        <w:t>因生产需要，</w:t>
      </w:r>
      <w:r>
        <w:rPr>
          <w:rFonts w:hint="eastAsia" w:ascii="宋体" w:hAnsi="宋体" w:eastAsia="宋体" w:cs="宋体"/>
          <w:i w:val="0"/>
          <w:iCs w:val="0"/>
          <w:caps w:val="0"/>
          <w:color w:val="000000"/>
          <w:spacing w:val="0"/>
          <w:sz w:val="24"/>
          <w:szCs w:val="24"/>
        </w:rPr>
        <w:t>拟</w:t>
      </w:r>
      <w:r>
        <w:rPr>
          <w:rFonts w:hint="eastAsia" w:ascii="宋体" w:hAnsi="宋体" w:eastAsia="宋体" w:cs="宋体"/>
          <w:i w:val="0"/>
          <w:iCs w:val="0"/>
          <w:caps w:val="0"/>
          <w:color w:val="000000"/>
          <w:spacing w:val="0"/>
          <w:sz w:val="24"/>
          <w:szCs w:val="24"/>
          <w:lang w:val="en-US" w:eastAsia="zh-CN"/>
        </w:rPr>
        <w:t>采购聚丙烯酰胺若干</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按照公司有关规定，拟通过</w:t>
      </w:r>
      <w:r>
        <w:rPr>
          <w:rFonts w:hint="eastAsia" w:ascii="宋体" w:hAnsi="宋体" w:eastAsia="宋体" w:cs="宋体"/>
          <w:i w:val="0"/>
          <w:iCs w:val="0"/>
          <w:caps w:val="0"/>
          <w:color w:val="000000"/>
          <w:spacing w:val="0"/>
          <w:sz w:val="24"/>
          <w:szCs w:val="24"/>
        </w:rPr>
        <w:t>询比</w:t>
      </w:r>
      <w:r>
        <w:rPr>
          <w:rFonts w:hint="eastAsia" w:ascii="宋体" w:hAnsi="宋体" w:eastAsia="宋体" w:cs="宋体"/>
          <w:i w:val="0"/>
          <w:iCs w:val="0"/>
          <w:caps w:val="0"/>
          <w:color w:val="000000"/>
          <w:spacing w:val="0"/>
          <w:sz w:val="24"/>
          <w:szCs w:val="24"/>
          <w:lang w:val="en-US" w:eastAsia="zh-CN"/>
        </w:rPr>
        <w:t>方式确定供应商，欢迎</w:t>
      </w:r>
      <w:r>
        <w:rPr>
          <w:rFonts w:hint="eastAsia" w:ascii="宋体" w:hAnsi="宋体" w:eastAsia="宋体" w:cs="宋体"/>
          <w:i w:val="0"/>
          <w:iCs w:val="0"/>
          <w:caps w:val="0"/>
          <w:color w:val="000000"/>
          <w:spacing w:val="0"/>
          <w:sz w:val="24"/>
          <w:szCs w:val="24"/>
        </w:rPr>
        <w:t>具备相应资质</w:t>
      </w:r>
      <w:r>
        <w:rPr>
          <w:rFonts w:hint="eastAsia" w:ascii="宋体" w:hAnsi="宋体" w:eastAsia="宋体" w:cs="宋体"/>
          <w:i w:val="0"/>
          <w:iCs w:val="0"/>
          <w:caps w:val="0"/>
          <w:color w:val="000000"/>
          <w:spacing w:val="0"/>
          <w:sz w:val="24"/>
          <w:szCs w:val="24"/>
          <w:lang w:val="en-US" w:eastAsia="zh-CN"/>
        </w:rPr>
        <w:t>及能力</w:t>
      </w:r>
      <w:r>
        <w:rPr>
          <w:rFonts w:hint="eastAsia" w:ascii="宋体" w:hAnsi="宋体" w:eastAsia="宋体" w:cs="宋体"/>
          <w:i w:val="0"/>
          <w:iCs w:val="0"/>
          <w:caps w:val="0"/>
          <w:color w:val="000000"/>
          <w:spacing w:val="0"/>
          <w:sz w:val="24"/>
          <w:szCs w:val="24"/>
        </w:rPr>
        <w:t>的单位</w:t>
      </w:r>
      <w:r>
        <w:rPr>
          <w:rFonts w:hint="eastAsia" w:ascii="宋体" w:hAnsi="宋体" w:eastAsia="宋体" w:cs="宋体"/>
          <w:i w:val="0"/>
          <w:iCs w:val="0"/>
          <w:caps w:val="0"/>
          <w:color w:val="000000"/>
          <w:spacing w:val="0"/>
          <w:sz w:val="24"/>
          <w:szCs w:val="24"/>
          <w:lang w:val="en-US" w:eastAsia="zh-CN"/>
        </w:rPr>
        <w:t>参与该项目询比采购</w:t>
      </w:r>
      <w:r>
        <w:rPr>
          <w:rFonts w:hint="eastAsia" w:ascii="宋体" w:hAnsi="宋体" w:eastAsia="宋体" w:cs="宋体"/>
          <w:i w:val="0"/>
          <w:iCs w:val="0"/>
          <w:caps w:val="0"/>
          <w:color w:val="000000"/>
          <w:spacing w:val="0"/>
          <w:sz w:val="24"/>
          <w:szCs w:val="24"/>
        </w:rPr>
        <w:t>，具体内容如下：</w:t>
      </w:r>
    </w:p>
    <w:p w14:paraId="20336658">
      <w:pPr>
        <w:pStyle w:val="2"/>
        <w:pageBreakBefore w:val="0"/>
        <w:widowControl w:val="0"/>
        <w:numPr>
          <w:ilvl w:val="0"/>
          <w:numId w:val="0"/>
        </w:numPr>
        <w:kinsoku/>
        <w:wordWrap/>
        <w:overflowPunct/>
        <w:topLinePunct w:val="0"/>
        <w:autoSpaceDE/>
        <w:autoSpaceDN/>
        <w:bidi w:val="0"/>
        <w:snapToGrid/>
        <w:spacing w:before="0" w:after="0" w:line="480" w:lineRule="exact"/>
        <w:ind w:firstLine="482" w:firstLineChars="200"/>
        <w:jc w:val="both"/>
        <w:rPr>
          <w:rFonts w:hint="eastAsia" w:ascii="宋体" w:hAnsi="宋体" w:eastAsia="宋体" w:cs="宋体"/>
          <w:b/>
          <w:bCs/>
          <w:color w:val="auto"/>
          <w:sz w:val="24"/>
          <w:szCs w:val="24"/>
          <w:lang w:val="en-US"/>
        </w:rPr>
      </w:pPr>
      <w:bookmarkStart w:id="0" w:name="_Toc14440"/>
      <w:bookmarkStart w:id="1" w:name="_Toc33795775"/>
      <w:bookmarkStart w:id="2" w:name="_Toc4593"/>
      <w:bookmarkStart w:id="3" w:name="_Toc20230"/>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采购项目</w:t>
      </w:r>
      <w:bookmarkEnd w:id="0"/>
      <w:bookmarkEnd w:id="1"/>
      <w:bookmarkEnd w:id="2"/>
      <w:bookmarkEnd w:id="3"/>
      <w:r>
        <w:rPr>
          <w:rFonts w:hint="eastAsia" w:ascii="宋体" w:hAnsi="宋体" w:eastAsia="宋体" w:cs="宋体"/>
          <w:b/>
          <w:bCs/>
          <w:color w:val="auto"/>
          <w:sz w:val="24"/>
          <w:szCs w:val="24"/>
          <w:lang w:val="en-US" w:eastAsia="zh-CN"/>
        </w:rPr>
        <w:t>基本要求</w:t>
      </w:r>
    </w:p>
    <w:p w14:paraId="4F6BD7C7">
      <w:pPr>
        <w:pStyle w:val="2"/>
        <w:pageBreakBefore w:val="0"/>
        <w:widowControl w:val="0"/>
        <w:numPr>
          <w:ilvl w:val="0"/>
          <w:numId w:val="0"/>
        </w:numPr>
        <w:kinsoku/>
        <w:wordWrap/>
        <w:overflowPunct/>
        <w:topLinePunct w:val="0"/>
        <w:autoSpaceDE/>
        <w:autoSpaceDN/>
        <w:bidi w:val="0"/>
        <w:snapToGrid/>
        <w:spacing w:before="0" w:after="0" w:line="480" w:lineRule="exact"/>
        <w:ind w:firstLine="240" w:firstLineChars="1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（一）采购人：陕西锌业有限公司</w:t>
      </w:r>
    </w:p>
    <w:p w14:paraId="29D945B0">
      <w:pPr>
        <w:pageBreakBefore w:val="0"/>
        <w:widowControl w:val="0"/>
        <w:kinsoku/>
        <w:wordWrap/>
        <w:overflowPunct/>
        <w:topLinePunct w:val="0"/>
        <w:autoSpaceDE/>
        <w:autoSpaceDN/>
        <w:bidi w:val="0"/>
        <w:snapToGrid/>
        <w:spacing w:line="480" w:lineRule="exact"/>
        <w:ind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采购项目</w:t>
      </w:r>
      <w:r>
        <w:rPr>
          <w:rFonts w:hint="eastAsia" w:ascii="宋体" w:hAnsi="宋体" w:eastAsia="宋体" w:cs="宋体"/>
          <w:color w:val="auto"/>
          <w:sz w:val="24"/>
          <w:szCs w:val="24"/>
        </w:rPr>
        <w:t>名称：</w:t>
      </w:r>
      <w:bookmarkStart w:id="4" w:name="_Toc33795776"/>
      <w:bookmarkStart w:id="5" w:name="_Toc14565"/>
      <w:bookmarkStart w:id="6" w:name="_Toc7037"/>
      <w:bookmarkStart w:id="7" w:name="_Toc11471"/>
      <w:r>
        <w:rPr>
          <w:rFonts w:hint="eastAsia" w:ascii="宋体" w:hAnsi="宋体" w:eastAsia="宋体" w:cs="宋体"/>
          <w:color w:val="auto"/>
          <w:sz w:val="24"/>
          <w:szCs w:val="24"/>
          <w:lang w:eastAsia="zh-CN"/>
        </w:rPr>
        <w:t>陕西锌业有限公司</w:t>
      </w:r>
      <w:r>
        <w:rPr>
          <w:rFonts w:hint="eastAsia" w:ascii="宋体" w:hAnsi="宋体" w:eastAsia="宋体" w:cs="宋体"/>
          <w:i w:val="0"/>
          <w:iCs w:val="0"/>
          <w:caps w:val="0"/>
          <w:color w:val="000000"/>
          <w:spacing w:val="0"/>
          <w:sz w:val="24"/>
          <w:szCs w:val="24"/>
          <w:lang w:val="en-US" w:eastAsia="zh-CN"/>
        </w:rPr>
        <w:t>聚丙烯酰胺</w:t>
      </w:r>
      <w:r>
        <w:rPr>
          <w:rFonts w:hint="eastAsia" w:ascii="宋体" w:hAnsi="宋体" w:eastAsia="宋体" w:cs="宋体"/>
          <w:color w:val="auto"/>
          <w:sz w:val="24"/>
          <w:szCs w:val="24"/>
          <w:lang w:val="en-US" w:eastAsia="zh-CN"/>
        </w:rPr>
        <w:t>采购项目</w:t>
      </w:r>
      <w:bookmarkEnd w:id="4"/>
      <w:bookmarkEnd w:id="5"/>
      <w:bookmarkEnd w:id="6"/>
      <w:bookmarkEnd w:id="7"/>
      <w:r>
        <w:rPr>
          <w:rFonts w:hint="eastAsia" w:ascii="宋体" w:hAnsi="宋体" w:eastAsia="宋体" w:cs="宋体"/>
          <w:color w:val="auto"/>
          <w:sz w:val="24"/>
          <w:szCs w:val="24"/>
          <w:lang w:val="en-US" w:eastAsia="zh-CN"/>
        </w:rPr>
        <w:t>。</w:t>
      </w:r>
    </w:p>
    <w:p w14:paraId="11214224">
      <w:pPr>
        <w:pageBreakBefore w:val="0"/>
        <w:widowControl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交货时间</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合同签订日起10日内，在此期间，如遇采购人检修、减产、生产工艺调整等，采购人根据实际情况适时调整采购量。</w:t>
      </w:r>
    </w:p>
    <w:p w14:paraId="774E62B6">
      <w:pPr>
        <w:pageBreakBefore w:val="0"/>
        <w:widowControl w:val="0"/>
        <w:kinsoku/>
        <w:wordWrap/>
        <w:overflowPunct/>
        <w:topLinePunct w:val="0"/>
        <w:autoSpaceDE/>
        <w:autoSpaceDN/>
        <w:bidi w:val="0"/>
        <w:snapToGrid/>
        <w:spacing w:line="480" w:lineRule="exact"/>
        <w:ind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（四）交货地点：采购方公司辅材库房（带磅码单、质检单、合格证）。</w:t>
      </w:r>
    </w:p>
    <w:p w14:paraId="389EDD4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（五）数量：3吨。</w:t>
      </w:r>
    </w:p>
    <w:p w14:paraId="70B87450">
      <w:pPr>
        <w:keepNext w:val="0"/>
        <w:keepLines w:val="0"/>
        <w:pageBreakBefore w:val="0"/>
        <w:widowControl w:val="0"/>
        <w:kinsoku/>
        <w:wordWrap/>
        <w:overflowPunct/>
        <w:topLinePunct w:val="0"/>
        <w:autoSpaceDE/>
        <w:autoSpaceDN/>
        <w:bidi w:val="0"/>
        <w:adjustRightInd w:val="0"/>
        <w:snapToGrid/>
        <w:spacing w:line="480" w:lineRule="exact"/>
        <w:ind w:left="0" w:firstLine="240" w:firstLineChars="1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质量</w:t>
      </w:r>
      <w:r>
        <w:rPr>
          <w:rFonts w:hint="eastAsia" w:ascii="宋体" w:hAnsi="宋体" w:eastAsia="宋体" w:cs="宋体"/>
          <w:color w:val="auto"/>
          <w:sz w:val="24"/>
          <w:szCs w:val="24"/>
          <w:lang w:val="en-US" w:eastAsia="zh-CN"/>
        </w:rPr>
        <w:t>要求</w:t>
      </w:r>
      <w:r>
        <w:rPr>
          <w:rFonts w:hint="eastAsia" w:ascii="宋体" w:hAnsi="宋体" w:eastAsia="宋体" w:cs="宋体"/>
          <w:color w:val="auto"/>
          <w:sz w:val="24"/>
          <w:szCs w:val="24"/>
        </w:rPr>
        <w:t>：</w:t>
      </w:r>
    </w:p>
    <w:p w14:paraId="3498EC47">
      <w:pPr>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b w:val="0"/>
          <w:bCs/>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质量要求：</w:t>
      </w:r>
      <w:r>
        <w:rPr>
          <w:rFonts w:hint="eastAsia" w:ascii="宋体" w:hAnsi="宋体" w:eastAsia="宋体" w:cs="宋体"/>
          <w:b w:val="0"/>
          <w:bCs/>
          <w:sz w:val="24"/>
          <w:szCs w:val="24"/>
          <w:lang w:eastAsia="zh-CN"/>
        </w:rPr>
        <w:t>按</w:t>
      </w:r>
      <w:r>
        <w:rPr>
          <w:rFonts w:hint="eastAsia" w:ascii="宋体" w:hAnsi="宋体" w:eastAsia="宋体" w:cs="宋体"/>
          <w:sz w:val="24"/>
          <w:szCs w:val="24"/>
        </w:rPr>
        <w:t xml:space="preserve"> </w:t>
      </w:r>
      <w:r>
        <w:rPr>
          <w:rFonts w:hint="eastAsia" w:ascii="宋体" w:hAnsi="宋体" w:eastAsia="宋体" w:cs="宋体"/>
          <w:b w:val="0"/>
          <w:bCs w:val="0"/>
          <w:sz w:val="24"/>
          <w:szCs w:val="24"/>
          <w:lang w:val="en-US" w:eastAsia="zh-CN"/>
        </w:rPr>
        <w:t>GB/T17514-2017执行，</w:t>
      </w:r>
      <w:r>
        <w:rPr>
          <w:rFonts w:hint="eastAsia" w:ascii="宋体" w:hAnsi="宋体" w:eastAsia="宋体" w:cs="宋体"/>
          <w:b w:val="0"/>
          <w:bCs/>
          <w:sz w:val="24"/>
          <w:szCs w:val="24"/>
          <w:lang w:val="en-US" w:eastAsia="zh-CN"/>
        </w:rPr>
        <w:t>阴离子型，分子量大于1200万</w:t>
      </w:r>
      <w:r>
        <w:rPr>
          <w:rFonts w:hint="eastAsia" w:ascii="宋体" w:hAnsi="宋体" w:eastAsia="宋体" w:cs="宋体"/>
          <w:b w:val="0"/>
          <w:bCs/>
          <w:sz w:val="24"/>
          <w:szCs w:val="24"/>
          <w:lang w:eastAsia="zh-CN"/>
        </w:rPr>
        <w:t>。</w:t>
      </w:r>
    </w:p>
    <w:p w14:paraId="6D6417E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报价方须将所报</w:t>
      </w:r>
      <w:r>
        <w:rPr>
          <w:rFonts w:hint="eastAsia" w:ascii="宋体" w:hAnsi="宋体" w:eastAsia="宋体" w:cs="宋体"/>
          <w:b w:val="0"/>
          <w:bCs w:val="0"/>
          <w:i w:val="0"/>
          <w:iCs w:val="0"/>
          <w:caps w:val="0"/>
          <w:color w:val="000000"/>
          <w:spacing w:val="0"/>
          <w:sz w:val="24"/>
          <w:szCs w:val="24"/>
          <w:lang w:val="en-US" w:eastAsia="zh-CN"/>
        </w:rPr>
        <w:t>聚丙烯酰胺</w:t>
      </w:r>
      <w:r>
        <w:rPr>
          <w:rFonts w:hint="eastAsia" w:ascii="宋体" w:hAnsi="宋体" w:eastAsia="宋体" w:cs="宋体"/>
          <w:b w:val="0"/>
          <w:bCs w:val="0"/>
          <w:sz w:val="24"/>
          <w:szCs w:val="24"/>
          <w:lang w:val="en-US" w:eastAsia="zh-CN"/>
        </w:rPr>
        <w:t>的样品（作为采购方评审入围单位的条件和货到后采购方接收货物的参照样）在报价截止日前送到或邮递至采购方，未提供样品的报价为无效报价。</w:t>
      </w:r>
    </w:p>
    <w:p w14:paraId="6872E18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注：报价方邮寄样品时，邮件（包裹）表面不能显示邮递方单位名称，报价方单位名称可在邮件或包裹内注明。</w:t>
      </w:r>
    </w:p>
    <w:p w14:paraId="350BBEB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陕西省商洛市商州区沙河子镇陕西锌业有限公司二楼招投标办公室。</w:t>
      </w:r>
    </w:p>
    <w:p w14:paraId="044AA3A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   李晶        电话  13909142887</w:t>
      </w:r>
    </w:p>
    <w:p w14:paraId="0B4DFD63">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如发生质量问题，</w:t>
      </w:r>
      <w:r>
        <w:rPr>
          <w:rFonts w:hint="eastAsia" w:ascii="宋体" w:hAnsi="宋体" w:eastAsia="宋体" w:cs="宋体"/>
          <w:color w:val="auto"/>
          <w:sz w:val="24"/>
          <w:szCs w:val="24"/>
        </w:rPr>
        <w:t>供</w:t>
      </w:r>
      <w:r>
        <w:rPr>
          <w:rFonts w:hint="eastAsia" w:ascii="宋体" w:hAnsi="宋体" w:eastAsia="宋体" w:cs="宋体"/>
          <w:color w:val="auto"/>
          <w:sz w:val="24"/>
          <w:szCs w:val="24"/>
          <w:lang w:val="en-US" w:eastAsia="zh-CN"/>
        </w:rPr>
        <w:t>货</w:t>
      </w:r>
      <w:r>
        <w:rPr>
          <w:rFonts w:hint="eastAsia" w:ascii="宋体" w:hAnsi="宋体" w:eastAsia="宋体" w:cs="宋体"/>
          <w:color w:val="auto"/>
          <w:sz w:val="24"/>
          <w:szCs w:val="24"/>
        </w:rPr>
        <w:t>方</w:t>
      </w:r>
      <w:r>
        <w:rPr>
          <w:rFonts w:hint="eastAsia" w:ascii="宋体" w:hAnsi="宋体" w:eastAsia="宋体" w:cs="宋体"/>
          <w:bCs/>
          <w:color w:val="auto"/>
          <w:sz w:val="24"/>
          <w:szCs w:val="24"/>
        </w:rPr>
        <w:t>包退、包换，确保</w:t>
      </w:r>
      <w:r>
        <w:rPr>
          <w:rFonts w:hint="eastAsia" w:ascii="宋体" w:hAnsi="宋体" w:eastAsia="宋体" w:cs="宋体"/>
          <w:bCs/>
          <w:color w:val="auto"/>
          <w:sz w:val="24"/>
          <w:szCs w:val="24"/>
          <w:lang w:val="en-US" w:eastAsia="zh-CN"/>
        </w:rPr>
        <w:t>货物</w:t>
      </w:r>
      <w:r>
        <w:rPr>
          <w:rFonts w:hint="eastAsia" w:ascii="宋体" w:hAnsi="宋体" w:eastAsia="宋体" w:cs="宋体"/>
          <w:bCs/>
          <w:color w:val="auto"/>
          <w:sz w:val="24"/>
          <w:szCs w:val="24"/>
        </w:rPr>
        <w:t>质量合格率100%</w:t>
      </w:r>
      <w:r>
        <w:rPr>
          <w:rFonts w:hint="eastAsia" w:ascii="宋体" w:hAnsi="宋体" w:eastAsia="宋体" w:cs="宋体"/>
          <w:bCs/>
          <w:color w:val="auto"/>
          <w:sz w:val="24"/>
          <w:szCs w:val="24"/>
          <w:lang w:eastAsia="zh-CN"/>
        </w:rPr>
        <w:t>。</w:t>
      </w:r>
      <w:bookmarkStart w:id="8" w:name="_Toc14196"/>
      <w:bookmarkStart w:id="9" w:name="_Toc33795778"/>
      <w:bookmarkStart w:id="10" w:name="_Toc14688"/>
      <w:bookmarkStart w:id="11" w:name="_Toc29895"/>
    </w:p>
    <w:p w14:paraId="1A841D0B">
      <w:pPr>
        <w:keepNext w:val="0"/>
        <w:keepLines w:val="0"/>
        <w:pageBreakBefore w:val="0"/>
        <w:widowControl w:val="0"/>
        <w:kinsoku/>
        <w:wordWrap/>
        <w:overflowPunct/>
        <w:topLinePunct w:val="0"/>
        <w:autoSpaceDE/>
        <w:autoSpaceDN/>
        <w:bidi w:val="0"/>
        <w:adjustRightInd/>
        <w:snapToGrid/>
        <w:spacing w:line="480" w:lineRule="exact"/>
        <w:ind w:left="474" w:leftChars="114" w:hanging="235" w:hangingChars="98"/>
        <w:textAlignment w:val="auto"/>
        <w:outlineLvl w:val="9"/>
        <w:rPr>
          <w:rFonts w:hint="eastAsia" w:ascii="宋体" w:hAnsi="宋体" w:eastAsia="宋体" w:cs="宋体"/>
          <w:b w:val="0"/>
          <w:bCs/>
          <w:sz w:val="24"/>
          <w:szCs w:val="24"/>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七</w:t>
      </w:r>
      <w:r>
        <w:rPr>
          <w:rFonts w:hint="eastAsia" w:ascii="宋体" w:hAnsi="宋体" w:eastAsia="宋体" w:cs="宋体"/>
          <w:bCs/>
          <w:color w:val="auto"/>
          <w:sz w:val="24"/>
          <w:szCs w:val="24"/>
          <w:lang w:eastAsia="zh-CN"/>
        </w:rPr>
        <w:t>）运输方式及到达站港和费用负担：</w:t>
      </w:r>
      <w:r>
        <w:rPr>
          <w:rFonts w:hint="eastAsia" w:ascii="宋体" w:hAnsi="宋体" w:eastAsia="宋体" w:cs="宋体"/>
          <w:b w:val="0"/>
          <w:bCs/>
          <w:sz w:val="24"/>
          <w:szCs w:val="24"/>
        </w:rPr>
        <w:t>汽运</w:t>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车辆</w:t>
      </w:r>
      <w:r>
        <w:rPr>
          <w:rFonts w:hint="eastAsia" w:ascii="宋体" w:hAnsi="宋体" w:eastAsia="宋体" w:cs="宋体"/>
          <w:i w:val="0"/>
          <w:iCs w:val="0"/>
          <w:caps w:val="0"/>
          <w:color w:val="333333"/>
          <w:spacing w:val="0"/>
          <w:sz w:val="24"/>
          <w:szCs w:val="24"/>
          <w:shd w:val="clear" w:fill="FFFFFF"/>
        </w:rPr>
        <w:t>国五标准</w:t>
      </w:r>
      <w:r>
        <w:rPr>
          <w:rFonts w:hint="eastAsia" w:ascii="宋体" w:hAnsi="宋体" w:cs="宋体"/>
          <w:i w:val="0"/>
          <w:iCs w:val="0"/>
          <w:caps w:val="0"/>
          <w:color w:val="333333"/>
          <w:spacing w:val="0"/>
          <w:sz w:val="24"/>
          <w:szCs w:val="24"/>
          <w:shd w:val="clear" w:fill="FFFFFF"/>
          <w:lang w:val="en-US" w:eastAsia="zh-CN"/>
        </w:rPr>
        <w:t>或以上）</w:t>
      </w:r>
      <w:r>
        <w:rPr>
          <w:rFonts w:hint="eastAsia" w:ascii="宋体" w:hAnsi="宋体" w:eastAsia="宋体" w:cs="宋体"/>
          <w:b w:val="0"/>
          <w:bCs/>
          <w:sz w:val="24"/>
          <w:szCs w:val="24"/>
        </w:rPr>
        <w:t>，费用</w:t>
      </w:r>
    </w:p>
    <w:p w14:paraId="3D26B792">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由</w:t>
      </w:r>
      <w:r>
        <w:rPr>
          <w:rFonts w:hint="eastAsia" w:ascii="宋体" w:hAnsi="宋体" w:eastAsia="宋体" w:cs="宋体"/>
          <w:b w:val="0"/>
          <w:bCs/>
          <w:sz w:val="24"/>
          <w:szCs w:val="24"/>
          <w:lang w:eastAsia="zh-CN"/>
        </w:rPr>
        <w:t>出卖人</w:t>
      </w:r>
      <w:r>
        <w:rPr>
          <w:rFonts w:hint="eastAsia" w:ascii="宋体" w:hAnsi="宋体" w:eastAsia="宋体" w:cs="宋体"/>
          <w:b w:val="0"/>
          <w:bCs/>
          <w:sz w:val="24"/>
          <w:szCs w:val="24"/>
        </w:rPr>
        <w:t>承担</w:t>
      </w:r>
      <w:r>
        <w:rPr>
          <w:rFonts w:hint="eastAsia" w:ascii="宋体" w:hAnsi="宋体" w:cs="宋体"/>
          <w:b w:val="0"/>
          <w:bCs/>
          <w:sz w:val="24"/>
          <w:szCs w:val="24"/>
          <w:lang w:eastAsia="zh-CN"/>
        </w:rPr>
        <w:t>。</w:t>
      </w:r>
      <w:r>
        <w:rPr>
          <w:rFonts w:hint="eastAsia" w:ascii="宋体" w:hAnsi="宋体" w:eastAsia="宋体" w:cs="宋体"/>
          <w:b w:val="0"/>
          <w:bCs/>
          <w:sz w:val="24"/>
          <w:szCs w:val="24"/>
        </w:rPr>
        <w:t>运输车辆必须符合国家</w:t>
      </w:r>
      <w:r>
        <w:rPr>
          <w:rFonts w:hint="eastAsia" w:ascii="宋体" w:hAnsi="宋体" w:cs="宋体"/>
          <w:b w:val="0"/>
          <w:bCs/>
          <w:sz w:val="24"/>
          <w:szCs w:val="24"/>
          <w:lang w:val="en-US" w:eastAsia="zh-CN"/>
        </w:rPr>
        <w:t>环保</w:t>
      </w:r>
      <w:r>
        <w:rPr>
          <w:rFonts w:hint="eastAsia" w:ascii="宋体" w:hAnsi="宋体" w:eastAsia="宋体" w:cs="宋体"/>
          <w:b w:val="0"/>
          <w:bCs/>
          <w:sz w:val="24"/>
          <w:szCs w:val="24"/>
        </w:rPr>
        <w:t>安全管理需要</w:t>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加盖防尘及</w:t>
      </w:r>
      <w:r>
        <w:rPr>
          <w:rFonts w:hint="eastAsia" w:ascii="宋体" w:hAnsi="宋体" w:eastAsia="宋体" w:cs="宋体"/>
          <w:b w:val="0"/>
          <w:bCs/>
          <w:sz w:val="24"/>
          <w:szCs w:val="24"/>
        </w:rPr>
        <w:t>防火安全相关设备，如灭火器、防火罩等，否则</w:t>
      </w:r>
      <w:r>
        <w:rPr>
          <w:rFonts w:hint="eastAsia" w:ascii="宋体" w:hAnsi="宋体" w:eastAsia="宋体" w:cs="宋体"/>
          <w:b w:val="0"/>
          <w:bCs/>
          <w:sz w:val="24"/>
          <w:szCs w:val="24"/>
          <w:lang w:eastAsia="zh-CN"/>
        </w:rPr>
        <w:t>不得</w:t>
      </w:r>
      <w:r>
        <w:rPr>
          <w:rFonts w:hint="eastAsia" w:ascii="宋体" w:hAnsi="宋体" w:eastAsia="宋体" w:cs="宋体"/>
          <w:b w:val="0"/>
          <w:bCs/>
          <w:sz w:val="24"/>
          <w:szCs w:val="24"/>
        </w:rPr>
        <w:t>进入</w:t>
      </w:r>
      <w:r>
        <w:rPr>
          <w:rFonts w:hint="eastAsia" w:ascii="宋体" w:hAnsi="宋体" w:eastAsia="宋体" w:cs="宋体"/>
          <w:b w:val="0"/>
          <w:bCs/>
          <w:sz w:val="24"/>
          <w:szCs w:val="24"/>
          <w:lang w:eastAsia="zh-CN"/>
        </w:rPr>
        <w:t>买受人</w:t>
      </w:r>
      <w:r>
        <w:rPr>
          <w:rFonts w:hint="eastAsia" w:ascii="宋体" w:hAnsi="宋体" w:eastAsia="宋体" w:cs="宋体"/>
          <w:b w:val="0"/>
          <w:bCs/>
          <w:sz w:val="24"/>
          <w:szCs w:val="24"/>
        </w:rPr>
        <w:t>公司厂内。</w:t>
      </w:r>
    </w:p>
    <w:p w14:paraId="24BAC03C">
      <w:pPr>
        <w:keepNext w:val="0"/>
        <w:keepLines w:val="0"/>
        <w:pageBreakBefore w:val="0"/>
        <w:widowControl w:val="0"/>
        <w:kinsoku/>
        <w:wordWrap/>
        <w:overflowPunct/>
        <w:topLinePunct w:val="0"/>
        <w:autoSpaceDE/>
        <w:autoSpaceDN/>
        <w:bidi w:val="0"/>
        <w:adjustRightInd w:val="0"/>
        <w:snapToGrid/>
        <w:spacing w:line="480" w:lineRule="exact"/>
        <w:ind w:firstLine="240" w:firstLineChars="10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八</w:t>
      </w:r>
      <w:r>
        <w:rPr>
          <w:rFonts w:hint="eastAsia" w:ascii="宋体" w:hAnsi="宋体" w:eastAsia="宋体" w:cs="宋体"/>
          <w:bCs/>
          <w:color w:val="auto"/>
          <w:sz w:val="24"/>
          <w:szCs w:val="24"/>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left"/>
        <w:textAlignment w:val="auto"/>
        <w:outlineLvl w:val="9"/>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九</w:t>
      </w:r>
      <w:r>
        <w:rPr>
          <w:rFonts w:hint="eastAsia" w:ascii="宋体" w:hAnsi="宋体" w:eastAsia="宋体" w:cs="宋体"/>
          <w:bCs/>
          <w:color w:val="auto"/>
          <w:sz w:val="24"/>
          <w:szCs w:val="24"/>
          <w:lang w:eastAsia="zh-CN"/>
        </w:rPr>
        <w:t>）包装标准，包装物的供应及回收：</w:t>
      </w:r>
      <w:r>
        <w:rPr>
          <w:rFonts w:hint="eastAsia" w:ascii="宋体" w:hAnsi="宋体" w:eastAsia="宋体" w:cs="宋体"/>
          <w:bCs/>
          <w:color w:val="auto"/>
          <w:sz w:val="24"/>
          <w:szCs w:val="24"/>
          <w:lang w:val="en-US" w:eastAsia="zh-CN"/>
        </w:rPr>
        <w:t>袋装，包装物不回收</w:t>
      </w:r>
      <w:r>
        <w:rPr>
          <w:rFonts w:hint="eastAsia" w:ascii="宋体" w:hAnsi="宋体" w:eastAsia="宋体" w:cs="宋体"/>
          <w:b w:val="0"/>
          <w:bCs w:val="0"/>
          <w:sz w:val="24"/>
          <w:szCs w:val="24"/>
          <w:highlight w:val="none"/>
          <w:lang w:val="en-US" w:eastAsia="zh-CN"/>
        </w:rPr>
        <w:t>。</w:t>
      </w:r>
    </w:p>
    <w:p w14:paraId="66177F4C">
      <w:pPr>
        <w:keepNext w:val="0"/>
        <w:keepLines w:val="0"/>
        <w:pageBreakBefore w:val="0"/>
        <w:widowControl w:val="0"/>
        <w:kinsoku/>
        <w:wordWrap/>
        <w:overflowPunct/>
        <w:topLinePunct w:val="0"/>
        <w:autoSpaceDE/>
        <w:autoSpaceDN/>
        <w:bidi w:val="0"/>
        <w:adjustRightInd w:val="0"/>
        <w:snapToGrid/>
        <w:spacing w:line="480" w:lineRule="exact"/>
        <w:ind w:firstLine="240" w:firstLineChars="10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十</w:t>
      </w:r>
      <w:r>
        <w:rPr>
          <w:rFonts w:hint="eastAsia" w:ascii="宋体" w:hAnsi="宋体" w:eastAsia="宋体" w:cs="宋体"/>
          <w:bCs/>
          <w:color w:val="auto"/>
          <w:sz w:val="24"/>
          <w:szCs w:val="24"/>
          <w:lang w:eastAsia="zh-CN"/>
        </w:rPr>
        <w:t>）验收标准、方法：依据本</w:t>
      </w:r>
      <w:r>
        <w:rPr>
          <w:rFonts w:hint="eastAsia" w:ascii="宋体" w:hAnsi="宋体" w:eastAsia="宋体" w:cs="宋体"/>
          <w:bCs/>
          <w:color w:val="auto"/>
          <w:sz w:val="24"/>
          <w:szCs w:val="24"/>
          <w:lang w:val="en-US" w:eastAsia="zh-CN"/>
        </w:rPr>
        <w:t>条</w:t>
      </w:r>
      <w:r>
        <w:rPr>
          <w:rFonts w:hint="eastAsia" w:ascii="宋体" w:hAnsi="宋体" w:eastAsia="宋体" w:cs="宋体"/>
          <w:bCs/>
          <w:color w:val="auto"/>
          <w:sz w:val="24"/>
          <w:szCs w:val="24"/>
          <w:lang w:eastAsia="zh-CN"/>
        </w:rPr>
        <w:t>第</w:t>
      </w:r>
      <w:r>
        <w:rPr>
          <w:rFonts w:hint="eastAsia" w:ascii="宋体" w:hAnsi="宋体" w:eastAsia="宋体" w:cs="宋体"/>
          <w:bCs/>
          <w:color w:val="auto"/>
          <w:sz w:val="24"/>
          <w:szCs w:val="24"/>
          <w:lang w:val="en-US" w:eastAsia="zh-CN"/>
        </w:rPr>
        <w:t>六款质量标准</w:t>
      </w:r>
      <w:r>
        <w:rPr>
          <w:rFonts w:hint="eastAsia" w:ascii="宋体" w:hAnsi="宋体" w:eastAsia="宋体" w:cs="宋体"/>
          <w:bCs/>
          <w:color w:val="auto"/>
          <w:sz w:val="24"/>
          <w:szCs w:val="24"/>
          <w:lang w:eastAsia="zh-CN"/>
        </w:rPr>
        <w:t>验收，双方共同采样，样品一式三份，双方各持一份，留仲裁样一份，以采购方化验为准结算，如一方对质量有异议，可在交货之日起7</w:t>
      </w:r>
      <w:r>
        <w:rPr>
          <w:rFonts w:hint="eastAsia" w:ascii="宋体" w:hAnsi="宋体" w:eastAsia="宋体" w:cs="宋体"/>
          <w:bCs/>
          <w:color w:val="auto"/>
          <w:sz w:val="24"/>
          <w:szCs w:val="24"/>
          <w:lang w:val="en-US" w:eastAsia="zh-CN"/>
        </w:rPr>
        <w:t>日</w:t>
      </w:r>
      <w:r>
        <w:rPr>
          <w:rFonts w:hint="eastAsia" w:ascii="宋体" w:hAnsi="宋体" w:eastAsia="宋体" w:cs="宋体"/>
          <w:bCs/>
          <w:color w:val="auto"/>
          <w:sz w:val="24"/>
          <w:szCs w:val="24"/>
          <w:lang w:eastAsia="zh-CN"/>
        </w:rPr>
        <w:t>内向有资质机构提请仲裁。</w:t>
      </w:r>
    </w:p>
    <w:p w14:paraId="6021050F">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十一</w:t>
      </w:r>
      <w:r>
        <w:rPr>
          <w:rFonts w:hint="eastAsia" w:ascii="宋体" w:hAnsi="宋体" w:eastAsia="宋体" w:cs="宋体"/>
          <w:bCs/>
          <w:color w:val="auto"/>
          <w:sz w:val="24"/>
          <w:szCs w:val="24"/>
          <w:lang w:eastAsia="zh-CN"/>
        </w:rPr>
        <w:t>）结算、</w:t>
      </w:r>
      <w:r>
        <w:rPr>
          <w:rFonts w:hint="eastAsia" w:ascii="宋体" w:hAnsi="宋体" w:eastAsia="宋体" w:cs="宋体"/>
          <w:bCs/>
          <w:color w:val="auto"/>
          <w:sz w:val="24"/>
          <w:szCs w:val="24"/>
          <w:lang w:val="en-US" w:eastAsia="zh-CN"/>
        </w:rPr>
        <w:t>付款</w:t>
      </w:r>
      <w:r>
        <w:rPr>
          <w:rFonts w:hint="eastAsia" w:ascii="宋体" w:hAnsi="宋体" w:eastAsia="宋体" w:cs="宋体"/>
          <w:bCs/>
          <w:color w:val="auto"/>
          <w:sz w:val="24"/>
          <w:szCs w:val="24"/>
          <w:lang w:eastAsia="zh-CN"/>
        </w:rPr>
        <w:t>方式、标准及期限：</w:t>
      </w:r>
      <w:r>
        <w:rPr>
          <w:rFonts w:hint="eastAsia" w:ascii="宋体" w:hAnsi="宋体" w:eastAsia="宋体" w:cs="宋体"/>
          <w:bCs/>
          <w:color w:val="auto"/>
          <w:sz w:val="24"/>
          <w:szCs w:val="24"/>
          <w:lang w:val="en-US" w:eastAsia="zh-CN"/>
        </w:rPr>
        <w:t>质量符合本邀请函的</w:t>
      </w:r>
      <w:r>
        <w:rPr>
          <w:rFonts w:hint="eastAsia" w:ascii="宋体" w:hAnsi="宋体" w:eastAsia="宋体" w:cs="宋体"/>
          <w:color w:val="auto"/>
          <w:sz w:val="24"/>
          <w:szCs w:val="24"/>
        </w:rPr>
        <w:t>质量</w:t>
      </w:r>
      <w:r>
        <w:rPr>
          <w:rFonts w:hint="eastAsia" w:ascii="宋体" w:hAnsi="宋体" w:eastAsia="宋体" w:cs="宋体"/>
          <w:color w:val="auto"/>
          <w:sz w:val="24"/>
          <w:szCs w:val="24"/>
          <w:lang w:val="en-US" w:eastAsia="zh-CN"/>
        </w:rPr>
        <w:t>要求第一款时，报价结算</w:t>
      </w:r>
      <w:r>
        <w:rPr>
          <w:rFonts w:hint="eastAsia" w:ascii="宋体" w:hAnsi="宋体" w:eastAsia="宋体" w:cs="宋体"/>
          <w:b w:val="0"/>
          <w:bCs w:val="0"/>
          <w:sz w:val="24"/>
          <w:szCs w:val="24"/>
          <w:highlight w:val="none"/>
          <w:lang w:val="en-US" w:eastAsia="zh-CN"/>
        </w:rPr>
        <w:t>，报价</w:t>
      </w:r>
      <w:r>
        <w:rPr>
          <w:rFonts w:hint="eastAsia" w:ascii="宋体" w:hAnsi="宋体" w:eastAsia="宋体" w:cs="宋体"/>
          <w:b w:val="0"/>
          <w:bCs w:val="0"/>
          <w:sz w:val="24"/>
          <w:szCs w:val="24"/>
          <w:highlight w:val="none"/>
          <w:lang w:eastAsia="zh-CN"/>
        </w:rPr>
        <w:t>方提供</w:t>
      </w:r>
      <w:r>
        <w:rPr>
          <w:rFonts w:hint="eastAsia" w:ascii="宋体" w:hAnsi="宋体" w:eastAsia="宋体" w:cs="宋体"/>
          <w:b w:val="0"/>
          <w:bCs w:val="0"/>
          <w:sz w:val="24"/>
          <w:szCs w:val="24"/>
          <w:highlight w:val="none"/>
          <w:lang w:val="en-US" w:eastAsia="zh-CN"/>
        </w:rPr>
        <w:t>全额增值税</w:t>
      </w:r>
      <w:r>
        <w:rPr>
          <w:rFonts w:hint="eastAsia" w:ascii="宋体" w:hAnsi="宋体" w:eastAsia="宋体" w:cs="宋体"/>
          <w:b w:val="0"/>
          <w:bCs w:val="0"/>
          <w:sz w:val="24"/>
          <w:szCs w:val="24"/>
          <w:highlight w:val="none"/>
          <w:lang w:eastAsia="zh-CN"/>
        </w:rPr>
        <w:t>发票，</w:t>
      </w:r>
      <w:r>
        <w:rPr>
          <w:rFonts w:hint="eastAsia" w:ascii="宋体" w:hAnsi="宋体" w:eastAsia="宋体" w:cs="宋体"/>
          <w:b w:val="0"/>
          <w:bCs w:val="0"/>
          <w:sz w:val="24"/>
          <w:szCs w:val="24"/>
          <w:highlight w:val="none"/>
          <w:lang w:val="en-US" w:eastAsia="zh-CN"/>
        </w:rPr>
        <w:t>挂账</w:t>
      </w:r>
      <w:r>
        <w:rPr>
          <w:rFonts w:hint="eastAsia" w:ascii="宋体" w:hAnsi="宋体" w:eastAsia="宋体" w:cs="宋体"/>
          <w:b w:val="0"/>
          <w:bCs w:val="0"/>
          <w:sz w:val="24"/>
          <w:szCs w:val="24"/>
          <w:highlight w:val="none"/>
          <w:lang w:eastAsia="zh-CN"/>
        </w:rPr>
        <w:t>后</w:t>
      </w:r>
      <w:r>
        <w:rPr>
          <w:rFonts w:hint="eastAsia" w:ascii="宋体" w:hAnsi="宋体" w:eastAsia="宋体" w:cs="宋体"/>
          <w:b w:val="0"/>
          <w:bCs w:val="0"/>
          <w:sz w:val="24"/>
          <w:szCs w:val="24"/>
          <w:highlight w:val="none"/>
          <w:lang w:val="en-US" w:eastAsia="zh-CN"/>
        </w:rPr>
        <w:t>三</w:t>
      </w:r>
      <w:r>
        <w:rPr>
          <w:rFonts w:hint="eastAsia" w:ascii="宋体" w:hAnsi="宋体" w:eastAsia="宋体" w:cs="宋体"/>
          <w:b w:val="0"/>
          <w:bCs w:val="0"/>
          <w:sz w:val="24"/>
          <w:szCs w:val="24"/>
          <w:highlight w:val="none"/>
        </w:rPr>
        <w:t>月内</w:t>
      </w:r>
      <w:r>
        <w:rPr>
          <w:rFonts w:hint="eastAsia" w:ascii="宋体" w:hAnsi="宋体" w:eastAsia="宋体" w:cs="宋体"/>
          <w:b w:val="0"/>
          <w:bCs w:val="0"/>
          <w:sz w:val="24"/>
          <w:szCs w:val="24"/>
          <w:highlight w:val="none"/>
          <w:lang w:val="en-US" w:eastAsia="zh-CN"/>
        </w:rPr>
        <w:t>付款</w:t>
      </w:r>
      <w:r>
        <w:rPr>
          <w:rFonts w:hint="eastAsia" w:ascii="宋体" w:hAnsi="宋体" w:eastAsia="宋体" w:cs="宋体"/>
          <w:b w:val="0"/>
          <w:bCs w:val="0"/>
          <w:sz w:val="24"/>
          <w:szCs w:val="24"/>
          <w:highlight w:val="none"/>
          <w:lang w:eastAsia="zh-CN"/>
        </w:rPr>
        <w:t>。</w:t>
      </w:r>
    </w:p>
    <w:p w14:paraId="012BFBA1">
      <w:pPr>
        <w:pageBreakBefore w:val="0"/>
        <w:widowControl w:val="0"/>
        <w:kinsoku/>
        <w:wordWrap/>
        <w:overflowPunct/>
        <w:topLinePunct w:val="0"/>
        <w:autoSpaceDE/>
        <w:autoSpaceDN/>
        <w:bidi w:val="0"/>
        <w:snapToGrid/>
        <w:spacing w:line="480" w:lineRule="exact"/>
        <w:ind w:firstLine="240" w:firstLineChars="1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十二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资格和履约能力要求</w:t>
      </w:r>
      <w:bookmarkEnd w:id="8"/>
      <w:bookmarkEnd w:id="9"/>
      <w:bookmarkEnd w:id="10"/>
      <w:bookmarkEnd w:id="11"/>
      <w:r>
        <w:rPr>
          <w:rFonts w:hint="eastAsia" w:ascii="宋体" w:hAnsi="宋体" w:eastAsia="宋体" w:cs="宋体"/>
          <w:color w:val="auto"/>
          <w:sz w:val="24"/>
          <w:szCs w:val="24"/>
          <w:lang w:eastAsia="zh-CN"/>
        </w:rPr>
        <w:t>：</w:t>
      </w:r>
    </w:p>
    <w:p w14:paraId="60A712A5">
      <w:pPr>
        <w:pageBreakBefore w:val="0"/>
        <w:widowControl w:val="0"/>
        <w:kinsoku/>
        <w:wordWrap/>
        <w:overflowPunct/>
        <w:topLinePunct w:val="0"/>
        <w:autoSpaceDE/>
        <w:autoSpaceDN/>
        <w:bidi w:val="0"/>
        <w:snapToGrid/>
        <w:spacing w:line="480" w:lineRule="exact"/>
        <w:ind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信用要求：</w:t>
      </w:r>
    </w:p>
    <w:p w14:paraId="2114E8D9">
      <w:pPr>
        <w:pageBreakBefore w:val="0"/>
        <w:numPr>
          <w:ilvl w:val="0"/>
          <w:numId w:val="0"/>
        </w:numPr>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业绩要求：</w:t>
      </w:r>
      <w:r>
        <w:rPr>
          <w:rFonts w:hint="eastAsia" w:ascii="宋体" w:hAnsi="宋体" w:eastAsia="宋体" w:cs="宋体"/>
          <w:color w:val="auto"/>
          <w:sz w:val="24"/>
          <w:szCs w:val="24"/>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4.联合体响应：本项目不接受联合体响应。</w:t>
      </w:r>
    </w:p>
    <w:p w14:paraId="241F152A">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其他要求：</w:t>
      </w:r>
    </w:p>
    <w:p w14:paraId="5C6CE151">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不得存在下列情形之一：</w:t>
      </w:r>
    </w:p>
    <w:p w14:paraId="539C389B">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存在利害关系可能影响</w:t>
      </w: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公正性；</w:t>
      </w:r>
    </w:p>
    <w:p w14:paraId="77F56EEC">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法定代表人（单位负责人）为同一人或者存在控股、管理关系的不同法人或其他组织同时参加</w:t>
      </w: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w:t>
      </w:r>
    </w:p>
    <w:p w14:paraId="373FA8A4">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被依法暂停或者取消</w:t>
      </w: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 xml:space="preserve">资格； </w:t>
      </w:r>
    </w:p>
    <w:p w14:paraId="0A7B11CA">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被责令停产停业、暂扣或者吊销许可证、暂扣或者吊销执照；</w:t>
      </w:r>
    </w:p>
    <w:p w14:paraId="4BFC61E0">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进入清算程序，或被宣告破产，或其他丧失履约能力的情形；</w:t>
      </w:r>
    </w:p>
    <w:p w14:paraId="2D194507">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在最近三年内发生重大产品质量问题；</w:t>
      </w:r>
    </w:p>
    <w:p w14:paraId="1717BC4F">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i w:val="0"/>
          <w:iCs w:val="0"/>
          <w:caps w:val="0"/>
          <w:color w:val="000000"/>
          <w:spacing w:val="0"/>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482" w:firstLineChars="200"/>
        <w:textAlignment w:val="auto"/>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pacing w:val="1"/>
          <w:sz w:val="24"/>
          <w:szCs w:val="24"/>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484" w:firstLineChars="200"/>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80" w:lineRule="exact"/>
        <w:ind w:left="0" w:leftChars="0"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三、供应商</w:t>
      </w:r>
      <w:r>
        <w:rPr>
          <w:rFonts w:hint="eastAsia" w:ascii="宋体" w:hAnsi="宋体" w:eastAsia="宋体" w:cs="宋体"/>
          <w:b/>
          <w:bCs/>
          <w:color w:val="auto"/>
          <w:sz w:val="24"/>
          <w:szCs w:val="24"/>
          <w:lang w:eastAsia="zh-CN"/>
        </w:rPr>
        <w:t>响应</w:t>
      </w:r>
    </w:p>
    <w:p w14:paraId="1782172A">
      <w:pPr>
        <w:pageBreakBefore w:val="0"/>
        <w:kinsoku/>
        <w:wordWrap/>
        <w:overflowPunct/>
        <w:topLinePunct w:val="0"/>
        <w:autoSpaceDE/>
        <w:autoSpaceDN/>
        <w:bidi w:val="0"/>
        <w:snapToGrid/>
        <w:spacing w:line="480" w:lineRule="exact"/>
        <w:rPr>
          <w:rFonts w:hint="eastAsia" w:ascii="宋体" w:hAnsi="宋体" w:eastAsia="宋体" w:cs="宋体"/>
          <w:sz w:val="24"/>
          <w:szCs w:val="24"/>
          <w:lang w:val="en-US"/>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val="0"/>
          <w:bCs w:val="0"/>
          <w:color w:val="auto"/>
          <w:sz w:val="24"/>
          <w:szCs w:val="24"/>
          <w:lang w:val="en-US" w:eastAsia="zh-CN"/>
        </w:rPr>
        <w:t>（一）响应报价</w:t>
      </w:r>
    </w:p>
    <w:p w14:paraId="5313A595">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w:t>
      </w:r>
      <w:r>
        <w:rPr>
          <w:rFonts w:hint="eastAsia" w:ascii="宋体" w:hAnsi="宋体" w:eastAsia="宋体" w:cs="宋体"/>
          <w:color w:val="auto"/>
          <w:sz w:val="24"/>
          <w:szCs w:val="24"/>
          <w:lang w:val="en-US" w:eastAsia="zh-CN"/>
        </w:rPr>
        <w:t>按</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格式”要求在</w:t>
      </w:r>
      <w:r>
        <w:rPr>
          <w:rFonts w:hint="eastAsia" w:ascii="宋体" w:hAnsi="宋体" w:eastAsia="宋体" w:cs="宋体"/>
          <w:color w:val="auto"/>
          <w:sz w:val="24"/>
          <w:szCs w:val="24"/>
          <w:lang w:eastAsia="zh-CN"/>
        </w:rPr>
        <w:t>响应函</w:t>
      </w:r>
      <w:r>
        <w:rPr>
          <w:rFonts w:hint="eastAsia" w:ascii="宋体" w:hAnsi="宋体" w:eastAsia="宋体" w:cs="宋体"/>
          <w:color w:val="auto"/>
          <w:sz w:val="24"/>
          <w:szCs w:val="24"/>
        </w:rPr>
        <w:t>中进行报价并填写</w:t>
      </w:r>
      <w:r>
        <w:rPr>
          <w:rFonts w:hint="eastAsia" w:ascii="宋体" w:hAnsi="宋体" w:eastAsia="宋体" w:cs="宋体"/>
          <w:color w:val="auto"/>
          <w:sz w:val="24"/>
          <w:szCs w:val="24"/>
          <w:lang w:eastAsia="zh-CN"/>
        </w:rPr>
        <w:t>响应文件的</w:t>
      </w:r>
      <w:r>
        <w:rPr>
          <w:rFonts w:hint="eastAsia" w:ascii="宋体" w:hAnsi="宋体" w:eastAsia="宋体" w:cs="宋体"/>
          <w:color w:val="auto"/>
          <w:sz w:val="24"/>
          <w:szCs w:val="24"/>
          <w:lang w:val="en-US" w:eastAsia="zh-CN"/>
        </w:rPr>
        <w:t>开启</w:t>
      </w:r>
      <w:r>
        <w:rPr>
          <w:rFonts w:hint="eastAsia" w:ascii="宋体" w:hAnsi="宋体" w:eastAsia="宋体" w:cs="宋体"/>
          <w:color w:val="auto"/>
          <w:sz w:val="24"/>
          <w:szCs w:val="24"/>
        </w:rPr>
        <w:t>一览表。</w:t>
      </w:r>
    </w:p>
    <w:p w14:paraId="7B2E97F6">
      <w:pPr>
        <w:pStyle w:val="5"/>
        <w:pageBreakBefore w:val="0"/>
        <w:numPr>
          <w:ilvl w:val="0"/>
          <w:numId w:val="0"/>
        </w:numPr>
        <w:kinsoku/>
        <w:wordWrap/>
        <w:overflowPunct/>
        <w:topLinePunct w:val="0"/>
        <w:autoSpaceDE/>
        <w:autoSpaceDN/>
        <w:bidi w:val="0"/>
        <w:snapToGrid/>
        <w:spacing w:after="0" w:line="480" w:lineRule="exact"/>
        <w:ind w:left="0" w:firstLine="480" w:firstLineChars="200"/>
        <w:jc w:val="both"/>
        <w:rPr>
          <w:rFonts w:hint="eastAsia" w:ascii="宋体" w:hAnsi="宋体" w:eastAsia="宋体" w:cs="宋体"/>
          <w:sz w:val="24"/>
          <w:szCs w:val="24"/>
          <w:highlight w:val="none"/>
        </w:rPr>
      </w:pPr>
      <w:r>
        <w:rPr>
          <w:rFonts w:hint="eastAsia" w:ascii="宋体" w:hAnsi="宋体" w:eastAsia="宋体" w:cs="宋体"/>
          <w:color w:val="auto"/>
          <w:sz w:val="24"/>
          <w:szCs w:val="24"/>
          <w:lang w:val="en-US" w:eastAsia="zh-CN"/>
        </w:rPr>
        <w:t>2.</w:t>
      </w:r>
      <w:r>
        <w:rPr>
          <w:rFonts w:hint="eastAsia" w:ascii="宋体" w:hAnsi="宋体" w:eastAsia="宋体" w:cs="宋体"/>
          <w:sz w:val="24"/>
          <w:szCs w:val="24"/>
        </w:rPr>
        <w:t>报价</w:t>
      </w:r>
      <w:r>
        <w:rPr>
          <w:rFonts w:hint="eastAsia" w:ascii="宋体" w:hAnsi="宋体" w:eastAsia="宋体" w:cs="宋体"/>
          <w:sz w:val="24"/>
          <w:szCs w:val="24"/>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响应文件递交截止时间</w:t>
      </w:r>
      <w:r>
        <w:rPr>
          <w:rFonts w:hint="eastAsia" w:ascii="宋体" w:hAnsi="宋体" w:eastAsia="宋体" w:cs="宋体"/>
          <w:color w:val="auto"/>
          <w:sz w:val="24"/>
          <w:szCs w:val="24"/>
        </w:rPr>
        <w:t>前修改</w:t>
      </w:r>
      <w:r>
        <w:rPr>
          <w:rFonts w:hint="eastAsia" w:ascii="宋体" w:hAnsi="宋体" w:eastAsia="宋体" w:cs="宋体"/>
          <w:color w:val="auto"/>
          <w:sz w:val="24"/>
          <w:szCs w:val="24"/>
          <w:lang w:eastAsia="zh-CN"/>
        </w:rPr>
        <w:t>响应函</w:t>
      </w:r>
      <w:r>
        <w:rPr>
          <w:rFonts w:hint="eastAsia" w:ascii="宋体" w:hAnsi="宋体" w:eastAsia="宋体" w:cs="宋体"/>
          <w:color w:val="auto"/>
          <w:sz w:val="24"/>
          <w:szCs w:val="24"/>
        </w:rPr>
        <w:t>中的</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总额，应同时修</w:t>
      </w:r>
      <w:bookmarkStart w:id="12" w:name="_Toc300834963"/>
      <w:bookmarkStart w:id="13" w:name="_Toc152045542"/>
      <w:bookmarkStart w:id="14" w:name="_Toc247513966"/>
      <w:bookmarkStart w:id="15" w:name="_Toc369531529"/>
      <w:bookmarkStart w:id="16" w:name="_Toc25772"/>
      <w:bookmarkStart w:id="17" w:name="_Toc152042318"/>
      <w:bookmarkStart w:id="18" w:name="_Toc384308223"/>
      <w:bookmarkStart w:id="19" w:name="_Toc247527567"/>
      <w:bookmarkStart w:id="20" w:name="_Toc352691486"/>
      <w:bookmarkStart w:id="21" w:name="_Toc361508598"/>
      <w:bookmarkStart w:id="22" w:name="_Toc144974510"/>
      <w:r>
        <w:rPr>
          <w:rFonts w:hint="eastAsia" w:ascii="宋体" w:hAnsi="宋体" w:eastAsia="宋体" w:cs="宋体"/>
          <w:color w:val="auto"/>
          <w:sz w:val="24"/>
          <w:szCs w:val="24"/>
        </w:rPr>
        <w:t>改</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响应文件的开启</w:t>
      </w:r>
      <w:r>
        <w:rPr>
          <w:rFonts w:hint="eastAsia" w:ascii="宋体" w:hAnsi="宋体" w:eastAsia="宋体" w:cs="宋体"/>
          <w:color w:val="auto"/>
          <w:sz w:val="24"/>
          <w:szCs w:val="24"/>
        </w:rPr>
        <w:t>一览表”、</w:t>
      </w:r>
      <w:bookmarkEnd w:id="12"/>
      <w:bookmarkEnd w:id="13"/>
      <w:bookmarkEnd w:id="14"/>
      <w:bookmarkEnd w:id="15"/>
      <w:bookmarkEnd w:id="16"/>
      <w:bookmarkEnd w:id="17"/>
      <w:bookmarkEnd w:id="18"/>
      <w:bookmarkEnd w:id="19"/>
      <w:bookmarkEnd w:id="20"/>
      <w:bookmarkEnd w:id="21"/>
      <w:bookmarkEnd w:id="22"/>
      <w:bookmarkStart w:id="23" w:name="_Toc384308224"/>
      <w:bookmarkStart w:id="24" w:name="_Toc152042319"/>
      <w:bookmarkStart w:id="25" w:name="_Toc152045543"/>
      <w:bookmarkStart w:id="26" w:name="_Toc15242"/>
      <w:bookmarkStart w:id="27" w:name="_Toc361508599"/>
      <w:bookmarkStart w:id="28" w:name="_Toc144974511"/>
      <w:bookmarkStart w:id="29" w:name="_Toc369531530"/>
      <w:bookmarkStart w:id="30" w:name="_Toc247513967"/>
      <w:bookmarkStart w:id="31" w:name="_Toc300834964"/>
      <w:bookmarkStart w:id="32" w:name="_Toc247527568"/>
      <w:bookmarkStart w:id="33" w:name="_Toc352691487"/>
      <w:r>
        <w:rPr>
          <w:rFonts w:hint="eastAsia" w:ascii="宋体" w:hAnsi="宋体" w:eastAsia="宋体" w:cs="宋体"/>
          <w:color w:val="auto"/>
          <w:sz w:val="24"/>
          <w:szCs w:val="24"/>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为各分项报价金额之和，</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与分项报价的合价不一致的，应以各分项合价累计数为准，修正</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w:t>
      </w:r>
    </w:p>
    <w:p w14:paraId="0DD43B69">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是</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80" w:lineRule="exact"/>
        <w:ind w:left="0" w:leftChars="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）响应有效期</w:t>
      </w:r>
    </w:p>
    <w:p w14:paraId="0AF4E8E6">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从提交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截止之日起算</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天。</w:t>
      </w:r>
    </w:p>
    <w:p w14:paraId="3EAC3C8A">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内，</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撤销</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的，应承担</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和法律规定的责任。</w:t>
      </w:r>
    </w:p>
    <w:p w14:paraId="7AFA829E">
      <w:pPr>
        <w:pStyle w:val="3"/>
        <w:pageBreakBefore w:val="0"/>
        <w:kinsoku/>
        <w:wordWrap/>
        <w:overflowPunct/>
        <w:topLinePunct w:val="0"/>
        <w:autoSpaceDE/>
        <w:autoSpaceDN/>
        <w:bidi w:val="0"/>
        <w:snapToGrid/>
        <w:spacing w:before="0" w:after="0" w:line="480" w:lineRule="exact"/>
        <w:ind w:left="0" w:leftChars="0" w:firstLine="240" w:firstLineChars="1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）响应保证金</w:t>
      </w:r>
    </w:p>
    <w:p w14:paraId="41BB020B">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在递交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的同时，应按规定的</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格式递交</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lang w:val="en-US" w:eastAsia="zh-CN"/>
        </w:rPr>
        <w:t>0.1万元</w:t>
      </w:r>
      <w:r>
        <w:rPr>
          <w:rFonts w:hint="eastAsia" w:ascii="宋体" w:hAnsi="宋体" w:eastAsia="宋体" w:cs="宋体"/>
          <w:color w:val="auto"/>
          <w:sz w:val="24"/>
          <w:szCs w:val="24"/>
        </w:rPr>
        <w:t>，并作为其</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的组成部分。</w:t>
      </w:r>
    </w:p>
    <w:p w14:paraId="1F2D4B60">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保证金支付账户如下：</w:t>
      </w:r>
    </w:p>
    <w:p w14:paraId="3E46E549">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收款人：陕西锌业有限公司</w:t>
      </w:r>
    </w:p>
    <w:p w14:paraId="2EE1F492">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账号：26805701040010332</w:t>
      </w:r>
    </w:p>
    <w:p w14:paraId="61A009E4">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开户行：中国农业银行商洛商州区支行</w:t>
      </w:r>
    </w:p>
    <w:p w14:paraId="19F5C2D3">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的形式：转账、保函、支票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签订保证金协议等</w:t>
      </w:r>
      <w:r>
        <w:rPr>
          <w:rFonts w:hint="eastAsia" w:ascii="宋体" w:hAnsi="宋体" w:eastAsia="宋体" w:cs="宋体"/>
          <w:color w:val="auto"/>
          <w:sz w:val="24"/>
          <w:szCs w:val="24"/>
        </w:rPr>
        <w:t>任何一种。</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以现金或者支票形式提交的</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，应当从其基本账户转出并在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中附上基本账户开户证明</w:t>
      </w:r>
      <w:r>
        <w:rPr>
          <w:rFonts w:hint="eastAsia" w:ascii="宋体" w:hAnsi="宋体" w:eastAsia="宋体" w:cs="宋体"/>
          <w:color w:val="auto"/>
          <w:sz w:val="24"/>
          <w:szCs w:val="24"/>
          <w:lang w:eastAsia="zh-CN"/>
        </w:rPr>
        <w:t>。</w:t>
      </w:r>
    </w:p>
    <w:p w14:paraId="6A97589C">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必须在</w:t>
      </w:r>
      <w:r>
        <w:rPr>
          <w:rFonts w:hint="eastAsia" w:ascii="宋体" w:hAnsi="宋体" w:eastAsia="宋体" w:cs="宋体"/>
          <w:color w:val="auto"/>
          <w:sz w:val="24"/>
          <w:szCs w:val="24"/>
          <w:lang w:eastAsia="zh-CN"/>
        </w:rPr>
        <w:t>响应文件递交截止时间</w:t>
      </w:r>
      <w:r>
        <w:rPr>
          <w:rFonts w:hint="eastAsia" w:ascii="宋体" w:hAnsi="宋体" w:eastAsia="宋体" w:cs="宋体"/>
          <w:color w:val="auto"/>
          <w:sz w:val="24"/>
          <w:szCs w:val="24"/>
        </w:rPr>
        <w:t>前到达指定帐户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以保函形式缴纳保证金其保函须由银行或</w:t>
      </w:r>
      <w:r>
        <w:rPr>
          <w:rFonts w:hint="eastAsia" w:ascii="宋体" w:hAnsi="宋体" w:eastAsia="宋体" w:cs="宋体"/>
          <w:color w:val="auto"/>
          <w:sz w:val="24"/>
          <w:szCs w:val="24"/>
          <w:lang w:val="en-US" w:eastAsia="zh-CN"/>
        </w:rPr>
        <w:t>具</w:t>
      </w:r>
      <w:r>
        <w:rPr>
          <w:rFonts w:hint="eastAsia" w:ascii="宋体" w:hAnsi="宋体" w:eastAsia="宋体" w:cs="宋体"/>
          <w:color w:val="auto"/>
          <w:sz w:val="24"/>
          <w:szCs w:val="24"/>
        </w:rPr>
        <w:t>有出具保函资格的单位出具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并于</w:t>
      </w:r>
      <w:r>
        <w:rPr>
          <w:rFonts w:hint="eastAsia" w:ascii="宋体" w:hAnsi="宋体" w:eastAsia="宋体" w:cs="宋体"/>
          <w:color w:val="auto"/>
          <w:sz w:val="24"/>
          <w:szCs w:val="24"/>
          <w:lang w:eastAsia="zh-CN"/>
        </w:rPr>
        <w:t>响应文件的开启</w:t>
      </w:r>
      <w:r>
        <w:rPr>
          <w:rFonts w:hint="eastAsia" w:ascii="宋体" w:hAnsi="宋体" w:eastAsia="宋体" w:cs="宋体"/>
          <w:color w:val="auto"/>
          <w:sz w:val="24"/>
          <w:szCs w:val="24"/>
        </w:rPr>
        <w:t>现场递交保函原件，</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中附保函复印件。</w:t>
      </w:r>
    </w:p>
    <w:p w14:paraId="60CB5709">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有效期与</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一致。</w:t>
      </w:r>
    </w:p>
    <w:p w14:paraId="2DA2FFBC">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不按</w:t>
      </w:r>
      <w:bookmarkStart w:id="34" w:name="_Toc29025"/>
      <w:bookmarkStart w:id="35" w:name="_Toc352691490"/>
      <w:bookmarkStart w:id="36" w:name="_Toc361508602"/>
      <w:bookmarkStart w:id="37" w:name="_Toc369531533"/>
      <w:bookmarkStart w:id="38" w:name="_Toc384308227"/>
      <w:r>
        <w:rPr>
          <w:rFonts w:hint="eastAsia" w:ascii="宋体" w:hAnsi="宋体" w:eastAsia="宋体" w:cs="宋体"/>
          <w:color w:val="auto"/>
          <w:sz w:val="24"/>
          <w:szCs w:val="24"/>
          <w:lang w:val="en-US" w:eastAsia="zh-CN"/>
        </w:rPr>
        <w:t>前述</w:t>
      </w:r>
      <w:r>
        <w:rPr>
          <w:rFonts w:hint="eastAsia" w:ascii="宋体" w:hAnsi="宋体" w:eastAsia="宋体" w:cs="宋体"/>
          <w:color w:val="auto"/>
          <w:sz w:val="24"/>
          <w:szCs w:val="24"/>
        </w:rPr>
        <w:t>要求提交</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的，</w:t>
      </w:r>
      <w:bookmarkEnd w:id="34"/>
      <w:bookmarkEnd w:id="35"/>
      <w:bookmarkEnd w:id="36"/>
      <w:bookmarkEnd w:id="37"/>
      <w:bookmarkEnd w:id="38"/>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将否决其</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p>
    <w:p w14:paraId="5D9A16CB">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最迟应当在与</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w:t>
      </w:r>
      <w:bookmarkStart w:id="39" w:name="_Toc14751"/>
      <w:bookmarkStart w:id="40" w:name="_Toc152045546"/>
      <w:bookmarkStart w:id="41" w:name="_Toc384308228"/>
      <w:bookmarkStart w:id="42" w:name="_Toc144974514"/>
      <w:bookmarkStart w:id="43" w:name="_Toc152042322"/>
      <w:bookmarkStart w:id="44" w:name="_Toc247513970"/>
      <w:bookmarkStart w:id="45" w:name="_Toc300834967"/>
      <w:bookmarkStart w:id="46" w:name="_Toc361508603"/>
      <w:bookmarkStart w:id="47" w:name="_Toc247527571"/>
      <w:bookmarkStart w:id="48" w:name="_Toc369531534"/>
      <w:bookmarkStart w:id="49" w:name="_Toc352691491"/>
      <w:r>
        <w:rPr>
          <w:rFonts w:hint="eastAsia" w:ascii="宋体" w:hAnsi="宋体" w:eastAsia="宋体" w:cs="宋体"/>
          <w:color w:val="auto"/>
          <w:sz w:val="24"/>
          <w:szCs w:val="24"/>
        </w:rPr>
        <w:t>签订合同后</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日</w:t>
      </w:r>
      <w:bookmarkEnd w:id="39"/>
      <w:bookmarkEnd w:id="40"/>
      <w:bookmarkEnd w:id="41"/>
      <w:bookmarkEnd w:id="42"/>
      <w:bookmarkEnd w:id="43"/>
      <w:bookmarkEnd w:id="44"/>
      <w:bookmarkEnd w:id="45"/>
      <w:bookmarkEnd w:id="46"/>
      <w:bookmarkEnd w:id="47"/>
      <w:bookmarkEnd w:id="48"/>
      <w:bookmarkEnd w:id="49"/>
      <w:r>
        <w:rPr>
          <w:rFonts w:hint="eastAsia" w:ascii="宋体" w:hAnsi="宋体" w:eastAsia="宋体" w:cs="宋体"/>
          <w:color w:val="auto"/>
          <w:sz w:val="24"/>
          <w:szCs w:val="24"/>
        </w:rPr>
        <w:t>内</w:t>
      </w:r>
      <w:bookmarkStart w:id="50" w:name="_Toc300834968"/>
      <w:bookmarkStart w:id="51" w:name="_Toc247527572"/>
      <w:bookmarkStart w:id="52" w:name="_Toc361508604"/>
      <w:bookmarkStart w:id="53" w:name="_Toc144974515"/>
      <w:bookmarkStart w:id="54" w:name="_Toc369531535"/>
      <w:bookmarkStart w:id="55" w:name="_Toc152042323"/>
      <w:bookmarkStart w:id="56" w:name="_Toc17952"/>
      <w:bookmarkStart w:id="57" w:name="_Toc352691492"/>
      <w:bookmarkStart w:id="58" w:name="_Toc152045547"/>
      <w:bookmarkStart w:id="59" w:name="_Toc384308229"/>
      <w:bookmarkStart w:id="60" w:name="_Toc247513971"/>
      <w:r>
        <w:rPr>
          <w:rFonts w:hint="eastAsia" w:ascii="宋体" w:hAnsi="宋体" w:eastAsia="宋体" w:cs="宋体"/>
          <w:color w:val="auto"/>
          <w:sz w:val="24"/>
          <w:szCs w:val="24"/>
        </w:rPr>
        <w:t>，向未</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和</w:t>
      </w:r>
      <w:bookmarkEnd w:id="50"/>
      <w:bookmarkEnd w:id="51"/>
      <w:bookmarkEnd w:id="52"/>
      <w:bookmarkEnd w:id="53"/>
      <w:bookmarkEnd w:id="54"/>
      <w:bookmarkEnd w:id="55"/>
      <w:bookmarkEnd w:id="56"/>
      <w:bookmarkEnd w:id="57"/>
      <w:bookmarkEnd w:id="58"/>
      <w:bookmarkEnd w:id="59"/>
      <w:bookmarkEnd w:id="60"/>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w:t>
      </w:r>
      <w:r>
        <w:rPr>
          <w:rFonts w:hint="eastAsia" w:ascii="宋体" w:hAnsi="宋体" w:eastAsia="宋体" w:cs="宋体"/>
          <w:color w:val="auto"/>
          <w:sz w:val="24"/>
          <w:szCs w:val="24"/>
          <w:lang w:val="en-US" w:eastAsia="zh-CN"/>
        </w:rPr>
        <w:t>无息</w:t>
      </w:r>
      <w:r>
        <w:rPr>
          <w:rFonts w:hint="eastAsia" w:ascii="宋体" w:hAnsi="宋体" w:eastAsia="宋体" w:cs="宋体"/>
          <w:color w:val="auto"/>
          <w:sz w:val="24"/>
          <w:szCs w:val="24"/>
        </w:rPr>
        <w:t>退还</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w:t>
      </w:r>
    </w:p>
    <w:p w14:paraId="717C6550">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有下列情形之一的，</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将不予退还：</w:t>
      </w:r>
    </w:p>
    <w:p w14:paraId="56AE7978">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内撤销</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w:t>
      </w:r>
    </w:p>
    <w:p w14:paraId="1495D0EA">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人在收到</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通知书后，</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人放弃</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项目的，无正当理由不与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订立合同的，在签订合同时向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提出附加条件或者更改合同实质性内容的，或者拒不按照</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要求提交履约担保的。</w:t>
      </w:r>
    </w:p>
    <w:p w14:paraId="4F81DA31">
      <w:pPr>
        <w:pStyle w:val="3"/>
        <w:pageBreakBefore w:val="0"/>
        <w:kinsoku/>
        <w:wordWrap/>
        <w:overflowPunct/>
        <w:topLinePunct w:val="0"/>
        <w:autoSpaceDE/>
        <w:autoSpaceDN/>
        <w:bidi w:val="0"/>
        <w:snapToGrid/>
        <w:spacing w:before="0" w:after="0" w:line="480" w:lineRule="exact"/>
        <w:ind w:left="0" w:firstLine="240" w:firstLineChars="100"/>
        <w:jc w:val="both"/>
        <w:rPr>
          <w:rFonts w:hint="eastAsia" w:ascii="宋体" w:hAnsi="宋体" w:eastAsia="宋体" w:cs="宋体"/>
          <w:color w:val="auto"/>
          <w:sz w:val="24"/>
          <w:szCs w:val="24"/>
        </w:rPr>
      </w:pPr>
      <w:bookmarkStart w:id="61" w:name="_Toc21871"/>
      <w:bookmarkStart w:id="62" w:name="_Toc24514"/>
      <w:bookmarkStart w:id="63" w:name="_Toc33795794"/>
      <w:bookmarkStart w:id="64" w:name="_Toc28216"/>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应按下列规定提供相关的证明材料，以证明其满足资质、财务、业绩、信誉要求。</w:t>
      </w:r>
    </w:p>
    <w:p w14:paraId="74F1ED1B">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基本情况表”应附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资格或者资质证书副本等材料的复印件</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为企业的，应提交营业执照复印件；</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“近年财务状况表”应</w:t>
      </w:r>
      <w:r>
        <w:rPr>
          <w:rFonts w:hint="eastAsia" w:ascii="宋体" w:hAnsi="宋体" w:eastAsia="宋体" w:cs="宋体"/>
          <w:color w:val="auto"/>
          <w:sz w:val="24"/>
          <w:szCs w:val="24"/>
          <w:lang w:val="en-US" w:eastAsia="zh-CN"/>
        </w:rPr>
        <w:t>附近两年来的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财务报表或经审计机构审计的财务会计报表，包括资产负债表、现金流量表、利润表和财务情况说明书的复印件，成立的时间不足</w:t>
      </w:r>
      <w:r>
        <w:rPr>
          <w:rFonts w:hint="eastAsia" w:ascii="宋体" w:hAnsi="宋体" w:eastAsia="宋体" w:cs="宋体"/>
          <w:color w:val="auto"/>
          <w:sz w:val="24"/>
          <w:szCs w:val="24"/>
          <w:lang w:val="en-US" w:eastAsia="zh-CN"/>
        </w:rPr>
        <w:t>两年</w:t>
      </w:r>
      <w:r>
        <w:rPr>
          <w:rFonts w:hint="eastAsia" w:ascii="宋体" w:hAnsi="宋体" w:eastAsia="宋体" w:cs="宋体"/>
          <w:color w:val="auto"/>
          <w:sz w:val="24"/>
          <w:szCs w:val="24"/>
        </w:rPr>
        <w:t>的，应提供成立以来的财务状况。</w:t>
      </w:r>
    </w:p>
    <w:p w14:paraId="3E3BC615">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“近年完成的类似项目情况表”应附</w:t>
      </w:r>
      <w:r>
        <w:rPr>
          <w:rFonts w:hint="eastAsia" w:ascii="宋体" w:hAnsi="宋体" w:eastAsia="宋体" w:cs="宋体"/>
          <w:color w:val="auto"/>
          <w:sz w:val="24"/>
          <w:szCs w:val="24"/>
          <w:lang w:val="en-US" w:eastAsia="zh-CN"/>
        </w:rPr>
        <w:t>从2023年5月至今的</w:t>
      </w:r>
      <w:r>
        <w:rPr>
          <w:rFonts w:hint="eastAsia" w:ascii="宋体" w:hAnsi="宋体" w:eastAsia="宋体" w:cs="宋体"/>
          <w:color w:val="auto"/>
          <w:sz w:val="24"/>
          <w:szCs w:val="24"/>
        </w:rPr>
        <w:t>合同复印件，每张表格只填写一个项目，并标明序号。</w:t>
      </w:r>
    </w:p>
    <w:p w14:paraId="06230213">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“近年发生的诉讼及仲裁情况”应说明相关情况，并附</w:t>
      </w:r>
      <w:r>
        <w:rPr>
          <w:rFonts w:hint="eastAsia" w:ascii="宋体" w:hAnsi="宋体" w:eastAsia="宋体" w:cs="宋体"/>
          <w:color w:val="auto"/>
          <w:sz w:val="24"/>
          <w:szCs w:val="24"/>
          <w:lang w:val="en-US" w:eastAsia="zh-CN"/>
        </w:rPr>
        <w:t>2022年5月至今的</w:t>
      </w:r>
      <w:r>
        <w:rPr>
          <w:rFonts w:hint="eastAsia" w:ascii="宋体" w:hAnsi="宋体" w:eastAsia="宋体" w:cs="宋体"/>
          <w:color w:val="auto"/>
          <w:sz w:val="24"/>
          <w:szCs w:val="24"/>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484" w:firstLineChars="200"/>
        <w:textAlignment w:val="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（五）响应文件的</w:t>
      </w:r>
      <w:r>
        <w:rPr>
          <w:rFonts w:hint="eastAsia" w:ascii="宋体" w:hAnsi="宋体" w:eastAsia="宋体" w:cs="宋体"/>
          <w:b w:val="0"/>
          <w:bCs w:val="0"/>
          <w:color w:val="auto"/>
          <w:spacing w:val="1"/>
          <w:sz w:val="24"/>
          <w:szCs w:val="24"/>
          <w:highlight w:val="none"/>
          <w:lang w:val="en-US" w:eastAsia="zh-CN"/>
        </w:rPr>
        <w:t>提</w:t>
      </w:r>
      <w:r>
        <w:rPr>
          <w:rFonts w:hint="eastAsia" w:ascii="宋体" w:hAnsi="宋体" w:eastAsia="宋体" w:cs="宋体"/>
          <w:b w:val="0"/>
          <w:bCs w:val="0"/>
          <w:color w:val="auto"/>
          <w:spacing w:val="1"/>
          <w:sz w:val="24"/>
          <w:szCs w:val="24"/>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484" w:firstLineChars="200"/>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1. 响应文件及样品提交截止时间：2025年6月12日13时（北京时间）；</w:t>
      </w:r>
    </w:p>
    <w:p w14:paraId="1FFC55D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484"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pacing w:val="1"/>
          <w:sz w:val="24"/>
          <w:szCs w:val="24"/>
          <w:highlight w:val="none"/>
          <w:lang w:val="en-US" w:eastAsia="zh-CN"/>
        </w:rPr>
        <w:t>2.提交方法：</w:t>
      </w:r>
      <w:r>
        <w:rPr>
          <w:rFonts w:hint="eastAsia" w:ascii="宋体" w:hAnsi="宋体" w:eastAsia="宋体" w:cs="宋体"/>
          <w:b w:val="0"/>
          <w:bCs w:val="0"/>
          <w:i w:val="0"/>
          <w:iCs w:val="0"/>
          <w:caps w:val="0"/>
          <w:color w:val="333333"/>
          <w:spacing w:val="0"/>
          <w:sz w:val="24"/>
          <w:szCs w:val="24"/>
          <w:shd w:val="clear" w:fill="FEFEFE"/>
        </w:rPr>
        <w:t>陕西锌业有限公司网络询比采购平台（</w:t>
      </w:r>
      <w:r>
        <w:rPr>
          <w:rFonts w:hint="eastAsia" w:ascii="宋体" w:hAnsi="宋体" w:eastAsia="宋体" w:cs="宋体"/>
          <w:b w:val="0"/>
          <w:bCs w:val="0"/>
          <w:i w:val="0"/>
          <w:iCs w:val="0"/>
          <w:caps w:val="0"/>
          <w:color w:val="000000"/>
          <w:spacing w:val="0"/>
          <w:sz w:val="24"/>
          <w:szCs w:val="24"/>
          <w:u w:val="none"/>
          <w:shd w:val="clear" w:fill="FEFEFE"/>
        </w:rPr>
        <w:fldChar w:fldCharType="begin"/>
      </w:r>
      <w:r>
        <w:rPr>
          <w:rFonts w:hint="eastAsia" w:ascii="宋体" w:hAnsi="宋体" w:eastAsia="宋体" w:cs="宋体"/>
          <w:b w:val="0"/>
          <w:bCs w:val="0"/>
          <w:i w:val="0"/>
          <w:iCs w:val="0"/>
          <w:caps w:val="0"/>
          <w:color w:val="000000"/>
          <w:spacing w:val="0"/>
          <w:sz w:val="24"/>
          <w:szCs w:val="24"/>
          <w:u w:val="none"/>
          <w:shd w:val="clear" w:fill="FEFEFE"/>
        </w:rPr>
        <w:instrText xml:space="preserve"> HYPERLINK "javascript:void(0);" </w:instrText>
      </w:r>
      <w:r>
        <w:rPr>
          <w:rFonts w:hint="eastAsia" w:ascii="宋体" w:hAnsi="宋体" w:eastAsia="宋体" w:cs="宋体"/>
          <w:b w:val="0"/>
          <w:bCs w:val="0"/>
          <w:i w:val="0"/>
          <w:iCs w:val="0"/>
          <w:caps w:val="0"/>
          <w:color w:val="000000"/>
          <w:spacing w:val="0"/>
          <w:sz w:val="24"/>
          <w:szCs w:val="24"/>
          <w:u w:val="none"/>
          <w:shd w:val="clear" w:fill="FEFEFE"/>
        </w:rPr>
        <w:fldChar w:fldCharType="separate"/>
      </w:r>
      <w:r>
        <w:rPr>
          <w:rStyle w:val="12"/>
          <w:rFonts w:hint="eastAsia" w:ascii="宋体" w:hAnsi="宋体" w:eastAsia="宋体" w:cs="宋体"/>
          <w:b w:val="0"/>
          <w:bCs w:val="0"/>
          <w:i w:val="0"/>
          <w:iCs w:val="0"/>
          <w:caps w:val="0"/>
          <w:color w:val="000000"/>
          <w:spacing w:val="0"/>
          <w:sz w:val="24"/>
          <w:szCs w:val="24"/>
          <w:u w:val="none"/>
          <w:shd w:val="clear" w:fill="FEFEFE"/>
        </w:rPr>
        <w:t>www.sxxyjjpt.com</w:t>
      </w:r>
      <w:r>
        <w:rPr>
          <w:rFonts w:hint="eastAsia" w:ascii="宋体" w:hAnsi="宋体" w:eastAsia="宋体" w:cs="宋体"/>
          <w:b w:val="0"/>
          <w:bCs w:val="0"/>
          <w:i w:val="0"/>
          <w:iCs w:val="0"/>
          <w:caps w:val="0"/>
          <w:color w:val="000000"/>
          <w:spacing w:val="0"/>
          <w:sz w:val="24"/>
          <w:szCs w:val="24"/>
          <w:u w:val="none"/>
          <w:shd w:val="clear" w:fill="FEFEFE"/>
        </w:rPr>
        <w:fldChar w:fldCharType="end"/>
      </w:r>
      <w:r>
        <w:rPr>
          <w:rFonts w:hint="eastAsia" w:ascii="宋体" w:hAnsi="宋体" w:eastAsia="宋体" w:cs="宋体"/>
          <w:b w:val="0"/>
          <w:bCs w:val="0"/>
          <w:i w:val="0"/>
          <w:iCs w:val="0"/>
          <w:caps w:val="0"/>
          <w:color w:val="333333"/>
          <w:spacing w:val="0"/>
          <w:sz w:val="24"/>
          <w:szCs w:val="24"/>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联系人：南晓霞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80" w:lineRule="exact"/>
        <w:ind w:firstLine="486" w:firstLineChars="200"/>
        <w:textAlignment w:val="auto"/>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pacing w:val="1"/>
          <w:sz w:val="24"/>
          <w:szCs w:val="24"/>
          <w:highlight w:val="none"/>
          <w:lang w:val="en-US" w:eastAsia="zh-CN"/>
        </w:rPr>
        <w:t>四</w:t>
      </w:r>
      <w:r>
        <w:rPr>
          <w:rFonts w:hint="eastAsia" w:ascii="宋体" w:hAnsi="宋体" w:eastAsia="宋体" w:cs="宋体"/>
          <w:b/>
          <w:bCs/>
          <w:color w:val="auto"/>
          <w:spacing w:val="1"/>
          <w:sz w:val="24"/>
          <w:szCs w:val="24"/>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80" w:lineRule="exact"/>
        <w:ind w:firstLine="484" w:firstLineChars="200"/>
        <w:textAlignment w:val="auto"/>
        <w:rPr>
          <w:rFonts w:hint="eastAsia" w:ascii="宋体" w:hAnsi="宋体" w:eastAsia="宋体" w:cs="宋体"/>
          <w:color w:val="auto"/>
          <w:spacing w:val="1"/>
          <w:kern w:val="0"/>
          <w:sz w:val="24"/>
          <w:szCs w:val="24"/>
          <w:highlight w:val="yellow"/>
          <w:lang w:val="en-US" w:eastAsia="zh-CN" w:bidi="ar-SA"/>
        </w:rPr>
      </w:pPr>
      <w:r>
        <w:rPr>
          <w:rFonts w:hint="eastAsia" w:ascii="宋体" w:hAnsi="宋体" w:eastAsia="宋体" w:cs="宋体"/>
          <w:color w:val="auto"/>
          <w:spacing w:val="1"/>
          <w:kern w:val="0"/>
          <w:sz w:val="24"/>
          <w:szCs w:val="24"/>
          <w:highlight w:val="none"/>
          <w:lang w:val="en-US" w:eastAsia="zh-CN" w:bidi="ar-SA"/>
        </w:rPr>
        <w:t>（一）响应文件的开启时间：</w:t>
      </w:r>
      <w:r>
        <w:rPr>
          <w:rFonts w:hint="eastAsia" w:ascii="宋体" w:hAnsi="宋体" w:eastAsia="宋体" w:cs="宋体"/>
          <w:color w:val="auto"/>
          <w:spacing w:val="1"/>
          <w:sz w:val="24"/>
          <w:szCs w:val="24"/>
          <w:highlight w:val="none"/>
          <w:lang w:val="en-US" w:eastAsia="zh-CN"/>
        </w:rPr>
        <w:t>2025年6月12日13时</w:t>
      </w:r>
      <w:r>
        <w:rPr>
          <w:rFonts w:hint="eastAsia" w:ascii="宋体" w:hAnsi="宋体" w:eastAsia="宋体" w:cs="宋体"/>
          <w:color w:val="auto"/>
          <w:spacing w:val="1"/>
          <w:kern w:val="0"/>
          <w:sz w:val="24"/>
          <w:szCs w:val="24"/>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480" w:lineRule="exact"/>
        <w:ind w:firstLine="484" w:firstLineChars="200"/>
        <w:textAlignment w:val="auto"/>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（二）响应文件的开启地点：陕西锌业有限公司办公楼二楼西招投标办公室（陕西省商洛市商州区沙河子镇）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80" w:lineRule="exact"/>
        <w:ind w:firstLine="482" w:firstLineChars="200"/>
        <w:jc w:val="both"/>
        <w:textAlignment w:val="auto"/>
        <w:rPr>
          <w:rFonts w:hint="eastAsia" w:ascii="宋体" w:hAnsi="宋体" w:eastAsia="宋体" w:cs="宋体"/>
          <w:color w:val="auto"/>
          <w:sz w:val="24"/>
          <w:szCs w:val="24"/>
          <w:lang w:val="en-US" w:eastAsia="zh-CN"/>
        </w:rPr>
      </w:pPr>
      <w:r>
        <w:rPr>
          <w:rStyle w:val="11"/>
          <w:rFonts w:hint="eastAsia" w:ascii="宋体" w:hAnsi="宋体" w:eastAsia="宋体" w:cs="宋体"/>
          <w:b/>
          <w:i w:val="0"/>
          <w:iCs w:val="0"/>
          <w:caps w:val="0"/>
          <w:color w:val="000000"/>
          <w:spacing w:val="0"/>
          <w:sz w:val="24"/>
          <w:szCs w:val="24"/>
          <w:lang w:val="en-US" w:eastAsia="zh-CN"/>
        </w:rPr>
        <w:t>五</w:t>
      </w:r>
      <w:r>
        <w:rPr>
          <w:rStyle w:val="11"/>
          <w:rFonts w:hint="eastAsia" w:ascii="宋体" w:hAnsi="宋体" w:eastAsia="宋体" w:cs="宋体"/>
          <w:b/>
          <w:i w:val="0"/>
          <w:iCs w:val="0"/>
          <w:caps w:val="0"/>
          <w:color w:val="000000"/>
          <w:spacing w:val="0"/>
          <w:sz w:val="24"/>
          <w:szCs w:val="24"/>
        </w:rPr>
        <w:t>、</w:t>
      </w:r>
      <w:r>
        <w:rPr>
          <w:rStyle w:val="11"/>
          <w:rFonts w:hint="eastAsia" w:ascii="宋体" w:hAnsi="宋体" w:eastAsia="宋体" w:cs="宋体"/>
          <w:b/>
          <w:i w:val="0"/>
          <w:iCs w:val="0"/>
          <w:caps w:val="0"/>
          <w:color w:val="000000"/>
          <w:spacing w:val="0"/>
          <w:sz w:val="24"/>
          <w:szCs w:val="24"/>
          <w:lang w:val="en-US" w:eastAsia="zh-CN"/>
        </w:rPr>
        <w:t>响应文件的</w:t>
      </w:r>
      <w:r>
        <w:rPr>
          <w:rFonts w:hint="eastAsia" w:ascii="宋体" w:hAnsi="宋体" w:eastAsia="宋体" w:cs="宋体"/>
          <w:color w:val="auto"/>
          <w:sz w:val="24"/>
          <w:szCs w:val="24"/>
        </w:rPr>
        <w:t>评</w:t>
      </w:r>
      <w:r>
        <w:rPr>
          <w:rFonts w:hint="eastAsia" w:ascii="宋体" w:hAnsi="宋体" w:eastAsia="宋体" w:cs="宋体"/>
          <w:color w:val="auto"/>
          <w:sz w:val="24"/>
          <w:szCs w:val="24"/>
          <w:lang w:val="en-US" w:eastAsia="zh-CN"/>
        </w:rPr>
        <w:t>审</w:t>
      </w:r>
    </w:p>
    <w:p w14:paraId="160DA3BB">
      <w:pPr>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（一）响应文件评审办法</w:t>
      </w:r>
    </w:p>
    <w:p w14:paraId="1E0AD13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在响应文件满足采购文件实质性要求的前提下，根据报价方提供样品的实验效果，确定供应商排序。</w:t>
      </w:r>
    </w:p>
    <w:p w14:paraId="64F3630A">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（二）响应文件评审程序</w:t>
      </w:r>
    </w:p>
    <w:p w14:paraId="6B22F52F">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可以要求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w:t>
      </w:r>
      <w:r>
        <w:rPr>
          <w:rFonts w:hint="eastAsia" w:ascii="宋体" w:hAnsi="宋体" w:eastAsia="宋体" w:cs="宋体"/>
          <w:color w:val="auto"/>
          <w:sz w:val="24"/>
          <w:szCs w:val="24"/>
          <w:lang w:val="en-US" w:eastAsia="zh-CN"/>
        </w:rPr>
        <w:t>第一条第九款</w:t>
      </w:r>
      <w:r>
        <w:rPr>
          <w:rFonts w:hint="eastAsia" w:ascii="宋体" w:hAnsi="宋体" w:eastAsia="宋体" w:cs="宋体"/>
          <w:color w:val="auto"/>
          <w:sz w:val="24"/>
          <w:szCs w:val="24"/>
        </w:rPr>
        <w:t>规定的有关证明和证件的原件，</w:t>
      </w:r>
      <w:r>
        <w:rPr>
          <w:rFonts w:hint="eastAsia" w:ascii="宋体" w:hAnsi="宋体" w:eastAsia="宋体" w:cs="宋体"/>
          <w:color w:val="auto"/>
          <w:sz w:val="24"/>
          <w:szCs w:val="24"/>
          <w:lang w:val="en-US" w:eastAsia="zh-CN"/>
        </w:rPr>
        <w:t>评审小组</w:t>
      </w:r>
      <w:r>
        <w:rPr>
          <w:rFonts w:hint="eastAsia" w:ascii="宋体" w:hAnsi="宋体" w:eastAsia="宋体" w:cs="宋体"/>
          <w:color w:val="auto"/>
          <w:sz w:val="24"/>
          <w:szCs w:val="24"/>
        </w:rPr>
        <w:t>对</w:t>
      </w:r>
      <w:r>
        <w:rPr>
          <w:rFonts w:hint="eastAsia" w:ascii="宋体" w:hAnsi="宋体" w:eastAsia="宋体" w:cs="宋体"/>
          <w:color w:val="auto"/>
          <w:sz w:val="24"/>
          <w:szCs w:val="24"/>
          <w:lang w:val="en-US" w:eastAsia="zh-CN"/>
        </w:rPr>
        <w:t>前述</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进行初步评审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有一项不符合评审标准的，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应当否决其</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p>
    <w:p w14:paraId="6E609514">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有以下情形之一的，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应当否决其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w:t>
      </w:r>
    </w:p>
    <w:p w14:paraId="042E257F">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未经过正常途径</w:t>
      </w:r>
      <w:r>
        <w:rPr>
          <w:rFonts w:hint="eastAsia" w:ascii="宋体" w:hAnsi="宋体" w:eastAsia="宋体" w:cs="宋体"/>
          <w:color w:val="auto"/>
          <w:sz w:val="24"/>
          <w:szCs w:val="24"/>
          <w:lang w:val="en-US" w:eastAsia="zh-CN"/>
        </w:rPr>
        <w:t>获取</w:t>
      </w:r>
      <w:r>
        <w:rPr>
          <w:rFonts w:hint="eastAsia" w:ascii="宋体" w:hAnsi="宋体" w:eastAsia="宋体" w:cs="宋体"/>
          <w:color w:val="auto"/>
          <w:sz w:val="24"/>
          <w:szCs w:val="24"/>
        </w:rPr>
        <w:t>标书或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名称或组织结构与</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不一致且未提供有效证明的；</w:t>
      </w:r>
    </w:p>
    <w:p w14:paraId="719500DB">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未经</w:t>
      </w:r>
      <w:r>
        <w:rPr>
          <w:rFonts w:hint="eastAsia" w:ascii="宋体" w:hAnsi="宋体" w:eastAsia="宋体" w:cs="宋体"/>
          <w:color w:val="auto"/>
          <w:sz w:val="24"/>
          <w:szCs w:val="24"/>
          <w:lang w:val="en-US" w:eastAsia="zh-CN"/>
        </w:rPr>
        <w:t>响应供应商</w:t>
      </w:r>
      <w:r>
        <w:rPr>
          <w:rFonts w:hint="eastAsia" w:ascii="宋体" w:hAnsi="宋体" w:eastAsia="宋体" w:cs="宋体"/>
          <w:color w:val="auto"/>
          <w:sz w:val="24"/>
          <w:szCs w:val="24"/>
        </w:rPr>
        <w:t>单位盖章和单位负责人签字或盖章的；</w:t>
      </w:r>
    </w:p>
    <w:p w14:paraId="3719410D">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未按</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要求交纳</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的；</w:t>
      </w:r>
    </w:p>
    <w:p w14:paraId="71EECFF1">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不符合</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规定的资格条件的；</w:t>
      </w:r>
    </w:p>
    <w:p w14:paraId="72C9D508">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提交两份或多份内容不同的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，或在同一份</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报价明显低于其他</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，且</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不能合理说明或者提供相关证明材料，</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认定该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以低于成本价竞标的；</w:t>
      </w:r>
    </w:p>
    <w:p w14:paraId="08E6B81B">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有效期达不到</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要求的；</w:t>
      </w:r>
    </w:p>
    <w:p w14:paraId="1BC8E2AC">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方案出现严重漏项，已影响到该项目的实施的；</w:t>
      </w:r>
    </w:p>
    <w:p w14:paraId="74F4B648">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有串通</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、弄虚作假、行贿等违法行为的。</w:t>
      </w:r>
    </w:p>
    <w:p w14:paraId="12D28E6C">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有算术错误的，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按以下原则要求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进</w:t>
      </w:r>
      <w:bookmarkStart w:id="65" w:name="_Toc369531582"/>
      <w:bookmarkStart w:id="66" w:name="_Toc300835013"/>
      <w:bookmarkStart w:id="67" w:name="_Toc152042380"/>
      <w:bookmarkStart w:id="68" w:name="_Toc152045603"/>
      <w:bookmarkStart w:id="69" w:name="_Toc144974570"/>
      <w:bookmarkStart w:id="70" w:name="_Toc247514027"/>
      <w:bookmarkStart w:id="71" w:name="_Toc361508651"/>
      <w:bookmarkStart w:id="72" w:name="_Toc352691538"/>
      <w:bookmarkStart w:id="73" w:name="_Toc247527628"/>
      <w:bookmarkStart w:id="74" w:name="_Toc2907"/>
      <w:bookmarkStart w:id="75" w:name="_Toc384308277"/>
      <w:r>
        <w:rPr>
          <w:rFonts w:hint="eastAsia" w:ascii="宋体" w:hAnsi="宋体" w:eastAsia="宋体" w:cs="宋体"/>
          <w:color w:val="auto"/>
          <w:sz w:val="24"/>
          <w:szCs w:val="24"/>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拒不澄清确认的，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应当否决其</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bookmarkStart w:id="76" w:name="_Toc29291"/>
      <w:bookmarkStart w:id="77" w:name="_Toc13563"/>
      <w:bookmarkStart w:id="78" w:name="_Toc16955"/>
      <w:bookmarkStart w:id="79" w:name="_Toc33795835"/>
    </w:p>
    <w:p w14:paraId="74649D2E">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为各分项报价金额之和，</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与分项报价的合价不一致的，应以各分项合价累计数为准，修正</w:t>
      </w:r>
      <w:r>
        <w:rPr>
          <w:rFonts w:hint="eastAsia" w:ascii="宋体" w:hAnsi="宋体" w:eastAsia="宋体" w:cs="宋体"/>
          <w:color w:val="auto"/>
          <w:sz w:val="24"/>
          <w:szCs w:val="24"/>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发现</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，使得其</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可能低于其个别成本的，应当要求该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作出书面说明并提供相应的证明材料。</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不能合理说明或者不能提供相应证明材料的，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应当认定该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以低于成本报价竞标，并否决其</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p>
    <w:p w14:paraId="4A1A65B6">
      <w:pPr>
        <w:pStyle w:val="3"/>
        <w:pageBreakBefore w:val="0"/>
        <w:widowControl w:val="0"/>
        <w:kinsoku/>
        <w:wordWrap/>
        <w:overflowPunct/>
        <w:topLinePunct w:val="0"/>
        <w:autoSpaceDE/>
        <w:autoSpaceDN/>
        <w:bidi w:val="0"/>
        <w:adjustRightInd/>
        <w:snapToGrid/>
        <w:spacing w:before="0" w:after="0" w:line="480" w:lineRule="exact"/>
        <w:ind w:left="0" w:leftChars="0" w:firstLine="240" w:firstLineChars="100"/>
        <w:jc w:val="both"/>
        <w:textAlignment w:val="auto"/>
        <w:rPr>
          <w:rFonts w:hint="eastAsia" w:ascii="宋体" w:hAnsi="宋体" w:eastAsia="宋体" w:cs="宋体"/>
          <w:color w:val="auto"/>
          <w:sz w:val="24"/>
          <w:szCs w:val="24"/>
        </w:rPr>
      </w:pPr>
      <w:bookmarkStart w:id="80" w:name="_Toc33795836"/>
      <w:bookmarkStart w:id="81" w:name="_Toc32669"/>
      <w:bookmarkStart w:id="82" w:name="_Toc15253"/>
      <w:bookmarkStart w:id="83" w:name="_Toc3366"/>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评审过程</w:t>
      </w:r>
      <w:r>
        <w:rPr>
          <w:rFonts w:hint="eastAsia" w:ascii="宋体" w:hAnsi="宋体" w:eastAsia="宋体" w:cs="宋体"/>
          <w:color w:val="auto"/>
          <w:sz w:val="24"/>
          <w:szCs w:val="24"/>
        </w:rPr>
        <w:t>中，</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中含义不明确、对同类问题表述不一致或者有明显文字和计算错误的内容可以书面形式要求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作必要的澄清、说明或补正。</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不接受</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主动提出的澄清、说明或补正。</w:t>
      </w:r>
    </w:p>
    <w:p w14:paraId="5651EB10">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澄清、说明或补正不得超出</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的范围且不得改变</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的实质性内容，并构成</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的组成部分。</w:t>
      </w:r>
    </w:p>
    <w:p w14:paraId="0CD387AD">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提交的澄清、说明或补正有疑问的，可以要求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进一步澄清、说明或补正，直至满足</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的要求。</w:t>
      </w:r>
    </w:p>
    <w:p w14:paraId="07BDA1A1">
      <w:pPr>
        <w:pStyle w:val="3"/>
        <w:pageBreakBefore w:val="0"/>
        <w:widowControl w:val="0"/>
        <w:kinsoku/>
        <w:wordWrap/>
        <w:overflowPunct/>
        <w:topLinePunct w:val="0"/>
        <w:autoSpaceDE/>
        <w:autoSpaceDN/>
        <w:bidi w:val="0"/>
        <w:adjustRightInd/>
        <w:snapToGrid/>
        <w:spacing w:before="0" w:after="0" w:line="480" w:lineRule="exact"/>
        <w:ind w:left="0" w:leftChars="0" w:firstLine="240" w:firstLineChars="1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）评审结果</w:t>
      </w:r>
    </w:p>
    <w:p w14:paraId="2FB4188D">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按照</w:t>
      </w:r>
      <w:r>
        <w:rPr>
          <w:rFonts w:hint="eastAsia" w:ascii="宋体" w:hAnsi="宋体" w:eastAsia="宋体" w:cs="宋体"/>
          <w:color w:val="auto"/>
          <w:sz w:val="24"/>
          <w:szCs w:val="24"/>
          <w:lang w:val="en-US" w:eastAsia="zh-CN"/>
        </w:rPr>
        <w:t>实验效果排序</w:t>
      </w:r>
      <w:r>
        <w:rPr>
          <w:rFonts w:hint="eastAsia" w:ascii="宋体" w:hAnsi="宋体" w:eastAsia="宋体" w:cs="宋体"/>
          <w:color w:val="auto"/>
          <w:sz w:val="24"/>
          <w:szCs w:val="24"/>
        </w:rPr>
        <w:t>推荐</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w:t>
      </w:r>
    </w:p>
    <w:p w14:paraId="4489F1CD">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完成评标后，应当向</w:t>
      </w:r>
      <w:r>
        <w:rPr>
          <w:rFonts w:hint="eastAsia" w:ascii="宋体" w:hAnsi="宋体" w:eastAsia="宋体" w:cs="宋体"/>
          <w:color w:val="auto"/>
          <w:sz w:val="24"/>
          <w:szCs w:val="24"/>
          <w:lang w:val="en-US" w:eastAsia="zh-CN"/>
        </w:rPr>
        <w:t>招标办公室</w:t>
      </w:r>
      <w:r>
        <w:rPr>
          <w:rFonts w:hint="eastAsia" w:ascii="宋体" w:hAnsi="宋体" w:eastAsia="宋体" w:cs="宋体"/>
          <w:color w:val="auto"/>
          <w:sz w:val="24"/>
          <w:szCs w:val="24"/>
        </w:rPr>
        <w:t>提交书面</w:t>
      </w:r>
      <w:r>
        <w:rPr>
          <w:rFonts w:hint="eastAsia" w:ascii="宋体" w:hAnsi="宋体" w:eastAsia="宋体" w:cs="宋体"/>
          <w:color w:val="auto"/>
          <w:sz w:val="24"/>
          <w:szCs w:val="24"/>
          <w:lang w:eastAsia="zh-CN"/>
        </w:rPr>
        <w:t>评审报告</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名单。</w:t>
      </w:r>
    </w:p>
    <w:p w14:paraId="5470B6F9">
      <w:pPr>
        <w:pStyle w:val="2"/>
        <w:pageBreakBefore w:val="0"/>
        <w:kinsoku/>
        <w:wordWrap/>
        <w:overflowPunct/>
        <w:topLinePunct w:val="0"/>
        <w:autoSpaceDE/>
        <w:autoSpaceDN/>
        <w:bidi w:val="0"/>
        <w:adjustRightInd/>
        <w:snapToGrid/>
        <w:spacing w:before="0" w:after="0" w:line="480" w:lineRule="exact"/>
        <w:ind w:left="0" w:firstLine="482" w:firstLineChars="200"/>
        <w:jc w:val="both"/>
        <w:textAlignment w:val="auto"/>
        <w:rPr>
          <w:rFonts w:hint="eastAsia" w:ascii="宋体" w:hAnsi="宋体" w:eastAsia="宋体" w:cs="宋体"/>
          <w:color w:val="auto"/>
          <w:sz w:val="24"/>
          <w:szCs w:val="24"/>
        </w:rPr>
      </w:pPr>
      <w:bookmarkStart w:id="84" w:name="_Toc33795807"/>
      <w:bookmarkStart w:id="85" w:name="_Toc9481"/>
      <w:bookmarkStart w:id="86" w:name="_Toc8518"/>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合同授予</w:t>
      </w:r>
      <w:bookmarkEnd w:id="84"/>
      <w:bookmarkEnd w:id="85"/>
      <w:bookmarkEnd w:id="86"/>
    </w:p>
    <w:p w14:paraId="5DD0CD31">
      <w:pPr>
        <w:pStyle w:val="3"/>
        <w:pageBreakBefore w:val="0"/>
        <w:kinsoku/>
        <w:wordWrap/>
        <w:overflowPunct/>
        <w:topLinePunct w:val="0"/>
        <w:autoSpaceDE/>
        <w:autoSpaceDN/>
        <w:bidi w:val="0"/>
        <w:adjustRightInd/>
        <w:snapToGrid/>
        <w:spacing w:before="0" w:after="0" w:line="480" w:lineRule="exact"/>
        <w:ind w:left="0" w:leftChars="0" w:firstLine="240" w:firstLineChars="100"/>
        <w:jc w:val="both"/>
        <w:textAlignment w:val="auto"/>
        <w:rPr>
          <w:rFonts w:hint="eastAsia" w:ascii="宋体" w:hAnsi="宋体" w:eastAsia="宋体" w:cs="宋体"/>
          <w:color w:val="auto"/>
          <w:sz w:val="24"/>
          <w:szCs w:val="24"/>
        </w:rPr>
      </w:pPr>
      <w:bookmarkStart w:id="87" w:name="_Toc16094"/>
      <w:bookmarkStart w:id="88" w:name="_Toc33795808"/>
      <w:bookmarkStart w:id="89" w:name="_Toc21093"/>
      <w:bookmarkStart w:id="90" w:name="_Toc30852"/>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公示</w:t>
      </w:r>
      <w:bookmarkEnd w:id="87"/>
      <w:bookmarkEnd w:id="88"/>
      <w:bookmarkEnd w:id="89"/>
      <w:bookmarkEnd w:id="90"/>
    </w:p>
    <w:p w14:paraId="447CDBFB">
      <w:pPr>
        <w:pageBreakBefore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lang w:val="en-US" w:eastAsia="zh-CN"/>
        </w:rPr>
        <w:t>招标办</w:t>
      </w:r>
      <w:r>
        <w:rPr>
          <w:rFonts w:hint="eastAsia" w:ascii="宋体" w:hAnsi="宋体" w:eastAsia="宋体" w:cs="宋体"/>
          <w:color w:val="auto"/>
          <w:sz w:val="24"/>
          <w:szCs w:val="24"/>
        </w:rPr>
        <w:t>收到</w:t>
      </w:r>
      <w:r>
        <w:rPr>
          <w:rFonts w:hint="eastAsia" w:ascii="宋体" w:hAnsi="宋体" w:eastAsia="宋体" w:cs="宋体"/>
          <w:color w:val="auto"/>
          <w:sz w:val="24"/>
          <w:szCs w:val="24"/>
          <w:lang w:eastAsia="zh-CN"/>
        </w:rPr>
        <w:t>评审报告</w:t>
      </w:r>
      <w:r>
        <w:rPr>
          <w:rFonts w:hint="eastAsia" w:ascii="宋体" w:hAnsi="宋体" w:eastAsia="宋体" w:cs="宋体"/>
          <w:color w:val="auto"/>
          <w:sz w:val="24"/>
          <w:szCs w:val="24"/>
        </w:rPr>
        <w:t>之日起3日内</w:t>
      </w:r>
      <w:r>
        <w:rPr>
          <w:rFonts w:hint="eastAsia" w:ascii="宋体" w:hAnsi="宋体" w:eastAsia="宋体" w:cs="宋体"/>
          <w:color w:val="auto"/>
          <w:sz w:val="24"/>
          <w:szCs w:val="24"/>
          <w:lang w:val="en-US" w:eastAsia="zh-CN"/>
        </w:rPr>
        <w:t>确定成交人</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并在陕西锌业有限公司网络采购平台www.sxxyjjpt.com公示成交候选人，公示期不少于3天</w:t>
      </w:r>
      <w:r>
        <w:rPr>
          <w:rFonts w:hint="eastAsia" w:ascii="宋体" w:hAnsi="宋体" w:eastAsia="宋体" w:cs="宋体"/>
          <w:color w:val="auto"/>
          <w:sz w:val="24"/>
          <w:szCs w:val="24"/>
        </w:rPr>
        <w:t>。</w:t>
      </w:r>
    </w:p>
    <w:p w14:paraId="536712FF">
      <w:pPr>
        <w:pStyle w:val="3"/>
        <w:pageBreakBefore w:val="0"/>
        <w:kinsoku/>
        <w:wordWrap/>
        <w:overflowPunct/>
        <w:topLinePunct w:val="0"/>
        <w:autoSpaceDE/>
        <w:autoSpaceDN/>
        <w:bidi w:val="0"/>
        <w:adjustRightInd/>
        <w:snapToGrid/>
        <w:spacing w:before="0" w:after="0" w:line="480" w:lineRule="exact"/>
        <w:ind w:left="0" w:leftChars="0" w:firstLine="240" w:firstLineChars="100"/>
        <w:jc w:val="both"/>
        <w:textAlignment w:val="auto"/>
        <w:rPr>
          <w:rFonts w:hint="eastAsia" w:ascii="宋体" w:hAnsi="宋体" w:eastAsia="宋体" w:cs="宋体"/>
          <w:color w:val="auto"/>
          <w:sz w:val="24"/>
          <w:szCs w:val="24"/>
        </w:rPr>
      </w:pPr>
      <w:bookmarkStart w:id="91" w:name="_Toc33795809"/>
      <w:bookmarkStart w:id="92" w:name="_Toc10372"/>
      <w:bookmarkStart w:id="93" w:name="_Toc19079"/>
      <w:bookmarkStart w:id="94" w:name="_Toc7018"/>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）评审结果</w:t>
      </w:r>
      <w:r>
        <w:rPr>
          <w:rFonts w:hint="eastAsia" w:ascii="宋体" w:hAnsi="宋体" w:eastAsia="宋体" w:cs="宋体"/>
          <w:color w:val="auto"/>
          <w:sz w:val="24"/>
          <w:szCs w:val="24"/>
        </w:rPr>
        <w:t>异议</w:t>
      </w:r>
      <w:bookmarkEnd w:id="91"/>
      <w:bookmarkEnd w:id="92"/>
      <w:bookmarkEnd w:id="93"/>
      <w:bookmarkEnd w:id="94"/>
    </w:p>
    <w:p w14:paraId="0201C86F">
      <w:pPr>
        <w:pageBreakBefore w:val="0"/>
        <w:kinsoku/>
        <w:wordWrap/>
        <w:overflowPunct/>
        <w:topLinePunct w:val="0"/>
        <w:autoSpaceDE/>
        <w:autoSpaceDN/>
        <w:bidi w:val="0"/>
        <w:adjustRightInd/>
        <w:snapToGrid/>
        <w:spacing w:line="48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或者其他利</w:t>
      </w:r>
      <w:bookmarkStart w:id="95" w:name="_Toc352691505"/>
      <w:bookmarkStart w:id="96" w:name="_Toc152042337"/>
      <w:bookmarkStart w:id="97" w:name="_Toc300834982"/>
      <w:bookmarkStart w:id="98" w:name="_Toc384308243"/>
      <w:bookmarkStart w:id="99" w:name="_Toc144974529"/>
      <w:bookmarkStart w:id="100" w:name="_Toc30095"/>
      <w:bookmarkStart w:id="101" w:name="_Toc247527586"/>
      <w:bookmarkStart w:id="102" w:name="_Toc247513985"/>
      <w:bookmarkStart w:id="103" w:name="_Toc152045561"/>
      <w:bookmarkStart w:id="104" w:name="_Toc369531549"/>
      <w:bookmarkStart w:id="105" w:name="_Toc361508618"/>
      <w:r>
        <w:rPr>
          <w:rFonts w:hint="eastAsia" w:ascii="宋体" w:hAnsi="宋体" w:eastAsia="宋体" w:cs="宋体"/>
          <w:color w:val="auto"/>
          <w:sz w:val="24"/>
          <w:szCs w:val="24"/>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宋体" w:hAnsi="宋体" w:eastAsia="宋体" w:cs="宋体"/>
          <w:color w:val="auto"/>
          <w:sz w:val="24"/>
          <w:szCs w:val="24"/>
          <w:lang w:eastAsia="zh-CN"/>
        </w:rPr>
        <w:t>评审结果</w:t>
      </w:r>
      <w:r>
        <w:rPr>
          <w:rFonts w:hint="eastAsia" w:ascii="宋体" w:hAnsi="宋体" w:eastAsia="宋体" w:cs="宋体"/>
          <w:color w:val="auto"/>
          <w:sz w:val="24"/>
          <w:szCs w:val="24"/>
        </w:rPr>
        <w:t>有异议的，应当在</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公示期间提出。</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在收到异议之日起3日内</w:t>
      </w:r>
      <w:r>
        <w:rPr>
          <w:rFonts w:hint="eastAsia" w:ascii="宋体" w:hAnsi="宋体" w:eastAsia="宋体" w:cs="宋体"/>
          <w:color w:val="auto"/>
          <w:sz w:val="24"/>
          <w:szCs w:val="24"/>
          <w:lang w:val="en-US" w:eastAsia="zh-CN"/>
        </w:rPr>
        <w:t>对异议</w:t>
      </w:r>
      <w:r>
        <w:rPr>
          <w:rFonts w:hint="eastAsia" w:ascii="宋体" w:hAnsi="宋体" w:eastAsia="宋体" w:cs="宋体"/>
          <w:color w:val="auto"/>
          <w:sz w:val="24"/>
          <w:szCs w:val="24"/>
        </w:rPr>
        <w:t>作出答复；作出答复前，将暂停</w:t>
      </w:r>
    </w:p>
    <w:p w14:paraId="701F7834">
      <w:pPr>
        <w:pageBreakBefore w:val="0"/>
        <w:kinsoku/>
        <w:wordWrap/>
        <w:overflowPunct/>
        <w:topLinePunct w:val="0"/>
        <w:autoSpaceDE/>
        <w:autoSpaceDN/>
        <w:bidi w:val="0"/>
        <w:snapToGrid/>
        <w:spacing w:line="500" w:lineRule="exact"/>
        <w:jc w:val="both"/>
        <w:rPr>
          <w:rFonts w:hint="eastAsia" w:ascii="宋体" w:hAnsi="宋体" w:eastAsia="宋体" w:cs="宋体"/>
          <w:color w:val="auto"/>
          <w:sz w:val="24"/>
          <w:szCs w:val="24"/>
          <w:lang w:val="en-US" w:eastAsia="zh-CN"/>
        </w:rPr>
      </w:pPr>
    </w:p>
    <w:p w14:paraId="386CD983">
      <w:pPr>
        <w:pageBreakBefore w:val="0"/>
        <w:kinsoku/>
        <w:wordWrap/>
        <w:overflowPunct/>
        <w:topLinePunct w:val="0"/>
        <w:autoSpaceDE/>
        <w:autoSpaceDN/>
        <w:bidi w:val="0"/>
        <w:snapToGrid/>
        <w:spacing w:line="5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活动。</w:t>
      </w:r>
    </w:p>
    <w:p w14:paraId="6516C05B">
      <w:pPr>
        <w:pStyle w:val="3"/>
        <w:pageBreakBefore w:val="0"/>
        <w:kinsoku/>
        <w:wordWrap/>
        <w:overflowPunct/>
        <w:topLinePunct w:val="0"/>
        <w:autoSpaceDE/>
        <w:autoSpaceDN/>
        <w:bidi w:val="0"/>
        <w:snapToGrid/>
        <w:spacing w:before="0" w:after="0" w:line="500" w:lineRule="exact"/>
        <w:ind w:left="0" w:leftChars="0" w:firstLine="240" w:firstLineChars="100"/>
        <w:jc w:val="both"/>
        <w:rPr>
          <w:rFonts w:hint="eastAsia" w:ascii="宋体" w:hAnsi="宋体" w:eastAsia="宋体" w:cs="宋体"/>
          <w:color w:val="auto"/>
          <w:sz w:val="24"/>
          <w:szCs w:val="24"/>
        </w:rPr>
      </w:pPr>
      <w:bookmarkStart w:id="106" w:name="_Toc28756"/>
      <w:bookmarkStart w:id="107" w:name="_Toc21648"/>
      <w:bookmarkStart w:id="108" w:name="_Toc25590"/>
      <w:bookmarkStart w:id="109" w:name="_Toc33795810"/>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50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的经营、财务状况发生较大变化或存在违法行为，</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认为可能影响其履约能力的，</w:t>
      </w:r>
      <w:r>
        <w:rPr>
          <w:rFonts w:hint="eastAsia" w:ascii="宋体" w:hAnsi="宋体" w:eastAsia="宋体" w:cs="宋体"/>
          <w:color w:val="auto"/>
          <w:sz w:val="24"/>
          <w:szCs w:val="24"/>
          <w:lang w:val="en-US" w:eastAsia="zh-CN"/>
        </w:rPr>
        <w:t>采购人招标办公室</w:t>
      </w:r>
      <w:r>
        <w:rPr>
          <w:rFonts w:hint="eastAsia" w:ascii="宋体" w:hAnsi="宋体" w:eastAsia="宋体" w:cs="宋体"/>
          <w:color w:val="auto"/>
          <w:sz w:val="24"/>
          <w:szCs w:val="24"/>
        </w:rPr>
        <w:t>将在发出</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通知书前提请原</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按照</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规定的标准和方法进行审查和确认。</w:t>
      </w:r>
    </w:p>
    <w:p w14:paraId="37470340">
      <w:pPr>
        <w:pStyle w:val="3"/>
        <w:pageBreakBefore w:val="0"/>
        <w:kinsoku/>
        <w:wordWrap/>
        <w:overflowPunct/>
        <w:topLinePunct w:val="0"/>
        <w:autoSpaceDE/>
        <w:autoSpaceDN/>
        <w:bidi w:val="0"/>
        <w:snapToGrid/>
        <w:spacing w:before="0" w:after="0" w:line="500" w:lineRule="exact"/>
        <w:ind w:left="0" w:leftChars="0" w:firstLine="240" w:firstLineChars="100"/>
        <w:jc w:val="both"/>
        <w:rPr>
          <w:rFonts w:hint="eastAsia" w:ascii="宋体" w:hAnsi="宋体" w:eastAsia="宋体" w:cs="宋体"/>
          <w:color w:val="auto"/>
          <w:sz w:val="24"/>
          <w:szCs w:val="24"/>
          <w:lang w:val="en-US"/>
        </w:rPr>
      </w:pPr>
      <w:bookmarkStart w:id="110" w:name="_Toc2191"/>
      <w:bookmarkStart w:id="111" w:name="_Toc33795811"/>
      <w:bookmarkStart w:id="112" w:name="_Toc24665"/>
      <w:bookmarkStart w:id="113" w:name="_Toc19470"/>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w:t>
      </w:r>
      <w:bookmarkEnd w:id="110"/>
      <w:bookmarkEnd w:id="111"/>
      <w:bookmarkEnd w:id="112"/>
      <w:bookmarkEnd w:id="113"/>
      <w:r>
        <w:rPr>
          <w:rFonts w:hint="eastAsia" w:ascii="宋体" w:hAnsi="宋体" w:eastAsia="宋体" w:cs="宋体"/>
          <w:color w:val="auto"/>
          <w:sz w:val="24"/>
          <w:szCs w:val="24"/>
          <w:lang w:val="en-US" w:eastAsia="zh-CN"/>
        </w:rPr>
        <w:t>确定成交人</w:t>
      </w:r>
    </w:p>
    <w:p w14:paraId="32C19CEE">
      <w:pPr>
        <w:pageBreakBefore w:val="0"/>
        <w:kinsoku/>
        <w:wordWrap/>
        <w:overflowPunct/>
        <w:topLinePunct w:val="0"/>
        <w:autoSpaceDE/>
        <w:autoSpaceDN/>
        <w:bidi w:val="0"/>
        <w:snapToGrid/>
        <w:spacing w:line="50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lang w:val="en-US" w:eastAsia="zh-CN"/>
        </w:rPr>
        <w:t>单位履行内部审批程序，根据</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lang w:val="en-US" w:eastAsia="zh-CN"/>
        </w:rPr>
        <w:t>的评审报告及成交人候选人名单</w:t>
      </w:r>
      <w:r>
        <w:rPr>
          <w:rFonts w:hint="eastAsia" w:ascii="宋体" w:hAnsi="宋体" w:eastAsia="宋体" w:cs="宋体"/>
          <w:color w:val="auto"/>
          <w:sz w:val="24"/>
          <w:szCs w:val="24"/>
        </w:rPr>
        <w:t>确定</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w:t>
      </w:r>
    </w:p>
    <w:p w14:paraId="7115E858">
      <w:pPr>
        <w:pStyle w:val="3"/>
        <w:pageBreakBefore w:val="0"/>
        <w:kinsoku/>
        <w:wordWrap/>
        <w:overflowPunct/>
        <w:topLinePunct w:val="0"/>
        <w:autoSpaceDE/>
        <w:autoSpaceDN/>
        <w:bidi w:val="0"/>
        <w:snapToGrid/>
        <w:spacing w:before="0" w:after="0" w:line="500" w:lineRule="exact"/>
        <w:ind w:left="0" w:leftChars="0" w:firstLine="240" w:firstLineChars="100"/>
        <w:jc w:val="both"/>
        <w:rPr>
          <w:rFonts w:hint="eastAsia" w:ascii="宋体" w:hAnsi="宋体" w:eastAsia="宋体" w:cs="宋体"/>
          <w:color w:val="auto"/>
          <w:sz w:val="24"/>
          <w:szCs w:val="24"/>
        </w:rPr>
      </w:pPr>
      <w:bookmarkStart w:id="114" w:name="_Toc10813"/>
      <w:bookmarkStart w:id="115" w:name="_Toc33795812"/>
      <w:bookmarkStart w:id="116" w:name="_Toc6928"/>
      <w:bookmarkStart w:id="117" w:name="_Toc31681"/>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w:t>
      </w:r>
      <w:bookmarkEnd w:id="114"/>
      <w:bookmarkEnd w:id="115"/>
      <w:bookmarkEnd w:id="116"/>
      <w:bookmarkEnd w:id="117"/>
    </w:p>
    <w:p w14:paraId="3F599C4C">
      <w:pPr>
        <w:pageBreakBefore w:val="0"/>
        <w:kinsoku/>
        <w:wordWrap/>
        <w:overflowPunct/>
        <w:topLinePunct w:val="0"/>
        <w:autoSpaceDE/>
        <w:autoSpaceDN/>
        <w:bidi w:val="0"/>
        <w:snapToGrid/>
        <w:spacing w:line="50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内，</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lang w:val="en-US" w:eastAsia="zh-CN"/>
        </w:rPr>
        <w:t>采购主责部门</w:t>
      </w:r>
      <w:r>
        <w:rPr>
          <w:rFonts w:hint="eastAsia" w:ascii="宋体" w:hAnsi="宋体" w:eastAsia="宋体" w:cs="宋体"/>
          <w:color w:val="auto"/>
          <w:sz w:val="24"/>
          <w:szCs w:val="24"/>
        </w:rPr>
        <w:t>以书面形式向</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人发出</w:t>
      </w:r>
      <w:bookmarkStart w:id="118" w:name="_Toc369531550"/>
      <w:bookmarkStart w:id="119" w:name="_Toc352691506"/>
      <w:bookmarkStart w:id="120" w:name="_Toc5668"/>
      <w:bookmarkStart w:id="121" w:name="_Toc384308244"/>
      <w:bookmarkStart w:id="122" w:name="_Toc300834983"/>
      <w:bookmarkStart w:id="123" w:name="_Toc361508619"/>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通知书，同时将</w:t>
      </w:r>
      <w:bookmarkEnd w:id="118"/>
      <w:bookmarkEnd w:id="119"/>
      <w:bookmarkEnd w:id="120"/>
      <w:bookmarkEnd w:id="121"/>
      <w:bookmarkEnd w:id="122"/>
      <w:bookmarkEnd w:id="123"/>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结果通知未</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供应商。</w:t>
      </w:r>
    </w:p>
    <w:p w14:paraId="1D715526">
      <w:pPr>
        <w:pStyle w:val="3"/>
        <w:pageBreakBefore w:val="0"/>
        <w:kinsoku/>
        <w:wordWrap/>
        <w:overflowPunct/>
        <w:topLinePunct w:val="0"/>
        <w:autoSpaceDE/>
        <w:autoSpaceDN/>
        <w:bidi w:val="0"/>
        <w:snapToGrid/>
        <w:spacing w:before="0" w:after="0" w:line="500" w:lineRule="exact"/>
        <w:ind w:left="0" w:leftChars="0" w:firstLine="240" w:firstLineChars="100"/>
        <w:jc w:val="both"/>
        <w:rPr>
          <w:rFonts w:hint="eastAsia" w:ascii="宋体" w:hAnsi="宋体" w:eastAsia="宋体" w:cs="宋体"/>
          <w:color w:val="auto"/>
          <w:sz w:val="24"/>
          <w:szCs w:val="24"/>
        </w:rPr>
      </w:pPr>
      <w:bookmarkStart w:id="124" w:name="_Toc33795813"/>
      <w:bookmarkStart w:id="125" w:name="_Toc4342"/>
      <w:bookmarkStart w:id="126" w:name="_Toc21613"/>
      <w:bookmarkStart w:id="127" w:name="_Toc30705"/>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履约担保</w:t>
      </w:r>
      <w:bookmarkEnd w:id="124"/>
      <w:bookmarkEnd w:id="125"/>
      <w:bookmarkEnd w:id="126"/>
      <w:bookmarkEnd w:id="127"/>
    </w:p>
    <w:p w14:paraId="6AD00B73">
      <w:pPr>
        <w:pageBreakBefore w:val="0"/>
        <w:kinsoku/>
        <w:wordWrap/>
        <w:overflowPunct/>
        <w:topLinePunct w:val="0"/>
        <w:autoSpaceDE/>
        <w:autoSpaceDN/>
        <w:bidi w:val="0"/>
        <w:snapToGrid/>
        <w:spacing w:line="50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人应</w:t>
      </w:r>
      <w:r>
        <w:rPr>
          <w:rFonts w:hint="eastAsia" w:ascii="宋体" w:hAnsi="宋体" w:eastAsia="宋体" w:cs="宋体"/>
          <w:color w:val="auto"/>
          <w:sz w:val="24"/>
          <w:szCs w:val="24"/>
          <w:lang w:val="en-US" w:eastAsia="zh-CN"/>
        </w:rPr>
        <w:t>按合同金额的10%以担保函或转账形式在收到成交通知后3日内</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提交履约担保。</w:t>
      </w:r>
    </w:p>
    <w:p w14:paraId="414205BC">
      <w:pPr>
        <w:pageBreakBefore w:val="0"/>
        <w:kinsoku/>
        <w:wordWrap/>
        <w:overflowPunct/>
        <w:topLinePunct w:val="0"/>
        <w:autoSpaceDE/>
        <w:autoSpaceDN/>
        <w:bidi w:val="0"/>
        <w:snapToGrid/>
        <w:spacing w:line="50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人不能按</w:t>
      </w:r>
      <w:r>
        <w:rPr>
          <w:rFonts w:hint="eastAsia" w:ascii="宋体" w:hAnsi="宋体" w:eastAsia="宋体" w:cs="宋体"/>
          <w:color w:val="auto"/>
          <w:sz w:val="24"/>
          <w:szCs w:val="24"/>
          <w:lang w:val="en-US" w:eastAsia="zh-CN"/>
        </w:rPr>
        <w:t>前述</w:t>
      </w:r>
      <w:r>
        <w:rPr>
          <w:rFonts w:hint="eastAsia" w:ascii="宋体" w:hAnsi="宋体" w:eastAsia="宋体" w:cs="宋体"/>
          <w:color w:val="auto"/>
          <w:sz w:val="24"/>
          <w:szCs w:val="24"/>
        </w:rPr>
        <w:t>要求提交履约担保的，视为放弃</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，其</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不予退还，给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造成的损失超</w:t>
      </w:r>
      <w:r>
        <w:rPr>
          <w:rFonts w:hint="eastAsia" w:ascii="宋体" w:hAnsi="宋体" w:eastAsia="宋体" w:cs="宋体"/>
          <w:color w:val="auto"/>
          <w:sz w:val="24"/>
          <w:szCs w:val="24"/>
          <w:lang w:val="en-US" w:eastAsia="zh-CN"/>
        </w:rPr>
        <w:t>出</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数额的，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人还应当对超</w:t>
      </w:r>
      <w:r>
        <w:rPr>
          <w:rFonts w:hint="eastAsia" w:ascii="宋体" w:hAnsi="宋体" w:eastAsia="宋体" w:cs="宋体"/>
          <w:color w:val="auto"/>
          <w:sz w:val="24"/>
          <w:szCs w:val="24"/>
          <w:lang w:val="en-US" w:eastAsia="zh-CN"/>
        </w:rPr>
        <w:t>出</w:t>
      </w:r>
      <w:r>
        <w:rPr>
          <w:rFonts w:hint="eastAsia" w:ascii="宋体" w:hAnsi="宋体" w:eastAsia="宋体" w:cs="宋体"/>
          <w:color w:val="auto"/>
          <w:sz w:val="24"/>
          <w:szCs w:val="24"/>
        </w:rPr>
        <w:t>部分予以赔偿。</w:t>
      </w:r>
    </w:p>
    <w:p w14:paraId="29BA9A4D">
      <w:pPr>
        <w:pStyle w:val="3"/>
        <w:pageBreakBefore w:val="0"/>
        <w:kinsoku/>
        <w:wordWrap/>
        <w:overflowPunct/>
        <w:topLinePunct w:val="0"/>
        <w:autoSpaceDE/>
        <w:autoSpaceDN/>
        <w:bidi w:val="0"/>
        <w:snapToGrid/>
        <w:spacing w:before="0" w:after="0" w:line="500" w:lineRule="exact"/>
        <w:ind w:left="0" w:leftChars="0" w:firstLine="240" w:firstLineChars="100"/>
        <w:jc w:val="both"/>
        <w:rPr>
          <w:rFonts w:hint="eastAsia" w:ascii="宋体" w:hAnsi="宋体" w:eastAsia="宋体" w:cs="宋体"/>
          <w:color w:val="auto"/>
          <w:sz w:val="24"/>
          <w:szCs w:val="24"/>
        </w:rPr>
      </w:pPr>
      <w:bookmarkStart w:id="128" w:name="_Toc14362"/>
      <w:bookmarkStart w:id="129" w:name="_Toc11183"/>
      <w:bookmarkStart w:id="130" w:name="_Toc33795814"/>
      <w:bookmarkStart w:id="131" w:name="_Toc3671"/>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签订合同</w:t>
      </w:r>
      <w:bookmarkEnd w:id="128"/>
      <w:bookmarkEnd w:id="129"/>
      <w:bookmarkEnd w:id="130"/>
      <w:bookmarkEnd w:id="131"/>
    </w:p>
    <w:p w14:paraId="5CAEA863">
      <w:pPr>
        <w:pageBreakBefore w:val="0"/>
        <w:kinsoku/>
        <w:wordWrap/>
        <w:overflowPunct/>
        <w:topLinePunct w:val="0"/>
        <w:autoSpaceDE/>
        <w:autoSpaceDN/>
        <w:bidi w:val="0"/>
        <w:snapToGrid/>
        <w:spacing w:line="50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应当在</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内，且在自</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通知书发出之日起</w:t>
      </w:r>
      <w:bookmarkStart w:id="132" w:name="_Toc352691509"/>
      <w:bookmarkStart w:id="133" w:name="_Toc247513988"/>
      <w:bookmarkStart w:id="134" w:name="_Toc361508622"/>
      <w:bookmarkStart w:id="135" w:name="_Toc247527589"/>
      <w:bookmarkStart w:id="136" w:name="_Toc144974532"/>
      <w:bookmarkStart w:id="137" w:name="_Toc369531553"/>
      <w:bookmarkStart w:id="138" w:name="_Toc4656"/>
      <w:bookmarkStart w:id="139" w:name="_Toc300834986"/>
      <w:bookmarkStart w:id="140" w:name="_Toc152045564"/>
      <w:bookmarkStart w:id="141" w:name="_Toc384308247"/>
      <w:bookmarkStart w:id="142" w:name="_Toc152042340"/>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订立书面合同。</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人无正</w:t>
      </w:r>
      <w:bookmarkStart w:id="143" w:name="_Toc18247"/>
      <w:bookmarkStart w:id="144" w:name="_Toc361508623"/>
      <w:bookmarkStart w:id="145" w:name="_Toc384308248"/>
      <w:bookmarkStart w:id="146" w:name="_Toc247513989"/>
      <w:bookmarkStart w:id="147" w:name="_Toc352691510"/>
      <w:bookmarkStart w:id="148" w:name="_Toc144974533"/>
      <w:bookmarkStart w:id="149" w:name="_Toc152042341"/>
      <w:bookmarkStart w:id="150" w:name="_Toc152045565"/>
      <w:bookmarkStart w:id="151" w:name="_Toc300834987"/>
      <w:bookmarkStart w:id="152" w:name="_Toc247527590"/>
      <w:bookmarkStart w:id="153" w:name="_Toc369531554"/>
      <w:r>
        <w:rPr>
          <w:rFonts w:hint="eastAsia" w:ascii="宋体" w:hAnsi="宋体" w:eastAsia="宋体" w:cs="宋体"/>
          <w:color w:val="auto"/>
          <w:sz w:val="24"/>
          <w:szCs w:val="24"/>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宋体" w:hAnsi="宋体" w:eastAsia="宋体" w:cs="宋体"/>
          <w:color w:val="auto"/>
          <w:sz w:val="24"/>
          <w:szCs w:val="24"/>
        </w:rPr>
        <w:t>同，或者提出其他附加条件的，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有权取消其</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资格，其</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不予退还；给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造成的损失超</w:t>
      </w:r>
      <w:r>
        <w:rPr>
          <w:rFonts w:hint="eastAsia" w:ascii="宋体" w:hAnsi="宋体" w:eastAsia="宋体" w:cs="宋体"/>
          <w:color w:val="auto"/>
          <w:sz w:val="24"/>
          <w:szCs w:val="24"/>
          <w:lang w:val="en-US" w:eastAsia="zh-CN"/>
        </w:rPr>
        <w:t>出</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数额的，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还应当对超</w:t>
      </w:r>
      <w:r>
        <w:rPr>
          <w:rFonts w:hint="eastAsia" w:ascii="宋体" w:hAnsi="宋体" w:eastAsia="宋体" w:cs="宋体"/>
          <w:color w:val="auto"/>
          <w:sz w:val="24"/>
          <w:szCs w:val="24"/>
          <w:lang w:val="en-US" w:eastAsia="zh-CN"/>
        </w:rPr>
        <w:t>出</w:t>
      </w:r>
      <w:r>
        <w:rPr>
          <w:rFonts w:hint="eastAsia" w:ascii="宋体" w:hAnsi="宋体" w:eastAsia="宋体" w:cs="宋体"/>
          <w:color w:val="auto"/>
          <w:sz w:val="24"/>
          <w:szCs w:val="24"/>
        </w:rPr>
        <w:t>部分予以赔偿。</w:t>
      </w:r>
    </w:p>
    <w:p w14:paraId="40DECB45">
      <w:pPr>
        <w:pageBreakBefore w:val="0"/>
        <w:kinsoku/>
        <w:wordWrap/>
        <w:overflowPunct/>
        <w:topLinePunct w:val="0"/>
        <w:autoSpaceDE/>
        <w:autoSpaceDN/>
        <w:bidi w:val="0"/>
        <w:snapToGrid/>
        <w:spacing w:line="50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无正当理由拒签合同的，或者提出其他附加条件的，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人退还</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；给</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人造成损失的，还应当赔偿损失。</w:t>
      </w:r>
      <w:bookmarkStart w:id="154" w:name="_Toc361508627"/>
      <w:bookmarkStart w:id="155" w:name="_Toc384308252"/>
      <w:bookmarkStart w:id="156" w:name="_Toc24067"/>
      <w:bookmarkStart w:id="157" w:name="_Toc247513992"/>
      <w:bookmarkStart w:id="158" w:name="_Toc247527593"/>
      <w:bookmarkStart w:id="159" w:name="_Toc152045568"/>
      <w:bookmarkStart w:id="160" w:name="_Toc300834991"/>
      <w:bookmarkStart w:id="161" w:name="_Toc152042344"/>
      <w:bookmarkStart w:id="162" w:name="_Toc144974536"/>
    </w:p>
    <w:bookmarkEnd w:id="154"/>
    <w:bookmarkEnd w:id="155"/>
    <w:bookmarkEnd w:id="156"/>
    <w:p w14:paraId="5C60697D">
      <w:pPr>
        <w:pStyle w:val="2"/>
        <w:pageBreakBefore w:val="0"/>
        <w:kinsoku/>
        <w:wordWrap/>
        <w:overflowPunct/>
        <w:topLinePunct w:val="0"/>
        <w:autoSpaceDE/>
        <w:autoSpaceDN/>
        <w:bidi w:val="0"/>
        <w:snapToGrid/>
        <w:spacing w:before="0" w:after="0" w:line="500" w:lineRule="exact"/>
        <w:ind w:left="0" w:firstLine="482" w:firstLineChars="200"/>
        <w:jc w:val="both"/>
        <w:rPr>
          <w:rFonts w:hint="eastAsia" w:ascii="宋体" w:hAnsi="宋体" w:eastAsia="宋体" w:cs="宋体"/>
          <w:color w:val="auto"/>
          <w:sz w:val="24"/>
          <w:szCs w:val="24"/>
        </w:rPr>
      </w:pPr>
      <w:bookmarkStart w:id="163" w:name="_Toc25347"/>
      <w:bookmarkStart w:id="164" w:name="_Toc33795815"/>
      <w:bookmarkStart w:id="165" w:name="_Toc14752"/>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纪律和监督</w:t>
      </w:r>
      <w:bookmarkEnd w:id="163"/>
      <w:bookmarkEnd w:id="164"/>
      <w:bookmarkEnd w:id="165"/>
    </w:p>
    <w:p w14:paraId="4FC2A52B">
      <w:pPr>
        <w:pageBreakBefore w:val="0"/>
        <w:kinsoku/>
        <w:wordWrap/>
        <w:overflowPunct/>
        <w:topLinePunct w:val="0"/>
        <w:autoSpaceDE/>
        <w:autoSpaceDN/>
        <w:bidi w:val="0"/>
        <w:snapToGrid/>
        <w:spacing w:line="50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不得相互串通</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或者与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串通</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，不得向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或者</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成员行贿谋取</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，不得以他人名义</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或者以其他方式弄虚作假骗取</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不得以任何方式干扰、影响评标工作。</w:t>
      </w:r>
    </w:p>
    <w:p w14:paraId="6F9A454E">
      <w:pPr>
        <w:pageBreakBefore w:val="0"/>
        <w:kinsoku/>
        <w:wordWrap/>
        <w:overflowPunct/>
        <w:topLinePunct w:val="0"/>
        <w:autoSpaceDE/>
        <w:autoSpaceDN/>
        <w:bidi w:val="0"/>
        <w:snapToGrid/>
        <w:spacing w:line="50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成员</w:t>
      </w:r>
      <w:r>
        <w:rPr>
          <w:rFonts w:hint="eastAsia" w:ascii="宋体" w:hAnsi="宋体" w:eastAsia="宋体" w:cs="宋体"/>
          <w:color w:val="auto"/>
          <w:sz w:val="24"/>
          <w:szCs w:val="24"/>
          <w:lang w:val="en-US" w:eastAsia="zh-CN"/>
        </w:rPr>
        <w:t>及相关工作人员</w:t>
      </w:r>
      <w:r>
        <w:rPr>
          <w:rFonts w:hint="eastAsia" w:ascii="宋体" w:hAnsi="宋体" w:eastAsia="宋体" w:cs="宋体"/>
          <w:color w:val="auto"/>
          <w:sz w:val="24"/>
          <w:szCs w:val="24"/>
        </w:rPr>
        <w:t>不得收受他人的财物或者其他好处，不得向他人透露对</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的评审</w:t>
      </w:r>
      <w:bookmarkStart w:id="166" w:name="_Toc369531559"/>
      <w:bookmarkStart w:id="167" w:name="_Toc384308253"/>
      <w:bookmarkStart w:id="168" w:name="_Toc13644"/>
      <w:bookmarkStart w:id="169" w:name="_Toc361508628"/>
      <w:bookmarkStart w:id="170" w:name="_Toc352691515"/>
      <w:r>
        <w:rPr>
          <w:rFonts w:hint="eastAsia" w:ascii="宋体" w:hAnsi="宋体" w:eastAsia="宋体" w:cs="宋体"/>
          <w:color w:val="auto"/>
          <w:sz w:val="24"/>
          <w:szCs w:val="24"/>
        </w:rPr>
        <w:t>和比较、</w:t>
      </w:r>
      <w:bookmarkEnd w:id="157"/>
      <w:bookmarkEnd w:id="158"/>
      <w:bookmarkEnd w:id="159"/>
      <w:bookmarkEnd w:id="160"/>
      <w:bookmarkEnd w:id="161"/>
      <w:bookmarkEnd w:id="162"/>
      <w:bookmarkEnd w:id="166"/>
      <w:bookmarkEnd w:id="167"/>
      <w:bookmarkEnd w:id="168"/>
      <w:bookmarkEnd w:id="169"/>
      <w:bookmarkEnd w:id="170"/>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的推荐情况以及评标有关的其他情况。在</w:t>
      </w:r>
      <w:r>
        <w:rPr>
          <w:rFonts w:hint="eastAsia" w:ascii="宋体" w:hAnsi="宋体" w:eastAsia="宋体" w:cs="宋体"/>
          <w:color w:val="auto"/>
          <w:sz w:val="24"/>
          <w:szCs w:val="24"/>
          <w:lang w:eastAsia="zh-CN"/>
        </w:rPr>
        <w:t>评审活动</w:t>
      </w:r>
      <w:r>
        <w:rPr>
          <w:rFonts w:hint="eastAsia" w:ascii="宋体" w:hAnsi="宋体" w:eastAsia="宋体" w:cs="宋体"/>
          <w:color w:val="auto"/>
          <w:sz w:val="24"/>
          <w:szCs w:val="24"/>
        </w:rPr>
        <w:t>中，</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成员应当客观、公正地履行职责，遵守职业道德，不得擅离职守，影响评</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rPr>
        <w:t>程序正常进行，不得使用“</w:t>
      </w:r>
      <w:r>
        <w:rPr>
          <w:rFonts w:hint="eastAsia" w:ascii="宋体" w:hAnsi="宋体" w:eastAsia="宋体" w:cs="宋体"/>
          <w:color w:val="auto"/>
          <w:sz w:val="24"/>
          <w:szCs w:val="24"/>
          <w:lang w:eastAsia="zh-CN"/>
        </w:rPr>
        <w:t>评审办法</w:t>
      </w:r>
      <w:r>
        <w:rPr>
          <w:rFonts w:hint="eastAsia" w:ascii="宋体" w:hAnsi="宋体" w:eastAsia="宋体" w:cs="宋体"/>
          <w:color w:val="auto"/>
          <w:sz w:val="24"/>
          <w:szCs w:val="24"/>
        </w:rPr>
        <w:t>”没有规定的评审因素和标准进行评</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rPr>
        <w:t>。</w:t>
      </w:r>
    </w:p>
    <w:p w14:paraId="240F81DF">
      <w:pPr>
        <w:pStyle w:val="3"/>
        <w:pageBreakBefore w:val="0"/>
        <w:numPr>
          <w:ilvl w:val="0"/>
          <w:numId w:val="0"/>
        </w:numPr>
        <w:kinsoku/>
        <w:wordWrap/>
        <w:overflowPunct/>
        <w:topLinePunct w:val="0"/>
        <w:autoSpaceDE/>
        <w:autoSpaceDN/>
        <w:bidi w:val="0"/>
        <w:snapToGrid/>
        <w:spacing w:before="0" w:after="0" w:line="500" w:lineRule="exact"/>
        <w:ind w:left="0" w:firstLine="480" w:firstLineChars="200"/>
        <w:jc w:val="both"/>
        <w:rPr>
          <w:rFonts w:hint="eastAsia" w:ascii="宋体" w:hAnsi="宋体" w:eastAsia="宋体" w:cs="宋体"/>
          <w:color w:val="auto"/>
          <w:sz w:val="24"/>
          <w:szCs w:val="24"/>
        </w:rPr>
      </w:pPr>
      <w:bookmarkStart w:id="171" w:name="_Toc33795820"/>
      <w:bookmarkStart w:id="172" w:name="_Toc22294"/>
      <w:bookmarkStart w:id="173" w:name="_Toc18070"/>
      <w:bookmarkStart w:id="174" w:name="_Toc24957"/>
      <w:r>
        <w:rPr>
          <w:rFonts w:hint="eastAsia" w:ascii="宋体" w:hAnsi="宋体" w:eastAsia="宋体" w:cs="宋体"/>
          <w:color w:val="auto"/>
          <w:sz w:val="24"/>
          <w:szCs w:val="24"/>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宋体" w:hAnsi="宋体" w:eastAsia="宋体" w:cs="宋体"/>
          <w:color w:val="auto"/>
          <w:kern w:val="0"/>
          <w:sz w:val="24"/>
          <w:szCs w:val="24"/>
          <w:highlight w:val="none"/>
          <w:lang w:val="en-US" w:eastAsia="zh-CN" w:bidi="ar"/>
        </w:rPr>
        <w:t>规定</w:t>
      </w:r>
      <w:r>
        <w:rPr>
          <w:rFonts w:hint="eastAsia" w:ascii="宋体" w:hAnsi="宋体" w:eastAsia="宋体" w:cs="宋体"/>
          <w:color w:val="auto"/>
          <w:kern w:val="0"/>
          <w:sz w:val="24"/>
          <w:szCs w:val="24"/>
          <w:lang w:val="en-US" w:eastAsia="zh-CN" w:bidi="ar"/>
        </w:rPr>
        <w:t>的，招标办应及时予以改正或补救。</w:t>
      </w:r>
    </w:p>
    <w:p w14:paraId="14D21383">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color w:val="auto"/>
          <w:kern w:val="0"/>
          <w:sz w:val="24"/>
          <w:szCs w:val="24"/>
          <w:lang w:val="en-US" w:eastAsia="zh-CN" w:bidi="ar"/>
        </w:rPr>
      </w:pPr>
    </w:p>
    <w:p w14:paraId="582C5FB4">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color w:val="auto"/>
          <w:kern w:val="0"/>
          <w:sz w:val="24"/>
          <w:szCs w:val="24"/>
          <w:lang w:val="en-US" w:eastAsia="zh-CN" w:bidi="ar"/>
        </w:rPr>
      </w:pPr>
    </w:p>
    <w:p w14:paraId="732B8BAB">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4800" w:firstLineChars="2000"/>
        <w:jc w:val="both"/>
        <w:rPr>
          <w:rFonts w:hint="eastAsia" w:ascii="宋体" w:hAnsi="宋体" w:eastAsia="宋体" w:cs="宋体"/>
          <w:color w:val="auto"/>
          <w:kern w:val="0"/>
          <w:sz w:val="24"/>
          <w:szCs w:val="24"/>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4800" w:firstLineChars="20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500" w:lineRule="exact"/>
        <w:ind w:firstLine="4800" w:firstLineChars="20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2025年6月9日</w:t>
      </w:r>
    </w:p>
    <w:p w14:paraId="09DD35AC">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p>
    <w:p w14:paraId="7F5F69B0">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099240B6">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4F70F7CB">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7667630">
      <w:pPr>
        <w:spacing w:line="400" w:lineRule="exact"/>
        <w:rPr>
          <w:rFonts w:hint="eastAsia" w:ascii="仿宋" w:hAnsi="仿宋" w:eastAsia="仿宋" w:cs="仿宋"/>
          <w:color w:val="auto"/>
          <w:sz w:val="32"/>
          <w:szCs w:val="32"/>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XB20250530-15</w:t>
      </w: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2025年6月聚丙烯酰胺二次询</w:t>
      </w:r>
      <w:r>
        <w:rPr>
          <w:rStyle w:val="11"/>
          <w:rFonts w:hint="eastAsia" w:ascii="方正粗黑宋简体" w:hAnsi="方正粗黑宋简体" w:eastAsia="方正粗黑宋简体" w:cs="方正粗黑宋简体"/>
          <w:i w:val="0"/>
          <w:iCs w:val="0"/>
          <w:caps w:val="0"/>
          <w:color w:val="000000"/>
          <w:spacing w:val="0"/>
          <w:sz w:val="36"/>
          <w:szCs w:val="36"/>
        </w:rPr>
        <w:t>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69531698"/>
      <w:bookmarkStart w:id="182" w:name="_Toc27897"/>
      <w:bookmarkStart w:id="183"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247527829"/>
      <w:bookmarkStart w:id="185" w:name="_Toc352691663"/>
      <w:bookmarkStart w:id="186" w:name="_Toc361508754"/>
      <w:bookmarkStart w:id="187" w:name="_Toc152042578"/>
      <w:bookmarkStart w:id="188" w:name="_Toc144974858"/>
      <w:bookmarkStart w:id="189" w:name="_Toc384308377"/>
      <w:bookmarkStart w:id="190" w:name="_Toc247514248"/>
      <w:bookmarkStart w:id="191" w:name="_Toc15573"/>
      <w:bookmarkStart w:id="192" w:name="_Toc152045789"/>
      <w:bookmarkStart w:id="193" w:name="_Toc300835211"/>
      <w:bookmarkStart w:id="194" w:name="_Toc369531699"/>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504488775"/>
      <w:bookmarkStart w:id="201" w:name="_Toc175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pPr w:leftFromText="180" w:rightFromText="180" w:vertAnchor="page" w:horzAnchor="page" w:tblpX="1447" w:tblpY="4159"/>
        <w:tblOverlap w:val="never"/>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1716"/>
        <w:gridCol w:w="2466"/>
        <w:gridCol w:w="1356"/>
        <w:gridCol w:w="1464"/>
        <w:gridCol w:w="1596"/>
      </w:tblGrid>
      <w:tr w14:paraId="1808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577" w:type="dxa"/>
            <w:tcBorders>
              <w:top w:val="single" w:color="000000" w:sz="4" w:space="0"/>
              <w:left w:val="single" w:color="000000" w:sz="4" w:space="0"/>
              <w:bottom w:val="single" w:color="auto" w:sz="4" w:space="0"/>
              <w:right w:val="single" w:color="000000" w:sz="4" w:space="0"/>
            </w:tcBorders>
            <w:shd w:val="clear" w:color="auto" w:fill="auto"/>
            <w:vAlign w:val="center"/>
          </w:tcPr>
          <w:p w14:paraId="2E337C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1716" w:type="dxa"/>
            <w:tcBorders>
              <w:top w:val="single" w:color="000000" w:sz="4" w:space="0"/>
              <w:left w:val="single" w:color="000000" w:sz="4" w:space="0"/>
              <w:bottom w:val="single" w:color="auto" w:sz="4" w:space="0"/>
              <w:right w:val="single" w:color="000000" w:sz="4" w:space="0"/>
            </w:tcBorders>
            <w:shd w:val="clear" w:color="auto" w:fill="auto"/>
            <w:vAlign w:val="center"/>
          </w:tcPr>
          <w:p w14:paraId="74FA5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w:t>
            </w:r>
          </w:p>
        </w:tc>
        <w:tc>
          <w:tcPr>
            <w:tcW w:w="2466" w:type="dxa"/>
            <w:tcBorders>
              <w:top w:val="single" w:color="000000" w:sz="4" w:space="0"/>
              <w:left w:val="single" w:color="000000" w:sz="4" w:space="0"/>
              <w:bottom w:val="single" w:color="auto" w:sz="4" w:space="0"/>
              <w:right w:val="single" w:color="000000" w:sz="4" w:space="0"/>
            </w:tcBorders>
            <w:shd w:val="clear" w:color="auto" w:fill="auto"/>
            <w:vAlign w:val="center"/>
          </w:tcPr>
          <w:p w14:paraId="1E260E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规格型号</w:t>
            </w:r>
          </w:p>
        </w:tc>
        <w:tc>
          <w:tcPr>
            <w:tcW w:w="1356" w:type="dxa"/>
            <w:tcBorders>
              <w:top w:val="single" w:color="000000" w:sz="4" w:space="0"/>
              <w:left w:val="single" w:color="000000" w:sz="4" w:space="0"/>
              <w:bottom w:val="single" w:color="auto" w:sz="4" w:space="0"/>
              <w:right w:val="single" w:color="000000" w:sz="4" w:space="0"/>
            </w:tcBorders>
            <w:shd w:val="clear" w:color="auto" w:fill="auto"/>
            <w:vAlign w:val="center"/>
          </w:tcPr>
          <w:p w14:paraId="4C84BA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数量  （吨）</w:t>
            </w:r>
          </w:p>
        </w:tc>
        <w:tc>
          <w:tcPr>
            <w:tcW w:w="1464" w:type="dxa"/>
            <w:tcBorders>
              <w:top w:val="single" w:color="000000" w:sz="4" w:space="0"/>
              <w:left w:val="single" w:color="000000" w:sz="4" w:space="0"/>
              <w:bottom w:val="single" w:color="auto" w:sz="4" w:space="0"/>
              <w:right w:val="single" w:color="000000" w:sz="4" w:space="0"/>
            </w:tcBorders>
            <w:shd w:val="clear" w:color="auto" w:fill="auto"/>
            <w:vAlign w:val="center"/>
          </w:tcPr>
          <w:p w14:paraId="420127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报价   （元/吨）  </w:t>
            </w:r>
          </w:p>
        </w:tc>
        <w:tc>
          <w:tcPr>
            <w:tcW w:w="1596" w:type="dxa"/>
            <w:tcBorders>
              <w:top w:val="single" w:color="000000" w:sz="4" w:space="0"/>
              <w:left w:val="single" w:color="000000" w:sz="4" w:space="0"/>
              <w:bottom w:val="single" w:color="auto" w:sz="4" w:space="0"/>
              <w:right w:val="single" w:color="000000" w:sz="4" w:space="0"/>
            </w:tcBorders>
            <w:shd w:val="clear" w:color="auto" w:fill="auto"/>
            <w:vAlign w:val="center"/>
          </w:tcPr>
          <w:p w14:paraId="540035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金额（元）</w:t>
            </w:r>
          </w:p>
        </w:tc>
      </w:tr>
      <w:tr w14:paraId="7A36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68E0B4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14:paraId="5B58FD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聚丙烯酰胺</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19612F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宋体" w:hAnsi="宋体" w:eastAsia="宋体" w:cs="宋体"/>
                <w:b w:val="0"/>
                <w:bCs/>
                <w:sz w:val="24"/>
                <w:szCs w:val="24"/>
                <w:lang w:eastAsia="zh-CN"/>
              </w:rPr>
              <w:t>按</w:t>
            </w:r>
            <w:r>
              <w:rPr>
                <w:rFonts w:hint="eastAsia" w:ascii="宋体" w:hAnsi="宋体" w:eastAsia="宋体" w:cs="宋体"/>
                <w:sz w:val="24"/>
                <w:szCs w:val="24"/>
              </w:rPr>
              <w:t xml:space="preserve"> </w:t>
            </w:r>
            <w:r>
              <w:rPr>
                <w:rFonts w:hint="eastAsia" w:ascii="宋体" w:hAnsi="宋体" w:eastAsia="宋体" w:cs="宋体"/>
                <w:b w:val="0"/>
                <w:bCs w:val="0"/>
                <w:sz w:val="24"/>
                <w:szCs w:val="24"/>
                <w:lang w:val="en-US" w:eastAsia="zh-CN"/>
              </w:rPr>
              <w:t>GB/T17514-2017执行，</w:t>
            </w:r>
            <w:r>
              <w:rPr>
                <w:rFonts w:hint="eastAsia" w:ascii="宋体" w:hAnsi="宋体" w:eastAsia="宋体" w:cs="宋体"/>
                <w:b w:val="0"/>
                <w:bCs/>
                <w:sz w:val="24"/>
                <w:szCs w:val="24"/>
                <w:lang w:val="en-US" w:eastAsia="zh-CN"/>
              </w:rPr>
              <w:t>阴离子型，分子量大于1200万。</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01EC8F68">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3</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C63E2F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7F10BE7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3A07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22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0768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kern w:val="0"/>
                <w:sz w:val="28"/>
                <w:szCs w:val="28"/>
                <w:u w:val="none"/>
                <w:lang w:val="en-US" w:eastAsia="zh-CN" w:bidi="ar"/>
              </w:rPr>
              <w:t>合计</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6AA3A5F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sz w:val="28"/>
                <w:szCs w:val="28"/>
                <w:lang w:val="en-US" w:eastAsia="zh-CN"/>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3BA6C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eastAsia="zh-CN"/>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AD8739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5E32B47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bl>
    <w:p w14:paraId="19DFFD1E">
      <w:pPr>
        <w:pStyle w:val="2"/>
        <w:pageBreakBefore w:val="0"/>
        <w:kinsoku/>
        <w:wordWrap/>
        <w:overflowPunct/>
        <w:topLinePunct w:val="0"/>
        <w:autoSpaceDE/>
        <w:autoSpaceDN/>
        <w:bidi w:val="0"/>
        <w:adjustRightInd/>
        <w:snapToGrid/>
        <w:spacing w:after="0" w:line="320" w:lineRule="exact"/>
        <w:jc w:val="both"/>
        <w:rPr>
          <w:rFonts w:hint="eastAsia" w:ascii="Times New Roman" w:hAnsi="Times New Roman"/>
          <w:color w:val="auto"/>
          <w:kern w:val="0"/>
        </w:rPr>
      </w:pPr>
    </w:p>
    <w:p w14:paraId="18471B8D">
      <w:pPr>
        <w:bidi w:val="0"/>
        <w:rPr>
          <w:rFonts w:hint="eastAsia" w:ascii="Times New Roman" w:hAnsi="Times New Roman"/>
          <w:color w:val="auto"/>
          <w:kern w:val="0"/>
        </w:rPr>
      </w:pPr>
    </w:p>
    <w:p w14:paraId="79427AA5">
      <w:pPr>
        <w:bidi w:val="0"/>
        <w:rPr>
          <w:rFonts w:hint="eastAsia" w:ascii="Times New Roman" w:hAnsi="Times New Roman"/>
          <w:color w:val="auto"/>
          <w:kern w:val="0"/>
        </w:rPr>
      </w:pPr>
    </w:p>
    <w:p w14:paraId="426B0F7D">
      <w:pPr>
        <w:bidi w:val="0"/>
        <w:rPr>
          <w:rFonts w:hint="eastAsia" w:ascii="Times New Roman" w:hAnsi="Times New Roman"/>
          <w:color w:val="auto"/>
          <w:kern w:val="0"/>
        </w:rPr>
      </w:pPr>
    </w:p>
    <w:p w14:paraId="413685F5">
      <w:pPr>
        <w:bidi w:val="0"/>
        <w:ind w:firstLine="3000" w:firstLineChars="1000"/>
        <w:jc w:val="left"/>
        <w:rPr>
          <w:rFonts w:hint="default" w:ascii="Times New Roman" w:hAnsi="Times New Roman"/>
          <w:color w:val="auto"/>
          <w:kern w:val="0"/>
          <w:sz w:val="30"/>
          <w:szCs w:val="30"/>
          <w:u w:val="single"/>
          <w:lang w:val="en-US" w:eastAsia="zh-CN"/>
        </w:rPr>
      </w:pPr>
      <w:r>
        <w:rPr>
          <w:rFonts w:hint="eastAsia" w:ascii="Times New Roman" w:hAnsi="Times New Roman"/>
          <w:color w:val="auto"/>
          <w:kern w:val="0"/>
          <w:sz w:val="30"/>
          <w:szCs w:val="30"/>
          <w:lang w:val="en-US" w:eastAsia="zh-CN"/>
        </w:rPr>
        <w:t>报价单位签字盖章：</w:t>
      </w:r>
      <w:r>
        <w:rPr>
          <w:rFonts w:hint="eastAsia" w:ascii="Times New Roman" w:hAnsi="Times New Roman"/>
          <w:color w:val="auto"/>
          <w:kern w:val="0"/>
          <w:sz w:val="30"/>
          <w:szCs w:val="30"/>
          <w:u w:val="single"/>
          <w:lang w:val="en-US" w:eastAsia="zh-CN"/>
        </w:rPr>
        <w:t xml:space="preserve">                           </w:t>
      </w:r>
    </w:p>
    <w:p w14:paraId="71B6CB57">
      <w:pPr>
        <w:bidi w:val="0"/>
        <w:ind w:firstLine="3000" w:firstLineChars="1000"/>
        <w:jc w:val="left"/>
        <w:rPr>
          <w:rFonts w:hint="eastAsia" w:ascii="Times New Roman" w:hAnsi="Times New Roman"/>
          <w:color w:val="auto"/>
          <w:kern w:val="0"/>
          <w:sz w:val="30"/>
          <w:szCs w:val="30"/>
          <w:lang w:val="en-US" w:eastAsia="zh-CN"/>
        </w:rPr>
      </w:pPr>
    </w:p>
    <w:p w14:paraId="0C4F7D97">
      <w:pPr>
        <w:bidi w:val="0"/>
        <w:ind w:firstLine="4800" w:firstLineChars="1600"/>
        <w:jc w:val="left"/>
        <w:rPr>
          <w:rFonts w:ascii="Times New Roman" w:hAnsi="Times New Roman"/>
          <w:color w:val="auto"/>
        </w:rPr>
      </w:pP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年</w:t>
      </w: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月</w:t>
      </w: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日</w:t>
      </w:r>
      <w:r>
        <w:rPr>
          <w:rFonts w:hint="eastAsia" w:ascii="Times New Roman" w:hAnsi="Times New Roman"/>
          <w:color w:val="auto"/>
          <w:kern w:val="0"/>
          <w:sz w:val="30"/>
          <w:szCs w:val="3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14234"/>
      <w:bookmarkStart w:id="207"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7F226D4F"/>
    <w:p w14:paraId="49DE75CB"/>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8069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FD39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3FD39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98D99">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E6C58"/>
    <w:rsid w:val="05ED6A89"/>
    <w:rsid w:val="0B4B16A3"/>
    <w:rsid w:val="0BD80961"/>
    <w:rsid w:val="1716644B"/>
    <w:rsid w:val="208272B0"/>
    <w:rsid w:val="20CB6C0C"/>
    <w:rsid w:val="21307B01"/>
    <w:rsid w:val="389E6C58"/>
    <w:rsid w:val="51942AE2"/>
    <w:rsid w:val="59B2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7403</Words>
  <Characters>7599</Characters>
  <Lines>0</Lines>
  <Paragraphs>0</Paragraphs>
  <TotalTime>0</TotalTime>
  <ScaleCrop>false</ScaleCrop>
  <LinksUpToDate>false</LinksUpToDate>
  <CharactersWithSpaces>8096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2025-03-26T02:45:00Z</dcterms:created>
  <dc:creator>瞬间无语</dc:creator>
  <cp:lastModifiedBy>李晶</cp:lastModifiedBy>
  <cp:lastPrinted>2025-05-30T07:56:00Z</cp:lastPrinted>
  <dcterms:modified xsi:type="dcterms:W3CDTF">2025-06-09T09:27:41Z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D830E270CD9147E48FBFDDC18833B725_11</vt:lpwstr>
  </property>
  <property fmtid="{D5CDD505-2E9C-101B-9397-08002B2CF9AE}" pid="4" name="KSOTemplateDocerSaveRecord">
    <vt:lpwstr>eyJoZGlkIjoiM2ExNjY5MWQ0OWUzYjcxZjUxYWY0YjAzMjk0YjQ0NDAiLCJ1c2VySWQiOiI2Mjg3MjA1MDUifQ==</vt:lpwstr>
  </property>
</Properties>
</file>