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DECE7F">
      <w:pPr>
        <w:spacing w:line="400" w:lineRule="exac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28"/>
          <w:szCs w:val="28"/>
          <w:highlight w:val="none"/>
        </w:rPr>
        <w:t>项目编号：</w:t>
      </w:r>
      <w:r>
        <w:rPr>
          <w:rFonts w:ascii="Noto Sans SC" w:hAnsi="Noto Sans SC" w:eastAsia="Noto Sans SC" w:cs="Noto Sans SC"/>
          <w:i w:val="0"/>
          <w:iCs w:val="0"/>
          <w:caps w:val="0"/>
          <w:color w:val="000000"/>
          <w:spacing w:val="0"/>
          <w:sz w:val="27"/>
          <w:szCs w:val="27"/>
        </w:rPr>
        <w:t>XB20250604-04</w:t>
      </w:r>
    </w:p>
    <w:p w14:paraId="4D2517F0">
      <w:pPr>
        <w:spacing w:line="400" w:lineRule="exact"/>
        <w:rPr>
          <w:rFonts w:hint="eastAsia" w:asciiTheme="minorEastAsia" w:hAnsiTheme="minorEastAsia" w:eastAsiaTheme="minorEastAsia" w:cstheme="minorEastAsia"/>
          <w:color w:val="auto"/>
        </w:rPr>
      </w:pPr>
    </w:p>
    <w:p w14:paraId="599F52ED">
      <w:pPr>
        <w:outlineLvl w:val="9"/>
        <w:rPr>
          <w:rFonts w:hint="eastAsia" w:asciiTheme="minorEastAsia" w:hAnsiTheme="minorEastAsia" w:eastAsiaTheme="minorEastAsia" w:cstheme="minorEastAsia"/>
          <w:color w:val="auto"/>
        </w:rPr>
      </w:pPr>
    </w:p>
    <w:p w14:paraId="62929957">
      <w:pPr>
        <w:spacing w:line="400" w:lineRule="exact"/>
        <w:rPr>
          <w:rFonts w:hint="eastAsia" w:asciiTheme="minorEastAsia" w:hAnsiTheme="minorEastAsia" w:eastAsiaTheme="minorEastAsia" w:cstheme="minorEastAsia"/>
          <w:color w:val="auto"/>
        </w:rPr>
      </w:pPr>
    </w:p>
    <w:p w14:paraId="18E3BC85">
      <w:pPr>
        <w:spacing w:line="400" w:lineRule="exact"/>
        <w:rPr>
          <w:rFonts w:hint="eastAsia" w:asciiTheme="minorEastAsia" w:hAnsiTheme="minorEastAsia" w:eastAsiaTheme="minorEastAsia" w:cstheme="minorEastAsia"/>
          <w:color w:val="auto"/>
        </w:rPr>
      </w:pPr>
    </w:p>
    <w:p w14:paraId="787FD80E">
      <w:pPr>
        <w:spacing w:line="360" w:lineRule="auto"/>
        <w:jc w:val="center"/>
        <w:rPr>
          <w:rFonts w:hint="eastAsia" w:asciiTheme="minorEastAsia" w:hAnsiTheme="minorEastAsia" w:eastAsiaTheme="minorEastAsia" w:cstheme="minorEastAsia"/>
          <w:color w:val="auto"/>
          <w:sz w:val="44"/>
          <w:szCs w:val="44"/>
          <w:highlight w:val="none"/>
          <w:lang w:eastAsia="zh-CN"/>
        </w:rPr>
      </w:pPr>
      <w:r>
        <w:rPr>
          <w:rFonts w:hint="eastAsia" w:asciiTheme="minorEastAsia" w:hAnsiTheme="minorEastAsia" w:eastAsiaTheme="minorEastAsia" w:cstheme="minorEastAsia"/>
          <w:color w:val="auto"/>
          <w:sz w:val="44"/>
          <w:szCs w:val="44"/>
          <w:highlight w:val="none"/>
          <w:lang w:eastAsia="zh-CN"/>
        </w:rPr>
        <w:t>陕西锌业有限公司</w:t>
      </w:r>
    </w:p>
    <w:p w14:paraId="2B0D9D0D">
      <w:pPr>
        <w:spacing w:line="360" w:lineRule="auto"/>
        <w:jc w:val="both"/>
        <w:rPr>
          <w:rFonts w:hint="eastAsia" w:asciiTheme="minorEastAsia" w:hAnsiTheme="minorEastAsia" w:eastAsiaTheme="minorEastAsia" w:cstheme="minorEastAsia"/>
          <w:color w:val="auto"/>
          <w:sz w:val="44"/>
          <w:lang w:eastAsia="zh-CN"/>
        </w:rPr>
      </w:pPr>
      <w:r>
        <w:rPr>
          <w:rFonts w:hint="eastAsia" w:asciiTheme="minorEastAsia" w:hAnsiTheme="minorEastAsia" w:eastAsiaTheme="minorEastAsia" w:cstheme="minorEastAsia"/>
          <w:color w:val="auto"/>
          <w:sz w:val="44"/>
          <w:szCs w:val="44"/>
          <w:highlight w:val="none"/>
          <w:lang w:val="en-US" w:eastAsia="zh-CN"/>
        </w:rPr>
        <w:t>2025年</w:t>
      </w:r>
      <w:r>
        <w:rPr>
          <w:rFonts w:hint="eastAsia" w:asciiTheme="minorEastAsia" w:hAnsiTheme="minorEastAsia" w:cstheme="minorEastAsia"/>
          <w:color w:val="auto"/>
          <w:sz w:val="44"/>
          <w:szCs w:val="44"/>
          <w:highlight w:val="none"/>
          <w:lang w:val="en-US" w:eastAsia="zh-CN"/>
        </w:rPr>
        <w:t>6</w:t>
      </w:r>
      <w:r>
        <w:rPr>
          <w:rFonts w:hint="eastAsia" w:asciiTheme="minorEastAsia" w:hAnsiTheme="minorEastAsia" w:eastAsiaTheme="minorEastAsia" w:cstheme="minorEastAsia"/>
          <w:color w:val="auto"/>
          <w:sz w:val="44"/>
          <w:szCs w:val="44"/>
          <w:highlight w:val="none"/>
          <w:lang w:val="en-US" w:eastAsia="zh-CN"/>
        </w:rPr>
        <w:t>月份</w:t>
      </w:r>
      <w:r>
        <w:rPr>
          <w:rFonts w:hint="eastAsia" w:asciiTheme="minorEastAsia" w:hAnsiTheme="minorEastAsia" w:cstheme="minorEastAsia"/>
          <w:color w:val="auto"/>
          <w:sz w:val="44"/>
          <w:szCs w:val="44"/>
          <w:highlight w:val="none"/>
          <w:lang w:val="en-US" w:eastAsia="zh-CN"/>
        </w:rPr>
        <w:t>其它备品备件</w:t>
      </w:r>
      <w:r>
        <w:rPr>
          <w:rFonts w:hint="eastAsia" w:asciiTheme="minorEastAsia" w:hAnsiTheme="minorEastAsia" w:eastAsiaTheme="minorEastAsia" w:cstheme="minorEastAsia"/>
          <w:color w:val="auto"/>
          <w:sz w:val="44"/>
          <w:szCs w:val="44"/>
          <w:highlight w:val="none"/>
          <w:lang w:val="en-US" w:eastAsia="zh-CN"/>
        </w:rPr>
        <w:t>项目</w:t>
      </w:r>
      <w:r>
        <w:rPr>
          <w:rFonts w:hint="eastAsia" w:asciiTheme="minorEastAsia" w:hAnsiTheme="minorEastAsia" w:cstheme="minorEastAsia"/>
          <w:color w:val="auto"/>
          <w:sz w:val="44"/>
          <w:szCs w:val="44"/>
          <w:highlight w:val="none"/>
          <w:lang w:val="en-US" w:eastAsia="zh-CN"/>
        </w:rPr>
        <w:t>二次</w:t>
      </w:r>
      <w:r>
        <w:rPr>
          <w:rFonts w:hint="eastAsia" w:asciiTheme="minorEastAsia" w:hAnsiTheme="minorEastAsia" w:eastAsiaTheme="minorEastAsia" w:cstheme="minorEastAsia"/>
          <w:color w:val="auto"/>
          <w:sz w:val="44"/>
          <w:lang w:eastAsia="zh-CN"/>
        </w:rPr>
        <w:t>询比采购文件</w:t>
      </w:r>
    </w:p>
    <w:p w14:paraId="6F577B57">
      <w:pPr>
        <w:spacing w:line="400" w:lineRule="exact"/>
        <w:rPr>
          <w:rFonts w:hint="eastAsia" w:asciiTheme="minorEastAsia" w:hAnsiTheme="minorEastAsia" w:eastAsiaTheme="minorEastAsia" w:cstheme="minorEastAsia"/>
          <w:color w:val="auto"/>
        </w:rPr>
      </w:pPr>
    </w:p>
    <w:p w14:paraId="66CA1908">
      <w:pPr>
        <w:spacing w:line="400" w:lineRule="exact"/>
        <w:rPr>
          <w:rFonts w:hint="eastAsia" w:asciiTheme="minorEastAsia" w:hAnsiTheme="minorEastAsia" w:eastAsiaTheme="minorEastAsia" w:cstheme="minorEastAsia"/>
          <w:color w:val="auto"/>
        </w:rPr>
      </w:pPr>
    </w:p>
    <w:p w14:paraId="196B7E2B">
      <w:pPr>
        <w:spacing w:line="400" w:lineRule="exact"/>
        <w:rPr>
          <w:rFonts w:hint="eastAsia" w:asciiTheme="minorEastAsia" w:hAnsiTheme="minorEastAsia" w:eastAsiaTheme="minorEastAsia" w:cstheme="minorEastAsia"/>
          <w:color w:val="auto"/>
        </w:rPr>
      </w:pPr>
    </w:p>
    <w:p w14:paraId="72976C86">
      <w:pPr>
        <w:spacing w:line="400" w:lineRule="exact"/>
        <w:rPr>
          <w:rFonts w:hint="eastAsia" w:asciiTheme="minorEastAsia" w:hAnsiTheme="minorEastAsia" w:eastAsiaTheme="minorEastAsia" w:cstheme="minorEastAsia"/>
          <w:color w:val="auto"/>
        </w:rPr>
      </w:pPr>
    </w:p>
    <w:p w14:paraId="59348911">
      <w:pPr>
        <w:spacing w:line="400" w:lineRule="exact"/>
        <w:rPr>
          <w:rFonts w:hint="eastAsia" w:asciiTheme="minorEastAsia" w:hAnsiTheme="minorEastAsia" w:eastAsiaTheme="minorEastAsia" w:cstheme="minorEastAsia"/>
          <w:color w:val="auto"/>
        </w:rPr>
      </w:pPr>
    </w:p>
    <w:p w14:paraId="6E038932">
      <w:pPr>
        <w:spacing w:line="400" w:lineRule="exact"/>
        <w:rPr>
          <w:rFonts w:hint="eastAsia" w:asciiTheme="minorEastAsia" w:hAnsiTheme="minorEastAsia" w:eastAsiaTheme="minorEastAsia" w:cstheme="minorEastAsia"/>
          <w:color w:val="auto"/>
          <w:lang w:val="en-US" w:eastAsia="zh-CN"/>
        </w:rPr>
      </w:pPr>
    </w:p>
    <w:p w14:paraId="358BBAB8">
      <w:pPr>
        <w:spacing w:line="400" w:lineRule="exact"/>
        <w:rPr>
          <w:rFonts w:hint="eastAsia" w:asciiTheme="minorEastAsia" w:hAnsiTheme="minorEastAsia" w:eastAsiaTheme="minorEastAsia" w:cstheme="minorEastAsia"/>
          <w:color w:val="auto"/>
        </w:rPr>
      </w:pPr>
    </w:p>
    <w:p w14:paraId="74B8301B">
      <w:pPr>
        <w:spacing w:line="400" w:lineRule="exact"/>
        <w:rPr>
          <w:rFonts w:hint="eastAsia" w:asciiTheme="minorEastAsia" w:hAnsiTheme="minorEastAsia" w:eastAsiaTheme="minorEastAsia" w:cstheme="minorEastAsia"/>
          <w:color w:val="auto"/>
        </w:rPr>
      </w:pPr>
    </w:p>
    <w:p w14:paraId="6C9C6EF2">
      <w:pPr>
        <w:pStyle w:val="5"/>
        <w:spacing w:before="24" w:after="24"/>
        <w:ind w:firstLine="480"/>
        <w:rPr>
          <w:rFonts w:hint="eastAsia" w:asciiTheme="minorEastAsia" w:hAnsiTheme="minorEastAsia" w:eastAsiaTheme="minorEastAsia" w:cstheme="minorEastAsia"/>
          <w:color w:val="auto"/>
        </w:rPr>
      </w:pPr>
    </w:p>
    <w:p w14:paraId="7F06EF6C">
      <w:pPr>
        <w:pStyle w:val="5"/>
        <w:spacing w:before="24" w:after="24"/>
        <w:ind w:firstLine="480"/>
        <w:rPr>
          <w:rFonts w:hint="eastAsia" w:asciiTheme="minorEastAsia" w:hAnsiTheme="minorEastAsia" w:eastAsiaTheme="minorEastAsia" w:cstheme="minorEastAsia"/>
          <w:color w:val="auto"/>
        </w:rPr>
      </w:pPr>
    </w:p>
    <w:p w14:paraId="47DC389A">
      <w:pPr>
        <w:pStyle w:val="5"/>
        <w:spacing w:before="24" w:after="24"/>
        <w:ind w:left="0" w:leftChars="0" w:firstLine="0" w:firstLineChars="0"/>
        <w:rPr>
          <w:rFonts w:hint="eastAsia" w:asciiTheme="minorEastAsia" w:hAnsiTheme="minorEastAsia" w:eastAsiaTheme="minorEastAsia" w:cstheme="minorEastAsia"/>
          <w:color w:val="auto"/>
        </w:rPr>
      </w:pPr>
    </w:p>
    <w:p w14:paraId="16B35130">
      <w:pPr>
        <w:pStyle w:val="5"/>
        <w:spacing w:before="24" w:after="24"/>
        <w:ind w:left="0" w:leftChars="0" w:firstLine="0" w:firstLineChars="0"/>
        <w:rPr>
          <w:rFonts w:hint="eastAsia" w:asciiTheme="minorEastAsia" w:hAnsiTheme="minorEastAsia" w:eastAsiaTheme="minorEastAsia" w:cstheme="minorEastAsia"/>
          <w:color w:val="auto"/>
        </w:rPr>
      </w:pPr>
    </w:p>
    <w:p w14:paraId="459B4391">
      <w:pPr>
        <w:spacing w:line="360" w:lineRule="auto"/>
        <w:ind w:firstLine="1800" w:firstLineChars="500"/>
        <w:rPr>
          <w:rFonts w:hint="eastAsia" w:asciiTheme="minorEastAsia" w:hAnsiTheme="minorEastAsia" w:eastAsiaTheme="minorEastAsia" w:cstheme="minorEastAsia"/>
          <w:color w:val="auto"/>
          <w:sz w:val="36"/>
          <w:szCs w:val="36"/>
        </w:rPr>
      </w:pPr>
      <w:r>
        <w:rPr>
          <w:rFonts w:hint="eastAsia" w:asciiTheme="minorEastAsia" w:hAnsiTheme="minorEastAsia" w:eastAsiaTheme="minorEastAsia" w:cstheme="minorEastAsia"/>
          <w:color w:val="auto"/>
          <w:sz w:val="36"/>
          <w:szCs w:val="36"/>
          <w:lang w:eastAsia="zh-CN"/>
        </w:rPr>
        <w:t>采购人</w:t>
      </w:r>
      <w:r>
        <w:rPr>
          <w:rFonts w:hint="eastAsia" w:asciiTheme="minorEastAsia" w:hAnsiTheme="minorEastAsia" w:eastAsiaTheme="minorEastAsia" w:cstheme="minorEastAsia"/>
          <w:color w:val="auto"/>
          <w:sz w:val="36"/>
          <w:szCs w:val="36"/>
        </w:rPr>
        <w:t>：陕西锌业有限公司</w:t>
      </w:r>
    </w:p>
    <w:p w14:paraId="510ED36B">
      <w:pPr>
        <w:spacing w:line="360" w:lineRule="auto"/>
        <w:ind w:firstLine="1800" w:firstLineChars="500"/>
        <w:rPr>
          <w:rFonts w:hint="eastAsia" w:asciiTheme="minorEastAsia" w:hAnsiTheme="minorEastAsia" w:eastAsiaTheme="minorEastAsia" w:cstheme="minorEastAsia"/>
          <w:color w:val="auto"/>
          <w:sz w:val="36"/>
          <w:szCs w:val="36"/>
          <w:lang w:val="en-US" w:eastAsia="zh-CN"/>
        </w:rPr>
      </w:pPr>
      <w:r>
        <w:rPr>
          <w:rFonts w:hint="eastAsia" w:asciiTheme="minorEastAsia" w:hAnsiTheme="minorEastAsia" w:cstheme="minorEastAsia"/>
          <w:color w:val="auto"/>
          <w:sz w:val="36"/>
          <w:szCs w:val="36"/>
          <w:lang w:val="en-US" w:eastAsia="zh-CN"/>
        </w:rPr>
        <w:t>负责人</w:t>
      </w:r>
      <w:r>
        <w:rPr>
          <w:rFonts w:hint="eastAsia" w:asciiTheme="minorEastAsia" w:hAnsiTheme="minorEastAsia" w:eastAsiaTheme="minorEastAsia" w:cstheme="minorEastAsia"/>
          <w:color w:val="auto"/>
          <w:sz w:val="36"/>
          <w:szCs w:val="36"/>
          <w:lang w:val="en-US" w:eastAsia="zh-CN"/>
        </w:rPr>
        <w:t>：</w:t>
      </w:r>
      <w:r>
        <w:rPr>
          <w:rFonts w:hint="eastAsia" w:asciiTheme="minorEastAsia" w:hAnsiTheme="minorEastAsia" w:cstheme="minorEastAsia"/>
          <w:color w:val="auto"/>
          <w:sz w:val="36"/>
          <w:szCs w:val="36"/>
          <w:lang w:val="en-US" w:eastAsia="zh-CN"/>
        </w:rPr>
        <w:t>徐  靖</w:t>
      </w:r>
    </w:p>
    <w:p w14:paraId="180C2918">
      <w:pPr>
        <w:spacing w:line="360" w:lineRule="auto"/>
        <w:ind w:firstLine="5760" w:firstLineChars="1800"/>
        <w:jc w:val="both"/>
        <w:rPr>
          <w:rFonts w:hint="eastAsia" w:asciiTheme="minorEastAsia" w:hAnsiTheme="minorEastAsia" w:eastAsiaTheme="minorEastAsia" w:cstheme="minorEastAsia"/>
          <w:color w:val="auto"/>
          <w:sz w:val="32"/>
          <w:szCs w:val="32"/>
        </w:rPr>
      </w:pPr>
    </w:p>
    <w:p w14:paraId="6606B6B3">
      <w:pPr>
        <w:spacing w:line="360" w:lineRule="auto"/>
        <w:ind w:firstLine="5760" w:firstLineChars="1800"/>
        <w:jc w:val="both"/>
        <w:rPr>
          <w:rFonts w:hint="eastAsia" w:asciiTheme="minorEastAsia" w:hAnsiTheme="minorEastAsia" w:eastAsiaTheme="minorEastAsia" w:cstheme="minorEastAsia"/>
          <w:color w:val="auto"/>
          <w:sz w:val="32"/>
          <w:szCs w:val="32"/>
        </w:rPr>
      </w:pPr>
    </w:p>
    <w:p w14:paraId="2D2646B8">
      <w:pPr>
        <w:spacing w:line="360" w:lineRule="auto"/>
        <w:ind w:firstLine="1920" w:firstLineChars="600"/>
        <w:jc w:val="both"/>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color w:val="auto"/>
          <w:sz w:val="32"/>
          <w:szCs w:val="32"/>
        </w:rPr>
        <w:t>二〇二</w:t>
      </w:r>
      <w:r>
        <w:rPr>
          <w:rFonts w:hint="eastAsia" w:asciiTheme="minorEastAsia" w:hAnsiTheme="minorEastAsia" w:eastAsiaTheme="minorEastAsia" w:cstheme="minorEastAsia"/>
          <w:color w:val="auto"/>
          <w:sz w:val="32"/>
          <w:szCs w:val="32"/>
          <w:lang w:val="en-US" w:eastAsia="zh-CN"/>
        </w:rPr>
        <w:t>五</w:t>
      </w:r>
      <w:r>
        <w:rPr>
          <w:rFonts w:hint="eastAsia" w:asciiTheme="minorEastAsia" w:hAnsiTheme="minorEastAsia" w:eastAsiaTheme="minorEastAsia" w:cstheme="minorEastAsia"/>
          <w:color w:val="auto"/>
          <w:sz w:val="32"/>
          <w:szCs w:val="32"/>
        </w:rPr>
        <w:t>年</w:t>
      </w:r>
      <w:r>
        <w:rPr>
          <w:rFonts w:hint="eastAsia" w:asciiTheme="minorEastAsia" w:hAnsiTheme="minorEastAsia" w:cstheme="minorEastAsia"/>
          <w:color w:val="auto"/>
          <w:sz w:val="32"/>
          <w:szCs w:val="32"/>
          <w:lang w:eastAsia="zh-CN"/>
        </w:rPr>
        <w:t>六</w:t>
      </w:r>
      <w:r>
        <w:rPr>
          <w:rFonts w:hint="eastAsia" w:asciiTheme="minorEastAsia" w:hAnsiTheme="minorEastAsia" w:eastAsiaTheme="minorEastAsia" w:cstheme="minorEastAsia"/>
          <w:color w:val="auto"/>
          <w:sz w:val="32"/>
          <w:szCs w:val="32"/>
          <w:lang w:val="en-US" w:eastAsia="zh-CN"/>
        </w:rPr>
        <w:t>月</w:t>
      </w:r>
      <w:r>
        <w:rPr>
          <w:rFonts w:hint="eastAsia" w:asciiTheme="minorEastAsia" w:hAnsiTheme="minorEastAsia" w:cstheme="minorEastAsia"/>
          <w:color w:val="auto"/>
          <w:sz w:val="32"/>
          <w:szCs w:val="32"/>
          <w:lang w:val="en-US" w:eastAsia="zh-CN"/>
        </w:rPr>
        <w:t>三</w:t>
      </w:r>
      <w:r>
        <w:rPr>
          <w:rFonts w:hint="eastAsia" w:asciiTheme="minorEastAsia" w:hAnsiTheme="minorEastAsia" w:eastAsiaTheme="minorEastAsia" w:cstheme="minorEastAsia"/>
          <w:color w:val="auto"/>
          <w:sz w:val="32"/>
          <w:szCs w:val="32"/>
          <w:lang w:val="en-US" w:eastAsia="zh-CN"/>
        </w:rPr>
        <w:t>日</w:t>
      </w:r>
    </w:p>
    <w:p w14:paraId="395124E6">
      <w:pPr>
        <w:jc w:val="center"/>
        <w:rPr>
          <w:rFonts w:hint="eastAsia" w:asciiTheme="minorEastAsia" w:hAnsiTheme="minorEastAsia" w:eastAsiaTheme="minorEastAsia" w:cstheme="minorEastAsia"/>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27572BF7">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rPr>
      </w:pPr>
      <w:bookmarkStart w:id="210" w:name="_GoBack"/>
      <w:r>
        <w:rPr>
          <w:rStyle w:val="12"/>
          <w:rFonts w:hint="eastAsia" w:ascii="方正小标宋简体" w:hAnsi="方正小标宋简体" w:eastAsia="方正小标宋简体" w:cs="方正小标宋简体"/>
          <w:b/>
          <w:bCs w:val="0"/>
          <w:i w:val="0"/>
          <w:iCs w:val="0"/>
          <w:caps w:val="0"/>
          <w:color w:val="000000"/>
          <w:spacing w:val="0"/>
          <w:sz w:val="36"/>
          <w:szCs w:val="36"/>
        </w:rPr>
        <w:t>陕西锌业有限公司</w:t>
      </w:r>
    </w:p>
    <w:p w14:paraId="3919324E">
      <w:pPr>
        <w:pStyle w:val="8"/>
        <w:keepNext w:val="0"/>
        <w:keepLines w:val="0"/>
        <w:widowControl/>
        <w:suppressLineNumbers w:val="0"/>
        <w:spacing w:before="0" w:beforeAutospacing="0" w:after="0" w:afterAutospacing="0" w:line="405" w:lineRule="atLeast"/>
        <w:ind w:left="0" w:firstLine="0"/>
        <w:jc w:val="center"/>
        <w:rPr>
          <w:rFonts w:hint="default" w:ascii="方正小标宋简体" w:hAnsi="方正小标宋简体" w:eastAsia="方正小标宋简体" w:cs="方正小标宋简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2025年6月份其它备品备件采购项目二次</w:t>
      </w:r>
      <w:r>
        <w:rPr>
          <w:rStyle w:val="12"/>
          <w:rFonts w:hint="eastAsia" w:ascii="方正小标宋简体" w:hAnsi="方正小标宋简体" w:eastAsia="方正小标宋简体" w:cs="方正小标宋简体"/>
          <w:b/>
          <w:bCs w:val="0"/>
          <w:i w:val="0"/>
          <w:iCs w:val="0"/>
          <w:caps w:val="0"/>
          <w:color w:val="000000"/>
          <w:spacing w:val="0"/>
          <w:sz w:val="36"/>
          <w:szCs w:val="36"/>
        </w:rPr>
        <w:t>询比采购</w:t>
      </w: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邀请函</w:t>
      </w:r>
    </w:p>
    <w:p w14:paraId="4F5EF4E5">
      <w:pPr>
        <w:keepNext w:val="0"/>
        <w:keepLines w:val="0"/>
        <w:pageBreakBefore w:val="0"/>
        <w:kinsoku/>
        <w:wordWrap/>
        <w:overflowPunct/>
        <w:topLinePunct w:val="0"/>
        <w:autoSpaceDE/>
        <w:autoSpaceDN/>
        <w:bidi w:val="0"/>
        <w:adjustRightInd/>
        <w:snapToGrid/>
        <w:spacing w:line="48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 </w:t>
      </w:r>
    </w:p>
    <w:p w14:paraId="5F4B8C77">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陕西锌业有限公司</w:t>
      </w:r>
      <w:r>
        <w:rPr>
          <w:rFonts w:hint="eastAsia" w:ascii="仿宋" w:hAnsi="仿宋" w:eastAsia="仿宋" w:cs="仿宋"/>
          <w:i w:val="0"/>
          <w:iCs w:val="0"/>
          <w:caps w:val="0"/>
          <w:color w:val="000000"/>
          <w:spacing w:val="0"/>
          <w:sz w:val="32"/>
          <w:szCs w:val="32"/>
          <w:lang w:val="en-US" w:eastAsia="zh-CN"/>
        </w:rPr>
        <w:t>因生产造需要，</w:t>
      </w:r>
      <w:r>
        <w:rPr>
          <w:rFonts w:hint="eastAsia" w:ascii="仿宋" w:hAnsi="仿宋" w:eastAsia="仿宋" w:cs="仿宋"/>
          <w:i w:val="0"/>
          <w:iCs w:val="0"/>
          <w:caps w:val="0"/>
          <w:color w:val="000000"/>
          <w:spacing w:val="0"/>
          <w:sz w:val="32"/>
          <w:szCs w:val="32"/>
        </w:rPr>
        <w:t>拟</w:t>
      </w:r>
      <w:r>
        <w:rPr>
          <w:rFonts w:hint="eastAsia" w:ascii="仿宋" w:hAnsi="仿宋" w:eastAsia="仿宋" w:cs="仿宋"/>
          <w:i w:val="0"/>
          <w:iCs w:val="0"/>
          <w:caps w:val="0"/>
          <w:color w:val="000000"/>
          <w:spacing w:val="0"/>
          <w:sz w:val="32"/>
          <w:szCs w:val="32"/>
          <w:lang w:val="en-US" w:eastAsia="zh-CN"/>
        </w:rPr>
        <w:t>采购其它备品备件一批</w:t>
      </w:r>
      <w:r>
        <w:rPr>
          <w:rFonts w:hint="eastAsia" w:ascii="仿宋" w:hAnsi="仿宋" w:eastAsia="仿宋" w:cs="仿宋"/>
          <w:i w:val="0"/>
          <w:iCs w:val="0"/>
          <w:caps w:val="0"/>
          <w:color w:val="000000"/>
          <w:spacing w:val="0"/>
          <w:sz w:val="32"/>
          <w:szCs w:val="32"/>
          <w:lang w:eastAsia="zh-CN"/>
        </w:rPr>
        <w:t>，</w:t>
      </w:r>
      <w:r>
        <w:rPr>
          <w:rFonts w:hint="eastAsia" w:ascii="仿宋" w:hAnsi="仿宋" w:eastAsia="仿宋" w:cs="仿宋"/>
          <w:i w:val="0"/>
          <w:iCs w:val="0"/>
          <w:caps w:val="0"/>
          <w:color w:val="000000"/>
          <w:spacing w:val="0"/>
          <w:sz w:val="32"/>
          <w:szCs w:val="32"/>
          <w:lang w:val="en-US" w:eastAsia="zh-CN"/>
        </w:rPr>
        <w:t>按照公司有关规定，拟通过</w:t>
      </w:r>
      <w:r>
        <w:rPr>
          <w:rFonts w:hint="eastAsia" w:ascii="仿宋" w:hAnsi="仿宋" w:eastAsia="仿宋" w:cs="仿宋"/>
          <w:i w:val="0"/>
          <w:iCs w:val="0"/>
          <w:caps w:val="0"/>
          <w:color w:val="000000"/>
          <w:spacing w:val="0"/>
          <w:sz w:val="32"/>
          <w:szCs w:val="32"/>
        </w:rPr>
        <w:t>询比</w:t>
      </w:r>
      <w:r>
        <w:rPr>
          <w:rFonts w:hint="eastAsia" w:ascii="仿宋" w:hAnsi="仿宋" w:eastAsia="仿宋" w:cs="仿宋"/>
          <w:i w:val="0"/>
          <w:iCs w:val="0"/>
          <w:caps w:val="0"/>
          <w:color w:val="000000"/>
          <w:spacing w:val="0"/>
          <w:sz w:val="32"/>
          <w:szCs w:val="32"/>
          <w:lang w:val="en-US" w:eastAsia="zh-CN"/>
        </w:rPr>
        <w:t>方式确定供应商，欢迎</w:t>
      </w:r>
      <w:r>
        <w:rPr>
          <w:rFonts w:hint="eastAsia" w:ascii="仿宋" w:hAnsi="仿宋" w:eastAsia="仿宋" w:cs="仿宋"/>
          <w:i w:val="0"/>
          <w:iCs w:val="0"/>
          <w:caps w:val="0"/>
          <w:color w:val="000000"/>
          <w:spacing w:val="0"/>
          <w:sz w:val="32"/>
          <w:szCs w:val="32"/>
        </w:rPr>
        <w:t>具备相应资质</w:t>
      </w:r>
      <w:r>
        <w:rPr>
          <w:rFonts w:hint="eastAsia" w:ascii="仿宋" w:hAnsi="仿宋" w:eastAsia="仿宋" w:cs="仿宋"/>
          <w:i w:val="0"/>
          <w:iCs w:val="0"/>
          <w:caps w:val="0"/>
          <w:color w:val="000000"/>
          <w:spacing w:val="0"/>
          <w:sz w:val="32"/>
          <w:szCs w:val="32"/>
          <w:lang w:val="en-US" w:eastAsia="zh-CN"/>
        </w:rPr>
        <w:t>及能力</w:t>
      </w:r>
      <w:r>
        <w:rPr>
          <w:rFonts w:hint="eastAsia" w:ascii="仿宋" w:hAnsi="仿宋" w:eastAsia="仿宋" w:cs="仿宋"/>
          <w:i w:val="0"/>
          <w:iCs w:val="0"/>
          <w:caps w:val="0"/>
          <w:color w:val="000000"/>
          <w:spacing w:val="0"/>
          <w:sz w:val="32"/>
          <w:szCs w:val="32"/>
        </w:rPr>
        <w:t>的单位</w:t>
      </w:r>
      <w:r>
        <w:rPr>
          <w:rFonts w:hint="eastAsia" w:ascii="仿宋" w:hAnsi="仿宋" w:eastAsia="仿宋" w:cs="仿宋"/>
          <w:i w:val="0"/>
          <w:iCs w:val="0"/>
          <w:caps w:val="0"/>
          <w:color w:val="000000"/>
          <w:spacing w:val="0"/>
          <w:sz w:val="32"/>
          <w:szCs w:val="32"/>
          <w:lang w:val="en-US" w:eastAsia="zh-CN"/>
        </w:rPr>
        <w:t>参与该项目询比采购</w:t>
      </w:r>
      <w:r>
        <w:rPr>
          <w:rFonts w:hint="eastAsia" w:ascii="仿宋" w:hAnsi="仿宋" w:eastAsia="仿宋" w:cs="仿宋"/>
          <w:i w:val="0"/>
          <w:iCs w:val="0"/>
          <w:caps w:val="0"/>
          <w:color w:val="000000"/>
          <w:spacing w:val="0"/>
          <w:sz w:val="32"/>
          <w:szCs w:val="32"/>
        </w:rPr>
        <w:t>，具体内容如下：</w:t>
      </w:r>
    </w:p>
    <w:p w14:paraId="26E5A4B5">
      <w:pPr>
        <w:pStyle w:val="3"/>
        <w:pageBreakBefore w:val="0"/>
        <w:widowControl w:val="0"/>
        <w:numPr>
          <w:ilvl w:val="0"/>
          <w:numId w:val="0"/>
        </w:numPr>
        <w:kinsoku/>
        <w:wordWrap/>
        <w:overflowPunct/>
        <w:topLinePunct w:val="0"/>
        <w:autoSpaceDE/>
        <w:autoSpaceDN/>
        <w:bidi w:val="0"/>
        <w:snapToGrid/>
        <w:spacing w:before="0" w:after="0" w:line="500" w:lineRule="exact"/>
        <w:ind w:firstLine="643" w:firstLineChars="200"/>
        <w:jc w:val="both"/>
        <w:rPr>
          <w:rFonts w:hint="default" w:ascii="仿宋" w:hAnsi="仿宋" w:eastAsia="仿宋" w:cs="仿宋"/>
          <w:b/>
          <w:bCs/>
          <w:color w:val="auto"/>
          <w:sz w:val="32"/>
          <w:szCs w:val="32"/>
          <w:lang w:val="en-US"/>
        </w:rPr>
      </w:pPr>
      <w:bookmarkStart w:id="0" w:name="_Toc33795775"/>
      <w:bookmarkStart w:id="1" w:name="_Toc20230"/>
      <w:bookmarkStart w:id="2" w:name="_Toc14440"/>
      <w:bookmarkStart w:id="3" w:name="_Toc4593"/>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lang w:eastAsia="zh-CN"/>
        </w:rPr>
        <w:t>采购项目</w:t>
      </w:r>
      <w:bookmarkEnd w:id="0"/>
      <w:bookmarkEnd w:id="1"/>
      <w:bookmarkEnd w:id="2"/>
      <w:bookmarkEnd w:id="3"/>
      <w:r>
        <w:rPr>
          <w:rFonts w:hint="eastAsia" w:ascii="仿宋" w:hAnsi="仿宋" w:eastAsia="仿宋" w:cs="仿宋"/>
          <w:b/>
          <w:bCs/>
          <w:color w:val="auto"/>
          <w:sz w:val="32"/>
          <w:szCs w:val="32"/>
          <w:lang w:val="en-US" w:eastAsia="zh-CN"/>
        </w:rPr>
        <w:t>基本要求</w:t>
      </w:r>
    </w:p>
    <w:p w14:paraId="47DE1591">
      <w:pPr>
        <w:pStyle w:val="3"/>
        <w:pageBreakBefore w:val="0"/>
        <w:widowControl w:val="0"/>
        <w:numPr>
          <w:ilvl w:val="0"/>
          <w:numId w:val="0"/>
        </w:numPr>
        <w:kinsoku/>
        <w:wordWrap/>
        <w:overflowPunct/>
        <w:topLinePunct w:val="0"/>
        <w:autoSpaceDE/>
        <w:autoSpaceDN/>
        <w:bidi w:val="0"/>
        <w:snapToGrid/>
        <w:spacing w:before="0" w:after="0" w:line="500" w:lineRule="exact"/>
        <w:ind w:firstLine="320" w:firstLineChars="100"/>
        <w:jc w:val="both"/>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（一）采购人：陕西锌业有限公司</w:t>
      </w:r>
    </w:p>
    <w:p w14:paraId="40ED9E04">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采购项目</w:t>
      </w:r>
      <w:r>
        <w:rPr>
          <w:rFonts w:hint="eastAsia" w:ascii="仿宋" w:hAnsi="仿宋" w:eastAsia="仿宋" w:cs="仿宋"/>
          <w:color w:val="auto"/>
          <w:sz w:val="32"/>
          <w:szCs w:val="32"/>
        </w:rPr>
        <w:t>名称：</w:t>
      </w:r>
      <w:bookmarkStart w:id="4" w:name="_Toc14565"/>
      <w:bookmarkStart w:id="5" w:name="_Toc33795776"/>
      <w:bookmarkStart w:id="6" w:name="_Toc7037"/>
      <w:bookmarkStart w:id="7" w:name="_Toc11471"/>
      <w:r>
        <w:rPr>
          <w:rFonts w:hint="eastAsia" w:ascii="仿宋" w:hAnsi="仿宋" w:eastAsia="仿宋" w:cs="仿宋"/>
          <w:color w:val="auto"/>
          <w:sz w:val="32"/>
          <w:szCs w:val="32"/>
          <w:lang w:eastAsia="zh-CN"/>
        </w:rPr>
        <w:t>陕西锌业有限公司其它备品备件</w:t>
      </w:r>
      <w:r>
        <w:rPr>
          <w:rFonts w:hint="eastAsia" w:ascii="仿宋" w:hAnsi="仿宋" w:eastAsia="仿宋" w:cs="仿宋"/>
          <w:color w:val="auto"/>
          <w:sz w:val="32"/>
          <w:szCs w:val="32"/>
          <w:lang w:val="en-US" w:eastAsia="zh-CN"/>
        </w:rPr>
        <w:t>采购项目</w:t>
      </w:r>
      <w:bookmarkEnd w:id="4"/>
      <w:bookmarkEnd w:id="5"/>
      <w:bookmarkEnd w:id="6"/>
      <w:bookmarkEnd w:id="7"/>
      <w:r>
        <w:rPr>
          <w:rFonts w:hint="eastAsia" w:ascii="仿宋" w:hAnsi="仿宋" w:eastAsia="仿宋" w:cs="仿宋"/>
          <w:color w:val="auto"/>
          <w:sz w:val="32"/>
          <w:szCs w:val="32"/>
          <w:lang w:val="en-US" w:eastAsia="zh-CN"/>
        </w:rPr>
        <w:t>。</w:t>
      </w:r>
    </w:p>
    <w:p w14:paraId="60E2423F">
      <w:pPr>
        <w:pageBreakBefore w:val="0"/>
        <w:widowControl w:val="0"/>
        <w:kinsoku/>
        <w:wordWrap/>
        <w:overflowPunct/>
        <w:topLinePunct w:val="0"/>
        <w:autoSpaceDE/>
        <w:autoSpaceDN/>
        <w:bidi w:val="0"/>
        <w:snapToGrid/>
        <w:spacing w:line="500" w:lineRule="exact"/>
        <w:ind w:left="0"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交货时间</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合同签订15日内到货。</w:t>
      </w:r>
    </w:p>
    <w:p w14:paraId="34E0C44C">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（四）交货地点：采购方公司库房。</w:t>
      </w:r>
    </w:p>
    <w:p w14:paraId="1C85B548">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（五）采购货物一览表</w:t>
      </w:r>
    </w:p>
    <w:p w14:paraId="58E3B569">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详见附件</w:t>
      </w:r>
    </w:p>
    <w:p w14:paraId="2E923FC0">
      <w:pPr>
        <w:keepNext w:val="0"/>
        <w:keepLines w:val="0"/>
        <w:pageBreakBefore w:val="0"/>
        <w:widowControl w:val="0"/>
        <w:kinsoku/>
        <w:wordWrap/>
        <w:overflowPunct w:val="0"/>
        <w:topLinePunct w:val="0"/>
        <w:autoSpaceDE/>
        <w:autoSpaceDN/>
        <w:bidi w:val="0"/>
        <w:adjustRightInd w:val="0"/>
        <w:snapToGrid/>
        <w:spacing w:line="500" w:lineRule="exact"/>
        <w:jc w:val="both"/>
        <w:textAlignment w:val="baseline"/>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质量</w:t>
      </w:r>
      <w:r>
        <w:rPr>
          <w:rFonts w:hint="eastAsia" w:ascii="仿宋" w:hAnsi="仿宋" w:eastAsia="仿宋" w:cs="仿宋"/>
          <w:color w:val="auto"/>
          <w:sz w:val="32"/>
          <w:szCs w:val="32"/>
          <w:lang w:val="en-US" w:eastAsia="zh-CN"/>
        </w:rPr>
        <w:t>要求</w:t>
      </w:r>
      <w:r>
        <w:rPr>
          <w:rFonts w:hint="eastAsia" w:ascii="仿宋" w:hAnsi="仿宋" w:eastAsia="仿宋" w:cs="仿宋"/>
          <w:color w:val="auto"/>
          <w:sz w:val="32"/>
          <w:szCs w:val="32"/>
        </w:rPr>
        <w:t>：</w:t>
      </w:r>
    </w:p>
    <w:p w14:paraId="164CE2C4">
      <w:pPr>
        <w:keepNext w:val="0"/>
        <w:keepLines w:val="0"/>
        <w:pageBreakBefore w:val="0"/>
        <w:widowControl/>
        <w:kinsoku/>
        <w:wordWrap/>
        <w:overflowPunct/>
        <w:topLinePunct w:val="0"/>
        <w:autoSpaceDE/>
        <w:autoSpaceDN/>
        <w:bidi w:val="0"/>
        <w:adjustRightInd w:val="0"/>
        <w:snapToGrid w:val="0"/>
        <w:spacing w:line="400" w:lineRule="exact"/>
        <w:ind w:right="252" w:rightChars="120" w:firstLine="640" w:firstLineChars="200"/>
        <w:textAlignment w:val="auto"/>
        <w:rPr>
          <w:rFonts w:hint="eastAsia" w:ascii="仿宋" w:hAnsi="仿宋" w:eastAsia="仿宋"/>
          <w:sz w:val="32"/>
          <w:szCs w:val="32"/>
        </w:rPr>
      </w:pPr>
      <w:bookmarkStart w:id="8" w:name="_Toc14196"/>
      <w:bookmarkStart w:id="9" w:name="_Toc14688"/>
      <w:bookmarkStart w:id="10" w:name="_Toc29895"/>
      <w:bookmarkStart w:id="11" w:name="_Toc33795778"/>
      <w:r>
        <w:rPr>
          <w:rFonts w:hint="eastAsia" w:ascii="仿宋" w:hAnsi="仿宋" w:eastAsia="仿宋"/>
          <w:sz w:val="32"/>
          <w:szCs w:val="32"/>
          <w:lang w:val="en-US" w:eastAsia="zh-CN"/>
        </w:rPr>
        <w:t>1.</w:t>
      </w:r>
      <w:r>
        <w:rPr>
          <w:rFonts w:hint="eastAsia" w:ascii="仿宋" w:hAnsi="仿宋" w:eastAsia="仿宋"/>
          <w:sz w:val="32"/>
          <w:szCs w:val="32"/>
        </w:rPr>
        <w:t>产品质量符合</w:t>
      </w:r>
      <w:r>
        <w:rPr>
          <w:rFonts w:hint="eastAsia" w:ascii="仿宋" w:hAnsi="仿宋" w:eastAsia="仿宋"/>
          <w:sz w:val="32"/>
          <w:szCs w:val="32"/>
          <w:lang w:eastAsia="zh-CN"/>
        </w:rPr>
        <w:t>国标</w:t>
      </w:r>
      <w:r>
        <w:rPr>
          <w:rFonts w:hint="eastAsia" w:ascii="仿宋" w:hAnsi="仿宋" w:eastAsia="仿宋"/>
          <w:sz w:val="32"/>
          <w:szCs w:val="32"/>
        </w:rPr>
        <w:t>。</w:t>
      </w:r>
    </w:p>
    <w:p w14:paraId="01BA1830">
      <w:pPr>
        <w:keepNext w:val="0"/>
        <w:keepLines w:val="0"/>
        <w:pageBreakBefore w:val="0"/>
        <w:widowControl/>
        <w:kinsoku/>
        <w:wordWrap/>
        <w:overflowPunct/>
        <w:topLinePunct w:val="0"/>
        <w:autoSpaceDE/>
        <w:autoSpaceDN/>
        <w:bidi w:val="0"/>
        <w:adjustRightInd w:val="0"/>
        <w:snapToGrid w:val="0"/>
        <w:spacing w:line="400" w:lineRule="exact"/>
        <w:ind w:right="252" w:rightChars="120" w:firstLine="640" w:firstLineChars="200"/>
        <w:textAlignment w:val="auto"/>
        <w:rPr>
          <w:rFonts w:hint="eastAsia" w:ascii="仿宋" w:hAnsi="仿宋" w:eastAsia="仿宋"/>
          <w:sz w:val="32"/>
          <w:szCs w:val="32"/>
        </w:rPr>
      </w:pPr>
      <w:r>
        <w:rPr>
          <w:rFonts w:hint="eastAsia" w:ascii="仿宋" w:hAnsi="仿宋" w:eastAsia="仿宋"/>
          <w:sz w:val="32"/>
          <w:szCs w:val="32"/>
          <w:lang w:val="en-US" w:eastAsia="zh-CN"/>
        </w:rPr>
        <w:t>2.</w:t>
      </w:r>
      <w:r>
        <w:rPr>
          <w:rFonts w:hint="eastAsia" w:ascii="仿宋" w:hAnsi="仿宋" w:eastAsia="仿宋"/>
          <w:sz w:val="32"/>
          <w:szCs w:val="32"/>
        </w:rPr>
        <w:t>产品合格证、</w:t>
      </w:r>
      <w:r>
        <w:rPr>
          <w:rFonts w:hint="eastAsia" w:ascii="仿宋" w:hAnsi="仿宋" w:eastAsia="仿宋"/>
          <w:sz w:val="32"/>
          <w:szCs w:val="32"/>
          <w:lang w:eastAsia="zh-CN"/>
        </w:rPr>
        <w:t>货物清单</w:t>
      </w:r>
      <w:r>
        <w:rPr>
          <w:rFonts w:hint="eastAsia" w:ascii="仿宋" w:hAnsi="仿宋" w:eastAsia="仿宋"/>
          <w:sz w:val="32"/>
          <w:szCs w:val="32"/>
        </w:rPr>
        <w:t>等随货同行。</w:t>
      </w:r>
    </w:p>
    <w:p w14:paraId="3E515AED">
      <w:pPr>
        <w:keepNext w:val="0"/>
        <w:keepLines w:val="0"/>
        <w:pageBreakBefore w:val="0"/>
        <w:widowControl/>
        <w:kinsoku/>
        <w:wordWrap/>
        <w:overflowPunct/>
        <w:topLinePunct w:val="0"/>
        <w:autoSpaceDE/>
        <w:autoSpaceDN/>
        <w:bidi w:val="0"/>
        <w:adjustRightInd w:val="0"/>
        <w:snapToGrid w:val="0"/>
        <w:spacing w:line="400" w:lineRule="exact"/>
        <w:ind w:right="252" w:rightChars="120" w:firstLine="640" w:firstLineChars="200"/>
        <w:textAlignment w:val="auto"/>
        <w:rPr>
          <w:rFonts w:hint="eastAsia" w:ascii="仿宋" w:hAnsi="仿宋" w:eastAsia="仿宋"/>
          <w:sz w:val="32"/>
          <w:szCs w:val="32"/>
          <w:lang w:eastAsia="zh-CN"/>
        </w:rPr>
      </w:pPr>
      <w:r>
        <w:rPr>
          <w:rFonts w:hint="eastAsia" w:ascii="仿宋" w:hAnsi="仿宋" w:eastAsia="仿宋"/>
          <w:sz w:val="32"/>
          <w:szCs w:val="32"/>
          <w:lang w:val="en-US" w:eastAsia="zh-CN"/>
        </w:rPr>
        <w:t>3.</w:t>
      </w:r>
      <w:r>
        <w:rPr>
          <w:rFonts w:hint="eastAsia" w:ascii="仿宋" w:hAnsi="仿宋" w:eastAsia="仿宋"/>
          <w:sz w:val="32"/>
          <w:szCs w:val="32"/>
        </w:rPr>
        <w:t>质量</w:t>
      </w:r>
      <w:r>
        <w:rPr>
          <w:rFonts w:hint="eastAsia" w:ascii="仿宋" w:hAnsi="仿宋" w:eastAsia="仿宋"/>
          <w:sz w:val="32"/>
          <w:szCs w:val="32"/>
          <w:lang w:eastAsia="zh-CN"/>
        </w:rPr>
        <w:t>符合国家标准，在质保期内出现质量问题，出卖方免费更换。</w:t>
      </w:r>
    </w:p>
    <w:p w14:paraId="0EBD8071">
      <w:pPr>
        <w:keepNext w:val="0"/>
        <w:keepLines w:val="0"/>
        <w:pageBreakBefore w:val="0"/>
        <w:widowControl/>
        <w:kinsoku/>
        <w:wordWrap/>
        <w:overflowPunct/>
        <w:topLinePunct w:val="0"/>
        <w:autoSpaceDE/>
        <w:autoSpaceDN/>
        <w:bidi w:val="0"/>
        <w:adjustRightInd w:val="0"/>
        <w:snapToGrid w:val="0"/>
        <w:spacing w:line="400" w:lineRule="exact"/>
        <w:ind w:right="252" w:rightChars="120" w:firstLine="640" w:firstLineChars="200"/>
        <w:textAlignment w:val="auto"/>
        <w:rPr>
          <w:rFonts w:hint="eastAsia" w:ascii="仿宋" w:hAnsi="仿宋" w:eastAsia="仿宋" w:cs="仿宋"/>
          <w:sz w:val="24"/>
        </w:rPr>
      </w:pPr>
      <w:r>
        <w:rPr>
          <w:rFonts w:hint="eastAsia" w:ascii="仿宋" w:hAnsi="仿宋" w:eastAsia="仿宋"/>
          <w:sz w:val="32"/>
          <w:szCs w:val="32"/>
          <w:lang w:val="en-US" w:eastAsia="zh-CN"/>
        </w:rPr>
        <w:t>4.在质保期内，因质量问题影响生产，造成损失的，出卖方须赔偿生产损失。费用双方协商解决。</w:t>
      </w:r>
    </w:p>
    <w:p w14:paraId="2EA20E74">
      <w:pPr>
        <w:keepNext w:val="0"/>
        <w:keepLines w:val="0"/>
        <w:pageBreakBefore w:val="0"/>
        <w:widowControl w:val="0"/>
        <w:numPr>
          <w:ilvl w:val="0"/>
          <w:numId w:val="1"/>
        </w:numPr>
        <w:kinsoku/>
        <w:wordWrap/>
        <w:overflowPunct w:val="0"/>
        <w:topLinePunct w:val="0"/>
        <w:autoSpaceDE/>
        <w:autoSpaceDN/>
        <w:bidi w:val="0"/>
        <w:adjustRightInd w:val="0"/>
        <w:snapToGrid/>
        <w:spacing w:line="500" w:lineRule="exact"/>
        <w:ind w:firstLine="320" w:firstLineChars="100"/>
        <w:jc w:val="both"/>
        <w:rPr>
          <w:rFonts w:hint="default" w:ascii="仿宋" w:hAnsi="仿宋" w:eastAsia="仿宋" w:cs="仿宋"/>
          <w:sz w:val="24"/>
          <w:lang w:val="en-US" w:eastAsia="zh-CN"/>
        </w:rPr>
      </w:pPr>
      <w:r>
        <w:rPr>
          <w:rFonts w:hint="eastAsia" w:ascii="仿宋" w:hAnsi="仿宋" w:eastAsia="仿宋" w:cs="仿宋"/>
          <w:sz w:val="32"/>
          <w:szCs w:val="32"/>
          <w:lang w:val="en-US" w:eastAsia="zh-CN"/>
        </w:rPr>
        <w:t>付款方式：</w:t>
      </w:r>
      <w:r>
        <w:rPr>
          <w:rFonts w:hint="eastAsia" w:ascii="仿宋" w:hAnsi="仿宋" w:eastAsia="仿宋"/>
          <w:sz w:val="32"/>
          <w:szCs w:val="32"/>
        </w:rPr>
        <w:t>货到验收合格一个月</w:t>
      </w:r>
      <w:r>
        <w:rPr>
          <w:rFonts w:hint="eastAsia" w:ascii="仿宋" w:hAnsi="仿宋" w:eastAsia="仿宋"/>
          <w:sz w:val="32"/>
          <w:szCs w:val="32"/>
          <w:lang w:eastAsia="zh-CN"/>
        </w:rPr>
        <w:t>，</w:t>
      </w:r>
      <w:r>
        <w:rPr>
          <w:rFonts w:hint="eastAsia" w:ascii="仿宋" w:hAnsi="仿宋" w:eastAsia="仿宋"/>
          <w:sz w:val="32"/>
          <w:szCs w:val="32"/>
          <w:lang w:val="en-US" w:eastAsia="zh-CN"/>
        </w:rPr>
        <w:t>出卖方开具合同全额13%增值税发票给采购方。采购方收到发票后三个月内付清。</w:t>
      </w:r>
    </w:p>
    <w:p w14:paraId="108947EA">
      <w:pPr>
        <w:keepNext w:val="0"/>
        <w:keepLines w:val="0"/>
        <w:pageBreakBefore w:val="0"/>
        <w:widowControl w:val="0"/>
        <w:numPr>
          <w:ilvl w:val="0"/>
          <w:numId w:val="1"/>
        </w:numPr>
        <w:kinsoku/>
        <w:wordWrap/>
        <w:overflowPunct w:val="0"/>
        <w:topLinePunct w:val="0"/>
        <w:autoSpaceDE/>
        <w:autoSpaceDN/>
        <w:bidi w:val="0"/>
        <w:adjustRightInd w:val="0"/>
        <w:snapToGrid/>
        <w:spacing w:line="500" w:lineRule="exact"/>
        <w:ind w:firstLine="320" w:firstLineChars="100"/>
        <w:jc w:val="both"/>
        <w:rPr>
          <w:rFonts w:hint="default" w:ascii="仿宋" w:hAnsi="仿宋" w:eastAsia="仿宋" w:cs="仿宋"/>
          <w:sz w:val="24"/>
          <w:lang w:val="en-US" w:eastAsia="zh-CN"/>
        </w:rPr>
      </w:pPr>
      <w:r>
        <w:rPr>
          <w:rFonts w:hint="eastAsia" w:ascii="仿宋" w:hAnsi="仿宋" w:eastAsia="仿宋" w:cs="仿宋"/>
          <w:sz w:val="32"/>
          <w:szCs w:val="32"/>
        </w:rPr>
        <w:t>报价为含税、含运费一票制（13%全额增值税专用发票）。</w:t>
      </w:r>
    </w:p>
    <w:p w14:paraId="773E468D">
      <w:pPr>
        <w:keepNext w:val="0"/>
        <w:keepLines w:val="0"/>
        <w:pageBreakBefore w:val="0"/>
        <w:widowControl w:val="0"/>
        <w:numPr>
          <w:ilvl w:val="0"/>
          <w:numId w:val="1"/>
        </w:numPr>
        <w:kinsoku/>
        <w:wordWrap/>
        <w:overflowPunct w:val="0"/>
        <w:topLinePunct w:val="0"/>
        <w:autoSpaceDE/>
        <w:autoSpaceDN/>
        <w:bidi w:val="0"/>
        <w:adjustRightInd w:val="0"/>
        <w:snapToGrid/>
        <w:spacing w:line="500" w:lineRule="exact"/>
        <w:ind w:firstLine="320" w:firstLineChars="100"/>
        <w:jc w:val="both"/>
        <w:rPr>
          <w:rFonts w:hint="default" w:ascii="仿宋" w:hAnsi="仿宋" w:eastAsia="仿宋" w:cs="仿宋"/>
          <w:sz w:val="24"/>
          <w:lang w:val="en-US" w:eastAsia="zh-CN"/>
        </w:rPr>
      </w:pPr>
      <w:r>
        <w:rPr>
          <w:rFonts w:hint="eastAsia" w:ascii="仿宋" w:hAnsi="仿宋" w:eastAsia="仿宋" w:cs="仿宋"/>
          <w:bCs/>
          <w:color w:val="auto"/>
          <w:sz w:val="32"/>
          <w:szCs w:val="32"/>
          <w:lang w:eastAsia="zh-CN"/>
        </w:rPr>
        <w:t>包装要求：木箱或纸箱</w:t>
      </w:r>
      <w:r>
        <w:rPr>
          <w:rFonts w:hint="eastAsia" w:ascii="仿宋" w:hAnsi="仿宋" w:eastAsia="仿宋" w:cs="仿宋"/>
          <w:bCs/>
          <w:color w:val="auto"/>
          <w:sz w:val="32"/>
          <w:szCs w:val="32"/>
          <w:lang w:val="en-US" w:eastAsia="zh-CN"/>
        </w:rPr>
        <w:t>包装。包装物不计价，不回收。</w:t>
      </w:r>
    </w:p>
    <w:p w14:paraId="111D7C35">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（十一）运输方式及到达站港和费用负担：汽车运输，运输费用由</w:t>
      </w:r>
      <w:r>
        <w:rPr>
          <w:rFonts w:hint="eastAsia" w:ascii="仿宋" w:hAnsi="仿宋" w:eastAsia="仿宋" w:cs="仿宋"/>
          <w:bCs/>
          <w:color w:val="auto"/>
          <w:sz w:val="32"/>
          <w:szCs w:val="32"/>
          <w:lang w:val="en-US" w:eastAsia="zh-CN"/>
        </w:rPr>
        <w:t>供方</w:t>
      </w:r>
      <w:r>
        <w:rPr>
          <w:rFonts w:hint="eastAsia" w:ascii="仿宋" w:hAnsi="仿宋" w:eastAsia="仿宋" w:cs="仿宋"/>
          <w:bCs/>
          <w:color w:val="auto"/>
          <w:sz w:val="32"/>
          <w:szCs w:val="32"/>
          <w:lang w:eastAsia="zh-CN"/>
        </w:rPr>
        <w:t>承担，运输车辆</w:t>
      </w:r>
      <w:r>
        <w:rPr>
          <w:rFonts w:hint="eastAsia" w:ascii="仿宋" w:hAnsi="仿宋" w:eastAsia="仿宋" w:cs="仿宋"/>
          <w:bCs/>
          <w:color w:val="auto"/>
          <w:sz w:val="32"/>
          <w:szCs w:val="32"/>
          <w:lang w:val="en-US" w:eastAsia="zh-CN"/>
        </w:rPr>
        <w:t>应</w:t>
      </w:r>
      <w:r>
        <w:rPr>
          <w:rFonts w:hint="eastAsia" w:ascii="仿宋" w:hAnsi="仿宋" w:eastAsia="仿宋" w:cs="仿宋"/>
          <w:bCs/>
          <w:color w:val="auto"/>
          <w:sz w:val="32"/>
          <w:szCs w:val="32"/>
          <w:lang w:eastAsia="zh-CN"/>
        </w:rPr>
        <w:t>加装符合国家安全管理需要的防火安全设备，如灭火器、防火罩等，否则不</w:t>
      </w:r>
      <w:r>
        <w:rPr>
          <w:rFonts w:hint="eastAsia" w:ascii="仿宋" w:hAnsi="仿宋" w:eastAsia="仿宋" w:cs="仿宋"/>
          <w:bCs/>
          <w:color w:val="auto"/>
          <w:sz w:val="32"/>
          <w:szCs w:val="32"/>
          <w:lang w:val="en-US" w:eastAsia="zh-CN"/>
        </w:rPr>
        <w:t>得</w:t>
      </w:r>
      <w:r>
        <w:rPr>
          <w:rFonts w:hint="eastAsia" w:ascii="仿宋" w:hAnsi="仿宋" w:eastAsia="仿宋" w:cs="仿宋"/>
          <w:bCs/>
          <w:color w:val="auto"/>
          <w:sz w:val="32"/>
          <w:szCs w:val="32"/>
          <w:lang w:eastAsia="zh-CN"/>
        </w:rPr>
        <w:t>进入采购</w:t>
      </w:r>
      <w:r>
        <w:rPr>
          <w:rFonts w:hint="eastAsia" w:ascii="仿宋" w:hAnsi="仿宋" w:eastAsia="仿宋" w:cs="仿宋"/>
          <w:bCs/>
          <w:color w:val="auto"/>
          <w:sz w:val="32"/>
          <w:szCs w:val="32"/>
          <w:lang w:val="en-US" w:eastAsia="zh-CN"/>
        </w:rPr>
        <w:t>人</w:t>
      </w:r>
      <w:r>
        <w:rPr>
          <w:rFonts w:hint="eastAsia" w:ascii="仿宋" w:hAnsi="仿宋" w:eastAsia="仿宋" w:cs="仿宋"/>
          <w:bCs/>
          <w:color w:val="auto"/>
          <w:sz w:val="32"/>
          <w:szCs w:val="32"/>
          <w:lang w:eastAsia="zh-CN"/>
        </w:rPr>
        <w:t>厂内。</w:t>
      </w:r>
    </w:p>
    <w:p w14:paraId="3374CC40">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十二</w:t>
      </w:r>
      <w:r>
        <w:rPr>
          <w:rFonts w:hint="eastAsia" w:ascii="仿宋" w:hAnsi="仿宋" w:eastAsia="仿宋" w:cs="仿宋"/>
          <w:bCs/>
          <w:color w:val="auto"/>
          <w:sz w:val="32"/>
          <w:szCs w:val="32"/>
          <w:lang w:eastAsia="zh-CN"/>
        </w:rPr>
        <w:t>）合理损耗及计算方法：无损耗，以采购方计量为准。</w:t>
      </w:r>
    </w:p>
    <w:p w14:paraId="35FA5B8B">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十三</w:t>
      </w:r>
      <w:r>
        <w:rPr>
          <w:rFonts w:hint="eastAsia" w:ascii="仿宋" w:hAnsi="仿宋" w:eastAsia="仿宋" w:cs="仿宋"/>
          <w:bCs/>
          <w:color w:val="auto"/>
          <w:sz w:val="32"/>
          <w:szCs w:val="32"/>
          <w:lang w:eastAsia="zh-CN"/>
        </w:rPr>
        <w:t>）验收标准、方法：依据第一</w:t>
      </w:r>
      <w:r>
        <w:rPr>
          <w:rFonts w:hint="eastAsia" w:ascii="仿宋" w:hAnsi="仿宋" w:eastAsia="仿宋" w:cs="仿宋"/>
          <w:bCs/>
          <w:color w:val="auto"/>
          <w:sz w:val="32"/>
          <w:szCs w:val="32"/>
          <w:lang w:val="en-US" w:eastAsia="zh-CN"/>
        </w:rPr>
        <w:t>条</w:t>
      </w:r>
      <w:r>
        <w:rPr>
          <w:rFonts w:hint="eastAsia" w:ascii="仿宋" w:hAnsi="仿宋" w:eastAsia="仿宋" w:cs="仿宋"/>
          <w:bCs/>
          <w:color w:val="auto"/>
          <w:sz w:val="32"/>
          <w:szCs w:val="32"/>
          <w:lang w:eastAsia="zh-CN"/>
        </w:rPr>
        <w:t>第</w:t>
      </w:r>
      <w:r>
        <w:rPr>
          <w:rFonts w:hint="eastAsia" w:ascii="仿宋" w:hAnsi="仿宋" w:eastAsia="仿宋" w:cs="仿宋"/>
          <w:bCs/>
          <w:color w:val="auto"/>
          <w:sz w:val="32"/>
          <w:szCs w:val="32"/>
          <w:lang w:val="en-US" w:eastAsia="zh-CN"/>
        </w:rPr>
        <w:t>六款质量标准</w:t>
      </w:r>
      <w:r>
        <w:rPr>
          <w:rFonts w:hint="eastAsia" w:ascii="仿宋" w:hAnsi="仿宋" w:eastAsia="仿宋" w:cs="仿宋"/>
          <w:bCs/>
          <w:color w:val="auto"/>
          <w:sz w:val="32"/>
          <w:szCs w:val="32"/>
          <w:lang w:eastAsia="zh-CN"/>
        </w:rPr>
        <w:t>验收。</w:t>
      </w:r>
    </w:p>
    <w:p w14:paraId="7ACA9579">
      <w:pPr>
        <w:keepNext w:val="0"/>
        <w:keepLines w:val="0"/>
        <w:pageBreakBefore w:val="0"/>
        <w:widowControl w:val="0"/>
        <w:kinsoku/>
        <w:wordWrap/>
        <w:overflowPunct w:val="0"/>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十四</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资格和履约能力要求</w:t>
      </w:r>
      <w:bookmarkEnd w:id="8"/>
      <w:bookmarkEnd w:id="9"/>
      <w:bookmarkEnd w:id="10"/>
      <w:bookmarkEnd w:id="11"/>
      <w:r>
        <w:rPr>
          <w:rFonts w:hint="eastAsia" w:ascii="仿宋" w:hAnsi="仿宋" w:eastAsia="仿宋" w:cs="仿宋"/>
          <w:color w:val="auto"/>
          <w:sz w:val="32"/>
          <w:szCs w:val="32"/>
          <w:lang w:eastAsia="zh-CN"/>
        </w:rPr>
        <w:t>：</w:t>
      </w:r>
    </w:p>
    <w:p w14:paraId="6AA93B53">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资质要求：</w:t>
      </w:r>
    </w:p>
    <w:p w14:paraId="1591848C">
      <w:pPr>
        <w:keepNext w:val="0"/>
        <w:keepLines w:val="0"/>
        <w:pageBreakBefore w:val="0"/>
        <w:widowControl w:val="0"/>
        <w:suppressLineNumbers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（1）供应商须为中华人民共和国境内依法注册的法人或者其他组织，有能力完成本项目的厂家或经销商，具备合法的营业执照；</w:t>
      </w:r>
    </w:p>
    <w:p w14:paraId="39A78C3A">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（2）供应商已取得陕西锌业有限公司供应商库该类产品入库供应商资格。</w:t>
      </w:r>
    </w:p>
    <w:p w14:paraId="35257DA8">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信用要求：</w:t>
      </w:r>
    </w:p>
    <w:p w14:paraId="2CBF8E58">
      <w:pPr>
        <w:keepNext w:val="0"/>
        <w:keepLines w:val="0"/>
        <w:pageBreakBefore w:val="0"/>
        <w:widowControl w:val="0"/>
        <w:numPr>
          <w:ilvl w:val="0"/>
          <w:numId w:val="0"/>
        </w:numPr>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（1）供应商具有良好的银行资信和商业信誉，没有处于被责令停业、财产被接管、冻结、破产状态（附承诺书）；</w:t>
      </w:r>
    </w:p>
    <w:p w14:paraId="331E0D5B">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（2）供应商不得在“信用中国-中国执行信息公开网”被列为失信被执行人；</w:t>
      </w:r>
    </w:p>
    <w:p w14:paraId="191C72B0">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业绩要求：</w:t>
      </w:r>
      <w:r>
        <w:rPr>
          <w:rFonts w:hint="eastAsia" w:ascii="仿宋" w:hAnsi="仿宋" w:eastAsia="仿宋" w:cs="仿宋"/>
          <w:color w:val="auto"/>
          <w:sz w:val="32"/>
          <w:szCs w:val="32"/>
          <w:lang w:val="en-US" w:eastAsia="zh-CN"/>
        </w:rPr>
        <w:t>供应商2022年5月至今具有此类产品业绩（提供合同复印件，时间以合同签订时间为准）；</w:t>
      </w:r>
    </w:p>
    <w:p w14:paraId="43A9FC6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4.联合体响应：本项目不接受联合体响应。</w:t>
      </w:r>
    </w:p>
    <w:p w14:paraId="61B6A8D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其他要求：</w:t>
      </w:r>
    </w:p>
    <w:p w14:paraId="0A720ED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不得存在下列情形之一：</w:t>
      </w:r>
    </w:p>
    <w:p w14:paraId="1A195530">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存在利害关系可能影响</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公正性；</w:t>
      </w:r>
    </w:p>
    <w:p w14:paraId="77AB75D4">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法定代表人（单位负责人）为同一人或者存在控股、管理关系的不同法人或其他组织同时参加</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w:t>
      </w:r>
    </w:p>
    <w:p w14:paraId="03CEEA18">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被依法暂停或者取消</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 xml:space="preserve">资格； </w:t>
      </w:r>
    </w:p>
    <w:p w14:paraId="18DF468E">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被责令停产停业、暂扣或者吊销许可证、暂扣或者吊销执照；</w:t>
      </w:r>
    </w:p>
    <w:p w14:paraId="60D18205">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进入清算程序，或被宣告破产，或其他丧失履约能力的情形；</w:t>
      </w:r>
    </w:p>
    <w:p w14:paraId="68FE9DC7">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在最近三年内发生重大产品质量问题；</w:t>
      </w:r>
    </w:p>
    <w:p w14:paraId="38256BD6">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法律法规规定的其他情形。</w:t>
      </w:r>
    </w:p>
    <w:p w14:paraId="7FC1F071">
      <w:pPr>
        <w:keepNext w:val="0"/>
        <w:keepLines w:val="0"/>
        <w:pageBreakBefore w:val="0"/>
        <w:widowControl w:val="0"/>
        <w:kinsoku/>
        <w:wordWrap/>
        <w:overflowPunct w:val="0"/>
        <w:topLinePunct w:val="0"/>
        <w:autoSpaceDE/>
        <w:autoSpaceDN/>
        <w:bidi w:val="0"/>
        <w:snapToGrid/>
        <w:spacing w:line="500" w:lineRule="exact"/>
        <w:ind w:firstLine="321" w:firstLineChars="100"/>
        <w:jc w:val="both"/>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lang w:val="en-US" w:eastAsia="zh-CN"/>
        </w:rPr>
        <w:t>二、</w:t>
      </w:r>
      <w:r>
        <w:rPr>
          <w:rFonts w:hint="eastAsia" w:ascii="仿宋" w:hAnsi="仿宋" w:eastAsia="仿宋" w:cs="仿宋"/>
          <w:b/>
          <w:bCs/>
          <w:color w:val="auto"/>
          <w:sz w:val="32"/>
          <w:szCs w:val="32"/>
          <w:lang w:eastAsia="zh-CN"/>
        </w:rPr>
        <w:t>询比采购文件的获取</w:t>
      </w:r>
    </w:p>
    <w:p w14:paraId="0866C375">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询比采购文件在陕西锌业有限公司网络询比采购平台（www.sxxyjjpt.com）发布，符合条件的供应商可自行下载采购文件。</w:t>
      </w:r>
    </w:p>
    <w:p w14:paraId="762B272F">
      <w:pPr>
        <w:keepNext w:val="0"/>
        <w:keepLines w:val="0"/>
        <w:pageBreakBefore w:val="0"/>
        <w:widowControl w:val="0"/>
        <w:kinsoku/>
        <w:wordWrap/>
        <w:overflowPunct w:val="0"/>
        <w:topLinePunct w:val="0"/>
        <w:autoSpaceDE/>
        <w:autoSpaceDN/>
        <w:bidi w:val="0"/>
        <w:snapToGrid/>
        <w:spacing w:line="500" w:lineRule="exact"/>
        <w:ind w:left="0" w:firstLine="321" w:firstLineChars="100"/>
        <w:jc w:val="both"/>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三、供应商</w:t>
      </w:r>
      <w:r>
        <w:rPr>
          <w:rFonts w:hint="eastAsia" w:ascii="仿宋" w:hAnsi="仿宋" w:eastAsia="仿宋" w:cs="仿宋"/>
          <w:b/>
          <w:bCs/>
          <w:color w:val="auto"/>
          <w:sz w:val="32"/>
          <w:szCs w:val="32"/>
          <w:lang w:eastAsia="zh-CN"/>
        </w:rPr>
        <w:t>响应</w:t>
      </w:r>
    </w:p>
    <w:p w14:paraId="46BC35B0">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（一）响应报价</w:t>
      </w:r>
    </w:p>
    <w:p w14:paraId="042FF9D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w:t>
      </w:r>
      <w:r>
        <w:rPr>
          <w:rFonts w:hint="eastAsia" w:ascii="仿宋" w:hAnsi="仿宋" w:eastAsia="仿宋" w:cs="仿宋"/>
          <w:color w:val="auto"/>
          <w:sz w:val="32"/>
          <w:szCs w:val="32"/>
          <w:lang w:val="en-US" w:eastAsia="zh-CN"/>
        </w:rPr>
        <w:t>按</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格式”要求在</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中进行报价并填写</w:t>
      </w:r>
      <w:r>
        <w:rPr>
          <w:rFonts w:hint="eastAsia" w:ascii="仿宋" w:hAnsi="仿宋" w:eastAsia="仿宋" w:cs="仿宋"/>
          <w:color w:val="auto"/>
          <w:sz w:val="32"/>
          <w:szCs w:val="32"/>
          <w:lang w:eastAsia="zh-CN"/>
        </w:rPr>
        <w:t>响应文件的</w:t>
      </w:r>
      <w:r>
        <w:rPr>
          <w:rFonts w:hint="eastAsia" w:ascii="仿宋" w:hAnsi="仿宋" w:eastAsia="仿宋" w:cs="仿宋"/>
          <w:color w:val="auto"/>
          <w:sz w:val="32"/>
          <w:szCs w:val="32"/>
          <w:lang w:val="en-US" w:eastAsia="zh-CN"/>
        </w:rPr>
        <w:t>开启</w:t>
      </w:r>
      <w:r>
        <w:rPr>
          <w:rFonts w:hint="eastAsia" w:ascii="仿宋" w:hAnsi="仿宋" w:eastAsia="仿宋" w:cs="仿宋"/>
          <w:color w:val="auto"/>
          <w:sz w:val="32"/>
          <w:szCs w:val="32"/>
        </w:rPr>
        <w:t>一览表。</w:t>
      </w:r>
    </w:p>
    <w:p w14:paraId="3C376F33">
      <w:pPr>
        <w:pStyle w:val="6"/>
        <w:keepNext w:val="0"/>
        <w:keepLines w:val="0"/>
        <w:pageBreakBefore w:val="0"/>
        <w:widowControl w:val="0"/>
        <w:numPr>
          <w:ilvl w:val="0"/>
          <w:numId w:val="0"/>
        </w:numPr>
        <w:kinsoku/>
        <w:wordWrap/>
        <w:overflowPunct w:val="0"/>
        <w:topLinePunct w:val="0"/>
        <w:autoSpaceDE/>
        <w:autoSpaceDN/>
        <w:bidi w:val="0"/>
        <w:snapToGrid/>
        <w:spacing w:after="0" w:line="500" w:lineRule="exact"/>
        <w:ind w:left="0" w:firstLine="640" w:firstLineChars="200"/>
        <w:jc w:val="both"/>
        <w:rPr>
          <w:rFonts w:hint="eastAsia" w:ascii="仿宋" w:hAnsi="仿宋" w:eastAsia="仿宋" w:cs="仿宋"/>
          <w:sz w:val="32"/>
          <w:szCs w:val="32"/>
          <w:highlight w:val="none"/>
        </w:rPr>
      </w:pPr>
      <w:r>
        <w:rPr>
          <w:rFonts w:hint="eastAsia" w:ascii="仿宋" w:hAnsi="仿宋" w:eastAsia="仿宋" w:cs="仿宋"/>
          <w:color w:val="auto"/>
          <w:sz w:val="32"/>
          <w:szCs w:val="32"/>
          <w:lang w:val="en-US" w:eastAsia="zh-CN"/>
        </w:rPr>
        <w:t>2.</w:t>
      </w:r>
      <w:r>
        <w:rPr>
          <w:rFonts w:hint="eastAsia" w:ascii="仿宋" w:hAnsi="仿宋" w:eastAsia="仿宋" w:cs="仿宋"/>
          <w:sz w:val="32"/>
          <w:szCs w:val="32"/>
        </w:rPr>
        <w:t>报价</w:t>
      </w:r>
      <w:r>
        <w:rPr>
          <w:rFonts w:hint="eastAsia" w:ascii="仿宋" w:hAnsi="仿宋" w:eastAsia="仿宋" w:cs="仿宋"/>
          <w:sz w:val="32"/>
          <w:szCs w:val="32"/>
          <w:highlight w:val="none"/>
        </w:rPr>
        <w:t>包括商检费、运输费、保险费、税费以及采购人指定地点全包价。该价款不因原料、材料、劳务、能源等市场价格的变动而变动。</w:t>
      </w:r>
    </w:p>
    <w:p w14:paraId="70FACD6F">
      <w:pPr>
        <w:pStyle w:val="6"/>
        <w:keepNext w:val="0"/>
        <w:keepLines w:val="0"/>
        <w:pageBreakBefore w:val="0"/>
        <w:widowControl w:val="0"/>
        <w:numPr>
          <w:ilvl w:val="0"/>
          <w:numId w:val="0"/>
        </w:numPr>
        <w:kinsoku/>
        <w:wordWrap/>
        <w:overflowPunct w:val="0"/>
        <w:topLinePunct w:val="0"/>
        <w:autoSpaceDE/>
        <w:autoSpaceDN/>
        <w:bidi w:val="0"/>
        <w:snapToGrid/>
        <w:spacing w:after="0"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在</w:t>
      </w:r>
      <w:r>
        <w:rPr>
          <w:rFonts w:hint="eastAsia" w:ascii="仿宋" w:hAnsi="仿宋" w:eastAsia="仿宋" w:cs="仿宋"/>
          <w:color w:val="auto"/>
          <w:sz w:val="32"/>
          <w:szCs w:val="32"/>
          <w:highlight w:val="none"/>
          <w:lang w:eastAsia="zh-CN"/>
        </w:rPr>
        <w:t>响应文件递交截止时间</w:t>
      </w:r>
      <w:r>
        <w:rPr>
          <w:rFonts w:hint="eastAsia" w:ascii="仿宋" w:hAnsi="仿宋" w:eastAsia="仿宋" w:cs="仿宋"/>
          <w:color w:val="auto"/>
          <w:sz w:val="32"/>
          <w:szCs w:val="32"/>
          <w:highlight w:val="none"/>
        </w:rPr>
        <w:t>前修改</w:t>
      </w:r>
      <w:r>
        <w:rPr>
          <w:rFonts w:hint="eastAsia" w:ascii="仿宋" w:hAnsi="仿宋" w:eastAsia="仿宋" w:cs="仿宋"/>
          <w:color w:val="auto"/>
          <w:sz w:val="32"/>
          <w:szCs w:val="32"/>
          <w:highlight w:val="none"/>
          <w:lang w:eastAsia="zh-CN"/>
        </w:rPr>
        <w:t>响应函</w:t>
      </w:r>
      <w:r>
        <w:rPr>
          <w:rFonts w:hint="eastAsia" w:ascii="仿宋" w:hAnsi="仿宋" w:eastAsia="仿宋" w:cs="仿宋"/>
          <w:color w:val="auto"/>
          <w:sz w:val="32"/>
          <w:szCs w:val="32"/>
          <w:highlight w:val="none"/>
        </w:rPr>
        <w:t>中的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总额，应同时修</w:t>
      </w:r>
      <w:bookmarkStart w:id="12" w:name="_Toc144974510"/>
      <w:bookmarkStart w:id="13" w:name="_Toc152042318"/>
      <w:bookmarkStart w:id="14" w:name="_Toc247513966"/>
      <w:bookmarkStart w:id="15" w:name="_Toc247527567"/>
      <w:bookmarkStart w:id="16" w:name="_Toc384308223"/>
      <w:bookmarkStart w:id="17" w:name="_Toc369531529"/>
      <w:bookmarkStart w:id="18" w:name="_Toc300834963"/>
      <w:bookmarkStart w:id="19" w:name="_Toc352691486"/>
      <w:bookmarkStart w:id="20" w:name="_Toc152045542"/>
      <w:bookmarkStart w:id="21" w:name="_Toc361508598"/>
      <w:bookmarkStart w:id="22" w:name="_Toc25772"/>
      <w:r>
        <w:rPr>
          <w:rFonts w:hint="eastAsia" w:ascii="仿宋" w:hAnsi="仿宋" w:eastAsia="仿宋" w:cs="仿宋"/>
          <w:color w:val="auto"/>
          <w:sz w:val="32"/>
          <w:szCs w:val="32"/>
          <w:highlight w:val="none"/>
        </w:rPr>
        <w:t>改</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eastAsia="zh-CN"/>
        </w:rPr>
        <w:t>响应文件的开启</w:t>
      </w:r>
      <w:r>
        <w:rPr>
          <w:rFonts w:hint="eastAsia" w:ascii="仿宋" w:hAnsi="仿宋" w:eastAsia="仿宋" w:cs="仿宋"/>
          <w:color w:val="auto"/>
          <w:sz w:val="32"/>
          <w:szCs w:val="32"/>
          <w:highlight w:val="none"/>
        </w:rPr>
        <w:t>一览表”、</w:t>
      </w:r>
      <w:bookmarkEnd w:id="12"/>
      <w:bookmarkEnd w:id="13"/>
      <w:bookmarkEnd w:id="14"/>
      <w:bookmarkEnd w:id="15"/>
      <w:bookmarkEnd w:id="16"/>
      <w:bookmarkEnd w:id="17"/>
      <w:bookmarkEnd w:id="18"/>
      <w:bookmarkEnd w:id="19"/>
      <w:bookmarkEnd w:id="20"/>
      <w:bookmarkEnd w:id="21"/>
      <w:bookmarkEnd w:id="22"/>
      <w:bookmarkStart w:id="23" w:name="_Toc144974511"/>
      <w:bookmarkStart w:id="24" w:name="_Toc361508599"/>
      <w:bookmarkStart w:id="25" w:name="_Toc15242"/>
      <w:bookmarkStart w:id="26" w:name="_Toc247527568"/>
      <w:bookmarkStart w:id="27" w:name="_Toc152042319"/>
      <w:bookmarkStart w:id="28" w:name="_Toc247513967"/>
      <w:bookmarkStart w:id="29" w:name="_Toc152045543"/>
      <w:bookmarkStart w:id="30" w:name="_Toc369531530"/>
      <w:bookmarkStart w:id="31" w:name="_Toc300834964"/>
      <w:bookmarkStart w:id="32" w:name="_Toc352691487"/>
      <w:bookmarkStart w:id="33" w:name="_Toc384308224"/>
      <w:r>
        <w:rPr>
          <w:rFonts w:hint="eastAsia" w:ascii="仿宋" w:hAnsi="仿宋" w:eastAsia="仿宋" w:cs="仿宋"/>
          <w:color w:val="auto"/>
          <w:sz w:val="32"/>
          <w:szCs w:val="32"/>
          <w:highlight w:val="none"/>
        </w:rPr>
        <w:t>“分项报价表”中的相应报价。</w:t>
      </w:r>
      <w:bookmarkEnd w:id="23"/>
      <w:bookmarkEnd w:id="24"/>
      <w:bookmarkEnd w:id="25"/>
      <w:bookmarkEnd w:id="26"/>
      <w:bookmarkEnd w:id="27"/>
      <w:bookmarkEnd w:id="28"/>
      <w:bookmarkEnd w:id="29"/>
      <w:bookmarkEnd w:id="30"/>
      <w:bookmarkEnd w:id="31"/>
      <w:bookmarkEnd w:id="32"/>
      <w:bookmarkEnd w:id="33"/>
    </w:p>
    <w:p w14:paraId="59F67F9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为各分项报价金额之和，</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与分项报价的合价不一致的，应以各分项合价累计数为准，修正</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w:t>
      </w:r>
    </w:p>
    <w:p w14:paraId="5D60370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成交供应商</w:t>
      </w:r>
      <w:r>
        <w:rPr>
          <w:rFonts w:hint="eastAsia" w:ascii="仿宋" w:hAnsi="仿宋" w:eastAsia="仿宋" w:cs="仿宋"/>
          <w:color w:val="auto"/>
          <w:sz w:val="32"/>
          <w:szCs w:val="32"/>
          <w:highlight w:val="none"/>
        </w:rPr>
        <w:t>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是</w:t>
      </w:r>
      <w:r>
        <w:rPr>
          <w:rFonts w:hint="eastAsia" w:ascii="仿宋" w:hAnsi="仿宋" w:eastAsia="仿宋" w:cs="仿宋"/>
          <w:color w:val="auto"/>
          <w:sz w:val="32"/>
          <w:szCs w:val="32"/>
          <w:highlight w:val="none"/>
          <w:lang w:eastAsia="zh-CN"/>
        </w:rPr>
        <w:t>成交</w:t>
      </w:r>
      <w:r>
        <w:rPr>
          <w:rFonts w:hint="eastAsia" w:ascii="仿宋" w:hAnsi="仿宋" w:eastAsia="仿宋" w:cs="仿宋"/>
          <w:color w:val="auto"/>
          <w:sz w:val="32"/>
          <w:szCs w:val="32"/>
          <w:highlight w:val="none"/>
        </w:rPr>
        <w:t>、签订合同及合同执行过程中的依据，不得进行实质性变动。</w:t>
      </w:r>
    </w:p>
    <w:p w14:paraId="2AF67726">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）响应有效期</w:t>
      </w:r>
    </w:p>
    <w:p w14:paraId="12E59B8A">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响应有效期</w:t>
      </w:r>
      <w:r>
        <w:rPr>
          <w:rFonts w:hint="eastAsia" w:ascii="仿宋" w:hAnsi="仿宋" w:eastAsia="仿宋" w:cs="仿宋"/>
          <w:color w:val="auto"/>
          <w:sz w:val="32"/>
          <w:szCs w:val="32"/>
          <w:highlight w:val="none"/>
        </w:rPr>
        <w:t>从提交</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截止之日起算</w:t>
      </w:r>
      <w:r>
        <w:rPr>
          <w:rFonts w:hint="eastAsia" w:ascii="仿宋" w:hAnsi="仿宋" w:eastAsia="仿宋" w:cs="仿宋"/>
          <w:color w:val="auto"/>
          <w:sz w:val="32"/>
          <w:szCs w:val="32"/>
          <w:highlight w:val="none"/>
          <w:lang w:val="en-US" w:eastAsia="zh-CN"/>
        </w:rPr>
        <w:t>90</w:t>
      </w:r>
      <w:r>
        <w:rPr>
          <w:rFonts w:hint="eastAsia" w:ascii="仿宋" w:hAnsi="仿宋" w:eastAsia="仿宋" w:cs="仿宋"/>
          <w:color w:val="auto"/>
          <w:sz w:val="32"/>
          <w:szCs w:val="32"/>
          <w:highlight w:val="none"/>
        </w:rPr>
        <w:t>天。</w:t>
      </w:r>
    </w:p>
    <w:p w14:paraId="4921EB2E">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的，应承担</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和法律规定的责任。</w:t>
      </w:r>
    </w:p>
    <w:p w14:paraId="6C447586">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）响应保证金</w:t>
      </w:r>
    </w:p>
    <w:p w14:paraId="3FCCF529">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在递交</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的同时，应按规定的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格式递交</w:t>
      </w:r>
      <w:r>
        <w:rPr>
          <w:rFonts w:hint="eastAsia" w:ascii="仿宋" w:hAnsi="仿宋" w:eastAsia="仿宋" w:cs="仿宋"/>
          <w:color w:val="auto"/>
          <w:sz w:val="32"/>
          <w:szCs w:val="32"/>
          <w:lang w:eastAsia="zh-CN"/>
        </w:rPr>
        <w:t>响应保证金壹</w:t>
      </w:r>
      <w:r>
        <w:rPr>
          <w:rFonts w:hint="eastAsia" w:ascii="仿宋" w:hAnsi="仿宋" w:eastAsia="仿宋" w:cs="仿宋"/>
          <w:color w:val="auto"/>
          <w:sz w:val="32"/>
          <w:szCs w:val="32"/>
          <w:lang w:val="en-US" w:eastAsia="zh-CN"/>
        </w:rPr>
        <w:t>仟元</w:t>
      </w:r>
      <w:r>
        <w:rPr>
          <w:rFonts w:hint="eastAsia" w:ascii="仿宋" w:hAnsi="仿宋" w:eastAsia="仿宋" w:cs="仿宋"/>
          <w:color w:val="auto"/>
          <w:sz w:val="32"/>
          <w:szCs w:val="32"/>
        </w:rPr>
        <w:t>，并作为其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60A85439">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保证金支付账户如下：</w:t>
      </w:r>
    </w:p>
    <w:p w14:paraId="29A7EF43">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收款人：陕西锌业有限公司</w:t>
      </w:r>
    </w:p>
    <w:p w14:paraId="7BC0530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账号：26805701040010332</w:t>
      </w:r>
    </w:p>
    <w:p w14:paraId="739AAD1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开户行：中国农业银行商洛商州区支行</w:t>
      </w:r>
    </w:p>
    <w:p w14:paraId="0877474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的形式：转账、保函、支票</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签订保证金协议等</w:t>
      </w:r>
      <w:r>
        <w:rPr>
          <w:rFonts w:hint="eastAsia" w:ascii="仿宋" w:hAnsi="仿宋" w:eastAsia="仿宋" w:cs="仿宋"/>
          <w:color w:val="auto"/>
          <w:sz w:val="32"/>
          <w:szCs w:val="32"/>
        </w:rPr>
        <w:t>任何一种。</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以现金或者支票形式提交的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，应当从其基本账户转出并在</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中附上基本账户开户证明</w:t>
      </w:r>
      <w:r>
        <w:rPr>
          <w:rFonts w:hint="eastAsia" w:ascii="仿宋" w:hAnsi="仿宋" w:eastAsia="仿宋" w:cs="仿宋"/>
          <w:color w:val="auto"/>
          <w:sz w:val="32"/>
          <w:szCs w:val="32"/>
          <w:lang w:eastAsia="zh-CN"/>
        </w:rPr>
        <w:t>。</w:t>
      </w:r>
    </w:p>
    <w:p w14:paraId="10700F1A">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必须在</w:t>
      </w:r>
      <w:r>
        <w:rPr>
          <w:rFonts w:hint="eastAsia" w:ascii="仿宋" w:hAnsi="仿宋" w:eastAsia="仿宋" w:cs="仿宋"/>
          <w:color w:val="auto"/>
          <w:sz w:val="32"/>
          <w:szCs w:val="32"/>
          <w:lang w:eastAsia="zh-CN"/>
        </w:rPr>
        <w:t>响应文件递交截止时间</w:t>
      </w:r>
      <w:r>
        <w:rPr>
          <w:rFonts w:hint="eastAsia" w:ascii="仿宋" w:hAnsi="仿宋" w:eastAsia="仿宋" w:cs="仿宋"/>
          <w:color w:val="auto"/>
          <w:sz w:val="32"/>
          <w:szCs w:val="32"/>
        </w:rPr>
        <w:t>前到达指定帐户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以保函形式缴纳保证金其保函须由银行或</w:t>
      </w:r>
      <w:r>
        <w:rPr>
          <w:rFonts w:hint="eastAsia" w:ascii="仿宋" w:hAnsi="仿宋" w:eastAsia="仿宋" w:cs="仿宋"/>
          <w:color w:val="auto"/>
          <w:sz w:val="32"/>
          <w:szCs w:val="32"/>
          <w:lang w:val="en-US" w:eastAsia="zh-CN"/>
        </w:rPr>
        <w:t>具</w:t>
      </w:r>
      <w:r>
        <w:rPr>
          <w:rFonts w:hint="eastAsia" w:ascii="仿宋" w:hAnsi="仿宋" w:eastAsia="仿宋" w:cs="仿宋"/>
          <w:color w:val="auto"/>
          <w:sz w:val="32"/>
          <w:szCs w:val="32"/>
        </w:rPr>
        <w:t>有出具保函资格的单位出具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并于</w:t>
      </w:r>
      <w:r>
        <w:rPr>
          <w:rFonts w:hint="eastAsia" w:ascii="仿宋" w:hAnsi="仿宋" w:eastAsia="仿宋" w:cs="仿宋"/>
          <w:color w:val="auto"/>
          <w:sz w:val="32"/>
          <w:szCs w:val="32"/>
          <w:lang w:eastAsia="zh-CN"/>
        </w:rPr>
        <w:t>响应文件的开启</w:t>
      </w:r>
      <w:r>
        <w:rPr>
          <w:rFonts w:hint="eastAsia" w:ascii="仿宋" w:hAnsi="仿宋" w:eastAsia="仿宋" w:cs="仿宋"/>
          <w:color w:val="auto"/>
          <w:sz w:val="32"/>
          <w:szCs w:val="32"/>
        </w:rPr>
        <w:t>现场递交保函原件，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中附保函复印件。</w:t>
      </w:r>
    </w:p>
    <w:p w14:paraId="4EA8B7AF">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有效期与</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一致。</w:t>
      </w:r>
    </w:p>
    <w:p w14:paraId="759BF1AB">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不按</w:t>
      </w:r>
      <w:bookmarkStart w:id="34" w:name="_Toc369531533"/>
      <w:bookmarkStart w:id="35" w:name="_Toc384308227"/>
      <w:bookmarkStart w:id="36" w:name="_Toc29025"/>
      <w:bookmarkStart w:id="37" w:name="_Toc361508602"/>
      <w:bookmarkStart w:id="38" w:name="_Toc352691490"/>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bookmarkEnd w:id="34"/>
      <w:bookmarkEnd w:id="35"/>
      <w:bookmarkEnd w:id="36"/>
      <w:bookmarkEnd w:id="37"/>
      <w:bookmarkEnd w:id="38"/>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将否决其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2026A2C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最迟应当在与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bookmarkStart w:id="39" w:name="_Toc247527571"/>
      <w:bookmarkStart w:id="40" w:name="_Toc369531534"/>
      <w:bookmarkStart w:id="41" w:name="_Toc152042322"/>
      <w:bookmarkStart w:id="42" w:name="_Toc14751"/>
      <w:bookmarkStart w:id="43" w:name="_Toc300834967"/>
      <w:bookmarkStart w:id="44" w:name="_Toc352691491"/>
      <w:bookmarkStart w:id="45" w:name="_Toc152045546"/>
      <w:bookmarkStart w:id="46" w:name="_Toc361508603"/>
      <w:bookmarkStart w:id="47" w:name="_Toc384308228"/>
      <w:bookmarkStart w:id="48" w:name="_Toc144974514"/>
      <w:bookmarkStart w:id="49" w:name="_Toc247513970"/>
      <w:r>
        <w:rPr>
          <w:rFonts w:hint="eastAsia" w:ascii="仿宋" w:hAnsi="仿宋" w:eastAsia="仿宋" w:cs="仿宋"/>
          <w:color w:val="auto"/>
          <w:sz w:val="32"/>
          <w:szCs w:val="32"/>
        </w:rPr>
        <w:t>签订合同后</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w:t>
      </w:r>
      <w:bookmarkEnd w:id="39"/>
      <w:bookmarkEnd w:id="40"/>
      <w:bookmarkEnd w:id="41"/>
      <w:bookmarkEnd w:id="42"/>
      <w:bookmarkEnd w:id="43"/>
      <w:bookmarkEnd w:id="44"/>
      <w:bookmarkEnd w:id="45"/>
      <w:bookmarkEnd w:id="46"/>
      <w:bookmarkEnd w:id="47"/>
      <w:bookmarkEnd w:id="48"/>
      <w:bookmarkEnd w:id="49"/>
      <w:r>
        <w:rPr>
          <w:rFonts w:hint="eastAsia" w:ascii="仿宋" w:hAnsi="仿宋" w:eastAsia="仿宋" w:cs="仿宋"/>
          <w:color w:val="auto"/>
          <w:sz w:val="32"/>
          <w:szCs w:val="32"/>
        </w:rPr>
        <w:t>内</w:t>
      </w:r>
      <w:bookmarkStart w:id="50" w:name="_Toc361508604"/>
      <w:bookmarkStart w:id="51" w:name="_Toc17952"/>
      <w:bookmarkStart w:id="52" w:name="_Toc300834968"/>
      <w:bookmarkStart w:id="53" w:name="_Toc369531535"/>
      <w:bookmarkStart w:id="54" w:name="_Toc152042323"/>
      <w:bookmarkStart w:id="55" w:name="_Toc144974515"/>
      <w:bookmarkStart w:id="56" w:name="_Toc247513971"/>
      <w:bookmarkStart w:id="57" w:name="_Toc384308229"/>
      <w:bookmarkStart w:id="58" w:name="_Toc352691492"/>
      <w:bookmarkStart w:id="59" w:name="_Toc247527572"/>
      <w:bookmarkStart w:id="60" w:name="_Toc152045547"/>
      <w:r>
        <w:rPr>
          <w:rFonts w:hint="eastAsia" w:ascii="仿宋" w:hAnsi="仿宋" w:eastAsia="仿宋" w:cs="仿宋"/>
          <w:color w:val="auto"/>
          <w:sz w:val="32"/>
          <w:szCs w:val="32"/>
        </w:rPr>
        <w:t>，向未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和</w:t>
      </w:r>
      <w:bookmarkEnd w:id="50"/>
      <w:bookmarkEnd w:id="51"/>
      <w:bookmarkEnd w:id="52"/>
      <w:bookmarkEnd w:id="53"/>
      <w:bookmarkEnd w:id="54"/>
      <w:bookmarkEnd w:id="55"/>
      <w:bookmarkEnd w:id="56"/>
      <w:bookmarkEnd w:id="57"/>
      <w:bookmarkEnd w:id="58"/>
      <w:bookmarkEnd w:id="59"/>
      <w:bookmarkEnd w:id="60"/>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r>
        <w:rPr>
          <w:rFonts w:hint="eastAsia" w:ascii="仿宋" w:hAnsi="仿宋" w:eastAsia="仿宋" w:cs="仿宋"/>
          <w:color w:val="auto"/>
          <w:sz w:val="32"/>
          <w:szCs w:val="32"/>
          <w:lang w:val="en-US" w:eastAsia="zh-CN"/>
        </w:rPr>
        <w:t>无息</w:t>
      </w:r>
      <w:r>
        <w:rPr>
          <w:rFonts w:hint="eastAsia" w:ascii="仿宋" w:hAnsi="仿宋" w:eastAsia="仿宋" w:cs="仿宋"/>
          <w:color w:val="auto"/>
          <w:sz w:val="32"/>
          <w:szCs w:val="32"/>
        </w:rPr>
        <w:t>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7D70381E">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有下列情形之一的，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将不予退还：</w:t>
      </w:r>
    </w:p>
    <w:p w14:paraId="581459CC">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53FAA3E2">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项目的，无正当理由不与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订立合同的，在签订合同时向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提出附加条件或者更改合同实质性内容的，或者拒不按照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要求提交履约担保的。</w:t>
      </w:r>
    </w:p>
    <w:p w14:paraId="26956804">
      <w:pPr>
        <w:pStyle w:val="4"/>
        <w:keepNext w:val="0"/>
        <w:keepLines w:val="0"/>
        <w:pageBreakBefore w:val="0"/>
        <w:widowControl w:val="0"/>
        <w:kinsoku/>
        <w:wordWrap/>
        <w:overflowPunct w:val="0"/>
        <w:topLinePunct w:val="0"/>
        <w:autoSpaceDE/>
        <w:autoSpaceDN/>
        <w:bidi w:val="0"/>
        <w:snapToGrid/>
        <w:spacing w:before="0" w:after="0" w:line="500" w:lineRule="exact"/>
        <w:ind w:left="0" w:firstLine="320" w:firstLineChars="100"/>
        <w:jc w:val="both"/>
        <w:rPr>
          <w:rFonts w:hint="eastAsia" w:ascii="仿宋" w:hAnsi="仿宋" w:eastAsia="仿宋" w:cs="仿宋"/>
          <w:color w:val="auto"/>
          <w:sz w:val="32"/>
          <w:szCs w:val="32"/>
        </w:rPr>
      </w:pPr>
      <w:bookmarkStart w:id="61" w:name="_Toc28216"/>
      <w:bookmarkStart w:id="62" w:name="_Toc33795794"/>
      <w:bookmarkStart w:id="63" w:name="_Toc21871"/>
      <w:bookmarkStart w:id="64" w:name="_Toc24514"/>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资格审查资料</w:t>
      </w:r>
      <w:bookmarkEnd w:id="61"/>
      <w:bookmarkEnd w:id="62"/>
      <w:bookmarkEnd w:id="63"/>
      <w:bookmarkEnd w:id="64"/>
    </w:p>
    <w:p w14:paraId="6A45E124">
      <w:pPr>
        <w:pStyle w:val="4"/>
        <w:keepNext w:val="0"/>
        <w:keepLines w:val="0"/>
        <w:pageBreakBefore w:val="0"/>
        <w:widowControl w:val="0"/>
        <w:kinsoku/>
        <w:wordWrap/>
        <w:overflowPunct w:val="0"/>
        <w:topLinePunct w:val="0"/>
        <w:autoSpaceDE/>
        <w:autoSpaceDN/>
        <w:bidi w:val="0"/>
        <w:snapToGrid/>
        <w:spacing w:before="0" w:after="0"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应按下列规定提供相关的证明材料，以证明其满足资质、财务、业绩、信誉要求。</w:t>
      </w:r>
    </w:p>
    <w:p w14:paraId="73B841F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基本情况表”应附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资格或者资质证书副本等材料的复印件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为企业的，应提交营业执照复印件；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为依法允许经营的事业单位的，应提交事业单位法人证书和组织机构代码证的复印件。</w:t>
      </w:r>
    </w:p>
    <w:p w14:paraId="157A643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“近年财务状况表”应</w:t>
      </w:r>
      <w:r>
        <w:rPr>
          <w:rFonts w:hint="eastAsia" w:ascii="仿宋" w:hAnsi="仿宋" w:eastAsia="仿宋" w:cs="仿宋"/>
          <w:color w:val="auto"/>
          <w:sz w:val="32"/>
          <w:szCs w:val="32"/>
          <w:lang w:val="en-US" w:eastAsia="zh-CN"/>
        </w:rPr>
        <w:t>附近两年来的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财务报表或经审计机构审计的财务会计报表，包括资产负债表、现金流量表、利润表和财务情况说明书的复印件，成立的时间不足</w:t>
      </w:r>
      <w:r>
        <w:rPr>
          <w:rFonts w:hint="eastAsia" w:ascii="仿宋" w:hAnsi="仿宋" w:eastAsia="仿宋" w:cs="仿宋"/>
          <w:color w:val="auto"/>
          <w:sz w:val="32"/>
          <w:szCs w:val="32"/>
          <w:lang w:val="en-US" w:eastAsia="zh-CN"/>
        </w:rPr>
        <w:t>两年</w:t>
      </w:r>
      <w:r>
        <w:rPr>
          <w:rFonts w:hint="eastAsia" w:ascii="仿宋" w:hAnsi="仿宋" w:eastAsia="仿宋" w:cs="仿宋"/>
          <w:color w:val="auto"/>
          <w:sz w:val="32"/>
          <w:szCs w:val="32"/>
        </w:rPr>
        <w:t>的，应提供成立以来的财务状况。</w:t>
      </w:r>
    </w:p>
    <w:p w14:paraId="1156083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“近年完成的类似项目情况表”应附</w:t>
      </w:r>
      <w:r>
        <w:rPr>
          <w:rFonts w:hint="eastAsia" w:ascii="仿宋" w:hAnsi="仿宋" w:eastAsia="仿宋" w:cs="仿宋"/>
          <w:color w:val="auto"/>
          <w:sz w:val="32"/>
          <w:szCs w:val="32"/>
          <w:lang w:val="en-US" w:eastAsia="zh-CN"/>
        </w:rPr>
        <w:t>从2022年3月至今的</w:t>
      </w:r>
      <w:r>
        <w:rPr>
          <w:rFonts w:hint="eastAsia" w:ascii="仿宋" w:hAnsi="仿宋" w:eastAsia="仿宋" w:cs="仿宋"/>
          <w:color w:val="auto"/>
          <w:sz w:val="32"/>
          <w:szCs w:val="32"/>
        </w:rPr>
        <w:t>合同复印件，每张表格只填写一个项目，并标明序号。</w:t>
      </w:r>
      <w:r>
        <w:rPr>
          <w:rFonts w:hint="eastAsia" w:ascii="仿宋" w:hAnsi="仿宋" w:eastAsia="仿宋" w:cs="仿宋"/>
          <w:color w:val="auto"/>
          <w:sz w:val="32"/>
          <w:szCs w:val="32"/>
          <w:lang w:eastAsia="zh-CN"/>
        </w:rPr>
        <w:t>每年提供一份尚可。</w:t>
      </w:r>
    </w:p>
    <w:p w14:paraId="6E037C9D">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“近年发生的诉讼及仲裁情况”应说明相关情况，并附</w:t>
      </w:r>
      <w:r>
        <w:rPr>
          <w:rFonts w:hint="eastAsia" w:ascii="仿宋" w:hAnsi="仿宋" w:eastAsia="仿宋" w:cs="仿宋"/>
          <w:color w:val="auto"/>
          <w:sz w:val="32"/>
          <w:szCs w:val="32"/>
          <w:lang w:val="en-US" w:eastAsia="zh-CN"/>
        </w:rPr>
        <w:t>2022年3月至今的</w:t>
      </w:r>
      <w:r>
        <w:rPr>
          <w:rFonts w:hint="eastAsia" w:ascii="仿宋" w:hAnsi="仿宋" w:eastAsia="仿宋" w:cs="仿宋"/>
          <w:color w:val="auto"/>
          <w:sz w:val="32"/>
          <w:szCs w:val="32"/>
        </w:rPr>
        <w:t>法院或仲裁机构作出的判决、裁决等有关法律文书复印件。</w:t>
      </w:r>
    </w:p>
    <w:p w14:paraId="1D34E7E0">
      <w:pPr>
        <w:keepNext w:val="0"/>
        <w:keepLines w:val="0"/>
        <w:pageBreakBefore w:val="0"/>
        <w:widowControl w:val="0"/>
        <w:kinsoku/>
        <w:wordWrap/>
        <w:overflowPunct w:val="0"/>
        <w:topLinePunct w:val="0"/>
        <w:autoSpaceDE/>
        <w:autoSpaceDN/>
        <w:bidi w:val="0"/>
        <w:snapToGrid/>
        <w:spacing w:line="500" w:lineRule="exact"/>
        <w:ind w:left="0" w:firstLine="644" w:firstLineChars="200"/>
        <w:jc w:val="both"/>
        <w:rPr>
          <w:rFonts w:hint="eastAsia" w:ascii="仿宋" w:hAnsi="仿宋" w:eastAsia="仿宋" w:cs="仿宋"/>
          <w:color w:val="auto"/>
          <w:sz w:val="32"/>
          <w:szCs w:val="32"/>
          <w:lang w:val="en-US" w:eastAsia="zh-CN"/>
        </w:rPr>
      </w:pPr>
      <w:r>
        <w:rPr>
          <w:rFonts w:hint="eastAsia" w:ascii="仿宋" w:hAnsi="仿宋" w:eastAsia="仿宋" w:cs="仿宋"/>
          <w:b w:val="0"/>
          <w:bCs w:val="0"/>
          <w:color w:val="auto"/>
          <w:spacing w:val="1"/>
          <w:sz w:val="32"/>
          <w:szCs w:val="32"/>
          <w:highlight w:val="none"/>
          <w:lang w:eastAsia="zh-CN"/>
        </w:rPr>
        <w:t>（</w:t>
      </w:r>
      <w:r>
        <w:rPr>
          <w:rFonts w:hint="eastAsia" w:ascii="仿宋" w:hAnsi="仿宋" w:eastAsia="仿宋" w:cs="仿宋"/>
          <w:color w:val="auto"/>
          <w:sz w:val="32"/>
          <w:szCs w:val="32"/>
          <w:lang w:val="en-US" w:eastAsia="zh-CN"/>
        </w:rPr>
        <w:t>五）响应文件的提交</w:t>
      </w:r>
    </w:p>
    <w:p w14:paraId="50008AD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 响应文件提交截止时间：2025年6月13日13时；</w:t>
      </w:r>
    </w:p>
    <w:p w14:paraId="447AAC18">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2.提交方法：陕西锌业有限公司网络询比采购平台（www.sxxyjjpt.com）</w:t>
      </w:r>
    </w:p>
    <w:p w14:paraId="691DA68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联系人：南晓霞     电话： 0914-2552485</w:t>
      </w:r>
    </w:p>
    <w:p w14:paraId="7252DC59">
      <w:pPr>
        <w:keepNext w:val="0"/>
        <w:keepLines w:val="0"/>
        <w:pageBreakBefore w:val="0"/>
        <w:widowControl w:val="0"/>
        <w:kinsoku/>
        <w:wordWrap/>
        <w:overflowPunct w:val="0"/>
        <w:topLinePunct w:val="0"/>
        <w:autoSpaceDE/>
        <w:autoSpaceDN/>
        <w:bidi w:val="0"/>
        <w:snapToGrid/>
        <w:spacing w:line="500" w:lineRule="exact"/>
        <w:ind w:left="0" w:firstLine="643" w:firstLineChars="200"/>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四、响应文件开启时间及地点</w:t>
      </w:r>
    </w:p>
    <w:p w14:paraId="7F66373D">
      <w:pPr>
        <w:keepNext w:val="0"/>
        <w:keepLines w:val="0"/>
        <w:pageBreakBefore w:val="0"/>
        <w:widowControl w:val="0"/>
        <w:shd w:val="clear" w:color="auto" w:fill="auto"/>
        <w:kinsoku/>
        <w:wordWrap/>
        <w:overflowPunct w:val="0"/>
        <w:topLinePunct w:val="0"/>
        <w:autoSpaceDE/>
        <w:autoSpaceDN/>
        <w:bidi w:val="0"/>
        <w:adjustRightInd/>
        <w:snapToGrid/>
        <w:spacing w:line="500" w:lineRule="exact"/>
        <w:ind w:firstLine="644" w:firstLineChars="200"/>
        <w:jc w:val="both"/>
        <w:textAlignment w:val="auto"/>
        <w:rPr>
          <w:rFonts w:hint="eastAsia" w:ascii="仿宋" w:hAnsi="仿宋" w:eastAsia="仿宋" w:cs="仿宋"/>
          <w:color w:val="auto"/>
          <w:spacing w:val="1"/>
          <w:kern w:val="0"/>
          <w:sz w:val="32"/>
          <w:szCs w:val="32"/>
          <w:highlight w:val="yellow"/>
          <w:lang w:val="en-US" w:eastAsia="zh-CN" w:bidi="ar-SA"/>
        </w:rPr>
      </w:pPr>
      <w:r>
        <w:rPr>
          <w:rFonts w:hint="eastAsia" w:ascii="仿宋" w:hAnsi="仿宋" w:eastAsia="仿宋" w:cs="仿宋"/>
          <w:color w:val="auto"/>
          <w:spacing w:val="1"/>
          <w:kern w:val="0"/>
          <w:sz w:val="32"/>
          <w:szCs w:val="32"/>
          <w:highlight w:val="none"/>
          <w:lang w:val="en-US" w:eastAsia="zh-CN" w:bidi="ar-SA"/>
        </w:rPr>
        <w:t>（一）响应文件的开启时间：</w:t>
      </w:r>
      <w:r>
        <w:rPr>
          <w:rFonts w:hint="eastAsia" w:ascii="仿宋" w:hAnsi="仿宋" w:eastAsia="仿宋" w:cs="仿宋"/>
          <w:color w:val="auto"/>
          <w:spacing w:val="1"/>
          <w:sz w:val="32"/>
          <w:szCs w:val="32"/>
          <w:highlight w:val="none"/>
          <w:lang w:val="en-US" w:eastAsia="zh-CN"/>
        </w:rPr>
        <w:t>2025年6月13日13时</w:t>
      </w:r>
      <w:r>
        <w:rPr>
          <w:rFonts w:hint="eastAsia" w:ascii="仿宋" w:hAnsi="仿宋" w:eastAsia="仿宋" w:cs="仿宋"/>
          <w:color w:val="auto"/>
          <w:spacing w:val="1"/>
          <w:kern w:val="0"/>
          <w:sz w:val="32"/>
          <w:szCs w:val="32"/>
          <w:highlight w:val="none"/>
          <w:lang w:val="en-US" w:eastAsia="zh-CN" w:bidi="ar-SA"/>
        </w:rPr>
        <w:t>；</w:t>
      </w:r>
    </w:p>
    <w:p w14:paraId="6C24618E">
      <w:pPr>
        <w:keepNext w:val="0"/>
        <w:keepLines w:val="0"/>
        <w:pageBreakBefore w:val="0"/>
        <w:widowControl w:val="0"/>
        <w:shd w:val="clear" w:color="auto" w:fill="auto"/>
        <w:kinsoku/>
        <w:wordWrap/>
        <w:overflowPunct w:val="0"/>
        <w:topLinePunct w:val="0"/>
        <w:autoSpaceDE/>
        <w:autoSpaceDN/>
        <w:bidi w:val="0"/>
        <w:adjustRightInd/>
        <w:snapToGrid/>
        <w:spacing w:line="500" w:lineRule="exact"/>
        <w:ind w:firstLine="644"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pacing w:val="1"/>
          <w:kern w:val="0"/>
          <w:sz w:val="32"/>
          <w:szCs w:val="32"/>
          <w:highlight w:val="none"/>
          <w:lang w:val="en-US" w:eastAsia="zh-CN" w:bidi="ar-SA"/>
        </w:rPr>
        <w:t>（二）响应文件的开启地点：陕西锌业有限公司办公楼二楼评审室（陕西省商洛市商州区沙河子镇）</w:t>
      </w:r>
    </w:p>
    <w:p w14:paraId="36EB763C">
      <w:pPr>
        <w:pStyle w:val="3"/>
        <w:keepNext w:val="0"/>
        <w:keepLines w:val="0"/>
        <w:pageBreakBefore w:val="0"/>
        <w:widowControl w:val="0"/>
        <w:kinsoku/>
        <w:wordWrap/>
        <w:overflowPunct w:val="0"/>
        <w:topLinePunct w:val="0"/>
        <w:autoSpaceDE/>
        <w:autoSpaceDN/>
        <w:bidi w:val="0"/>
        <w:adjustRightInd/>
        <w:snapToGrid/>
        <w:spacing w:before="0" w:after="0" w:line="500" w:lineRule="exact"/>
        <w:ind w:firstLine="643" w:firstLineChars="200"/>
        <w:jc w:val="both"/>
        <w:textAlignment w:val="auto"/>
        <w:rPr>
          <w:rFonts w:hint="eastAsia" w:ascii="仿宋" w:hAnsi="仿宋" w:eastAsia="仿宋" w:cs="仿宋"/>
          <w:color w:val="auto"/>
          <w:sz w:val="32"/>
          <w:szCs w:val="32"/>
          <w:lang w:val="en-US" w:eastAsia="zh-CN"/>
        </w:rPr>
      </w:pPr>
      <w:r>
        <w:rPr>
          <w:rStyle w:val="12"/>
          <w:rFonts w:hint="eastAsia" w:ascii="仿宋" w:hAnsi="仿宋" w:eastAsia="仿宋" w:cs="仿宋"/>
          <w:b/>
          <w:i w:val="0"/>
          <w:iCs w:val="0"/>
          <w:caps w:val="0"/>
          <w:color w:val="000000"/>
          <w:spacing w:val="0"/>
          <w:sz w:val="32"/>
          <w:szCs w:val="32"/>
          <w:lang w:val="en-US" w:eastAsia="zh-CN"/>
        </w:rPr>
        <w:t>五</w:t>
      </w:r>
      <w:r>
        <w:rPr>
          <w:rStyle w:val="12"/>
          <w:rFonts w:hint="eastAsia" w:ascii="仿宋" w:hAnsi="仿宋" w:eastAsia="仿宋" w:cs="仿宋"/>
          <w:b/>
          <w:i w:val="0"/>
          <w:iCs w:val="0"/>
          <w:caps w:val="0"/>
          <w:color w:val="000000"/>
          <w:spacing w:val="0"/>
          <w:sz w:val="32"/>
          <w:szCs w:val="32"/>
        </w:rPr>
        <w:t>、</w:t>
      </w:r>
      <w:r>
        <w:rPr>
          <w:rStyle w:val="12"/>
          <w:rFonts w:hint="eastAsia" w:ascii="仿宋" w:hAnsi="仿宋" w:eastAsia="仿宋" w:cs="仿宋"/>
          <w:b/>
          <w:i w:val="0"/>
          <w:iCs w:val="0"/>
          <w:caps w:val="0"/>
          <w:color w:val="000000"/>
          <w:spacing w:val="0"/>
          <w:sz w:val="32"/>
          <w:szCs w:val="32"/>
          <w:lang w:val="en-US" w:eastAsia="zh-CN"/>
        </w:rPr>
        <w:t>响应文件的</w:t>
      </w:r>
      <w:r>
        <w:rPr>
          <w:rFonts w:hint="eastAsia" w:ascii="仿宋" w:hAnsi="仿宋" w:eastAsia="仿宋" w:cs="仿宋"/>
          <w:color w:val="auto"/>
          <w:sz w:val="32"/>
          <w:szCs w:val="32"/>
        </w:rPr>
        <w:t>评</w:t>
      </w:r>
      <w:r>
        <w:rPr>
          <w:rFonts w:hint="eastAsia" w:ascii="仿宋" w:hAnsi="仿宋" w:eastAsia="仿宋" w:cs="仿宋"/>
          <w:color w:val="auto"/>
          <w:sz w:val="32"/>
          <w:szCs w:val="32"/>
          <w:lang w:val="en-US" w:eastAsia="zh-CN"/>
        </w:rPr>
        <w:t>审</w:t>
      </w:r>
    </w:p>
    <w:p w14:paraId="4FB8F8F1">
      <w:pPr>
        <w:keepNext w:val="0"/>
        <w:keepLines w:val="0"/>
        <w:pageBreakBefore w:val="0"/>
        <w:widowControl w:val="0"/>
        <w:kinsoku/>
        <w:wordWrap/>
        <w:overflowPunct w:val="0"/>
        <w:topLinePunct w:val="0"/>
        <w:autoSpaceDE/>
        <w:autoSpaceDN/>
        <w:bidi w:val="0"/>
        <w:snapToGrid/>
        <w:spacing w:line="500" w:lineRule="exact"/>
        <w:ind w:firstLine="64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（一）响应文件评审办法</w:t>
      </w:r>
    </w:p>
    <w:p w14:paraId="0A3DEE60">
      <w:pPr>
        <w:pStyle w:val="8"/>
        <w:keepNext w:val="0"/>
        <w:keepLines w:val="0"/>
        <w:pageBreakBefore w:val="0"/>
        <w:widowControl w:val="0"/>
        <w:suppressLineNumbers w:val="0"/>
        <w:kinsoku/>
        <w:wordWrap/>
        <w:overflowPunct w:val="0"/>
        <w:topLinePunct w:val="0"/>
        <w:autoSpaceDE/>
        <w:autoSpaceDN/>
        <w:bidi w:val="0"/>
        <w:snapToGrid/>
        <w:spacing w:before="0" w:beforeAutospacing="0" w:after="0" w:afterAutospacing="0" w:line="500" w:lineRule="exact"/>
        <w:ind w:firstLine="640" w:firstLineChars="2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rPr>
        <w:t>本次评</w:t>
      </w:r>
      <w:r>
        <w:rPr>
          <w:rFonts w:hint="eastAsia" w:ascii="仿宋" w:hAnsi="仿宋" w:eastAsia="仿宋" w:cs="仿宋"/>
          <w:color w:val="auto"/>
          <w:sz w:val="32"/>
          <w:szCs w:val="32"/>
          <w:lang w:val="en-US" w:eastAsia="zh-CN"/>
        </w:rPr>
        <w:t>审采用最低价法，是在响应文件满足采购文件实质性要求的前提下，按照供应商经评审的价格由低到高的顺序确定供应商优先次序的评审方法。</w:t>
      </w:r>
    </w:p>
    <w:p w14:paraId="07384BF3">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（二）响应文件评审程序</w:t>
      </w:r>
    </w:p>
    <w:p w14:paraId="192DFFD1">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highlight w:val="yellow"/>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可以要求</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提交</w:t>
      </w:r>
      <w:r>
        <w:rPr>
          <w:rFonts w:hint="eastAsia" w:ascii="仿宋" w:hAnsi="仿宋" w:eastAsia="仿宋" w:cs="仿宋"/>
          <w:color w:val="auto"/>
          <w:sz w:val="32"/>
          <w:szCs w:val="32"/>
          <w:highlight w:val="none"/>
          <w:lang w:val="en-US" w:eastAsia="zh-CN"/>
        </w:rPr>
        <w:t>第一条第十四款</w:t>
      </w:r>
      <w:r>
        <w:rPr>
          <w:rFonts w:hint="eastAsia" w:ascii="仿宋" w:hAnsi="仿宋" w:eastAsia="仿宋" w:cs="仿宋"/>
          <w:color w:val="auto"/>
          <w:sz w:val="32"/>
          <w:szCs w:val="32"/>
          <w:highlight w:val="none"/>
        </w:rPr>
        <w:t>规定的有关证明和证件的原件，</w:t>
      </w:r>
      <w:r>
        <w:rPr>
          <w:rFonts w:hint="eastAsia" w:ascii="仿宋" w:hAnsi="仿宋" w:eastAsia="仿宋" w:cs="仿宋"/>
          <w:color w:val="auto"/>
          <w:sz w:val="32"/>
          <w:szCs w:val="32"/>
          <w:highlight w:val="none"/>
          <w:lang w:val="en-US" w:eastAsia="zh-CN"/>
        </w:rPr>
        <w:t>评审小组</w:t>
      </w:r>
      <w:r>
        <w:rPr>
          <w:rFonts w:hint="eastAsia" w:ascii="仿宋" w:hAnsi="仿宋" w:eastAsia="仿宋" w:cs="仿宋"/>
          <w:color w:val="auto"/>
          <w:sz w:val="32"/>
          <w:szCs w:val="32"/>
          <w:highlight w:val="none"/>
        </w:rPr>
        <w:t>对</w:t>
      </w:r>
      <w:r>
        <w:rPr>
          <w:rFonts w:hint="eastAsia" w:ascii="仿宋" w:hAnsi="仿宋" w:eastAsia="仿宋" w:cs="仿宋"/>
          <w:color w:val="auto"/>
          <w:sz w:val="32"/>
          <w:szCs w:val="32"/>
          <w:highlight w:val="none"/>
          <w:lang w:val="en-US" w:eastAsia="zh-CN"/>
        </w:rPr>
        <w:t>前述</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进行初步评审</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有一项不符合评审标准的，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响应文件</w:t>
      </w:r>
      <w:r>
        <w:rPr>
          <w:rFonts w:hint="eastAsia" w:ascii="仿宋" w:hAnsi="仿宋" w:eastAsia="仿宋" w:cs="仿宋"/>
          <w:color w:val="auto"/>
          <w:sz w:val="32"/>
          <w:szCs w:val="32"/>
          <w:highlight w:val="none"/>
        </w:rPr>
        <w:t>。</w:t>
      </w:r>
    </w:p>
    <w:p w14:paraId="7703F598">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有以下情形之一的，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w:t>
      </w:r>
    </w:p>
    <w:p w14:paraId="31B16DF8">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未经过正常途径</w:t>
      </w:r>
      <w:r>
        <w:rPr>
          <w:rFonts w:hint="eastAsia" w:ascii="仿宋" w:hAnsi="仿宋" w:eastAsia="仿宋" w:cs="仿宋"/>
          <w:color w:val="auto"/>
          <w:sz w:val="32"/>
          <w:szCs w:val="32"/>
          <w:lang w:val="en-US" w:eastAsia="zh-CN"/>
        </w:rPr>
        <w:t>获取</w:t>
      </w:r>
      <w:r>
        <w:rPr>
          <w:rFonts w:hint="eastAsia" w:ascii="仿宋" w:hAnsi="仿宋" w:eastAsia="仿宋" w:cs="仿宋"/>
          <w:color w:val="auto"/>
          <w:sz w:val="32"/>
          <w:szCs w:val="32"/>
        </w:rPr>
        <w:t>标书或</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名称或组织结构与</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不一致且未提供有效证明的；</w:t>
      </w:r>
    </w:p>
    <w:p w14:paraId="1A64CBE2">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未经</w:t>
      </w:r>
      <w:r>
        <w:rPr>
          <w:rFonts w:hint="eastAsia" w:ascii="仿宋" w:hAnsi="仿宋" w:eastAsia="仿宋" w:cs="仿宋"/>
          <w:color w:val="auto"/>
          <w:sz w:val="32"/>
          <w:szCs w:val="32"/>
          <w:lang w:val="en-US" w:eastAsia="zh-CN"/>
        </w:rPr>
        <w:t>响应供应商</w:t>
      </w:r>
      <w:r>
        <w:rPr>
          <w:rFonts w:hint="eastAsia" w:ascii="仿宋" w:hAnsi="仿宋" w:eastAsia="仿宋" w:cs="仿宋"/>
          <w:color w:val="auto"/>
          <w:sz w:val="32"/>
          <w:szCs w:val="32"/>
        </w:rPr>
        <w:t>单位盖章和单位负责人签字或盖章的；</w:t>
      </w:r>
    </w:p>
    <w:p w14:paraId="0B1D2DCE">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要求交纳</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p>
    <w:p w14:paraId="76460542">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不符合</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规定的资格条件的；</w:t>
      </w:r>
    </w:p>
    <w:p w14:paraId="3840B390">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提交两份或多份内容不同的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，或在同一份</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中有两个或多个报价，且未声明哪一个为最终报价的；</w:t>
      </w:r>
    </w:p>
    <w:p w14:paraId="14CE1C88">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，且</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不能合理说明或者提供相关证明材料，</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以低于成本价竞标的；</w:t>
      </w:r>
    </w:p>
    <w:p w14:paraId="7B0DEE48">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有效期达不到</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要求的；</w:t>
      </w:r>
    </w:p>
    <w:p w14:paraId="4E848E88">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方案出现严重漏项，已影响到该项目的实施的；</w:t>
      </w:r>
    </w:p>
    <w:p w14:paraId="7F49D8E0">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、弄虚作假、行贿等违法行为的。</w:t>
      </w:r>
    </w:p>
    <w:p w14:paraId="005ADD8A">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有算术错误的，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按以下原则要求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进</w:t>
      </w:r>
      <w:bookmarkStart w:id="65" w:name="_Toc247527628"/>
      <w:bookmarkStart w:id="66" w:name="_Toc2907"/>
      <w:bookmarkStart w:id="67" w:name="_Toc361508651"/>
      <w:bookmarkStart w:id="68" w:name="_Toc144974570"/>
      <w:bookmarkStart w:id="69" w:name="_Toc300835013"/>
      <w:bookmarkStart w:id="70" w:name="_Toc152045603"/>
      <w:bookmarkStart w:id="71" w:name="_Toc384308277"/>
      <w:bookmarkStart w:id="72" w:name="_Toc247514027"/>
      <w:bookmarkStart w:id="73" w:name="_Toc352691538"/>
      <w:bookmarkStart w:id="74" w:name="_Toc152042380"/>
      <w:bookmarkStart w:id="75" w:name="_Toc369531582"/>
      <w:r>
        <w:rPr>
          <w:rFonts w:hint="eastAsia" w:ascii="仿宋" w:hAnsi="仿宋" w:eastAsia="仿宋" w:cs="仿宋"/>
          <w:color w:val="auto"/>
          <w:sz w:val="32"/>
          <w:szCs w:val="32"/>
        </w:rPr>
        <w:t>行书面澄清确认。</w:t>
      </w:r>
      <w:bookmarkEnd w:id="65"/>
      <w:bookmarkEnd w:id="66"/>
      <w:bookmarkEnd w:id="67"/>
      <w:bookmarkEnd w:id="68"/>
      <w:bookmarkEnd w:id="69"/>
      <w:bookmarkEnd w:id="70"/>
      <w:bookmarkEnd w:id="71"/>
      <w:bookmarkEnd w:id="72"/>
      <w:bookmarkEnd w:id="73"/>
      <w:bookmarkEnd w:id="74"/>
      <w:bookmarkEnd w:id="75"/>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拒不澄清确认的，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bookmarkStart w:id="76" w:name="_Toc13563"/>
      <w:bookmarkStart w:id="77" w:name="_Toc16955"/>
      <w:bookmarkStart w:id="78" w:name="_Toc29291"/>
      <w:bookmarkStart w:id="79" w:name="_Toc33795835"/>
    </w:p>
    <w:p w14:paraId="6C0927CB">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中的大写金额与小写金额不一致的，以大写金额为准；</w:t>
      </w:r>
    </w:p>
    <w:p w14:paraId="45E7E2BD">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总价金额与单价金额不一致的，以单价金额为准，但单价金额小数点有明显错误的除外；</w:t>
      </w:r>
    </w:p>
    <w:p w14:paraId="19E8A575">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为各分项报价金额之和，</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与分项报价的合价不一致的，应以各分项合价累计数为准，修正</w:t>
      </w:r>
      <w:r>
        <w:rPr>
          <w:rFonts w:hint="eastAsia" w:ascii="仿宋" w:hAnsi="仿宋" w:eastAsia="仿宋" w:cs="仿宋"/>
          <w:color w:val="auto"/>
          <w:sz w:val="32"/>
          <w:szCs w:val="32"/>
          <w:lang w:eastAsia="zh-CN"/>
        </w:rPr>
        <w:t>响应报价。</w:t>
      </w:r>
      <w:bookmarkEnd w:id="76"/>
      <w:bookmarkEnd w:id="77"/>
      <w:bookmarkEnd w:id="78"/>
      <w:bookmarkEnd w:id="79"/>
    </w:p>
    <w:p w14:paraId="1A243DCE">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发现</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的报价明显低于其他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，使得其</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可能低于其个别成本的，应当要求该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作出书面说明并提供相应的证明材料。</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不能合理说明或者不能提供相应证明材料的，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以低于成本报价竞标，并否决其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7236D78D">
      <w:pPr>
        <w:pStyle w:val="4"/>
        <w:keepNext w:val="0"/>
        <w:keepLines w:val="0"/>
        <w:pageBreakBefore w:val="0"/>
        <w:widowControl w:val="0"/>
        <w:kinsoku/>
        <w:wordWrap/>
        <w:overflowPunct w:val="0"/>
        <w:topLinePunct w:val="0"/>
        <w:autoSpaceDE/>
        <w:autoSpaceDN/>
        <w:bidi w:val="0"/>
        <w:adjustRightInd/>
        <w:snapToGrid/>
        <w:spacing w:before="0" w:after="0" w:line="500" w:lineRule="exact"/>
        <w:ind w:left="0" w:leftChars="0" w:firstLine="320" w:firstLineChars="100"/>
        <w:jc w:val="both"/>
        <w:textAlignment w:val="auto"/>
        <w:rPr>
          <w:rFonts w:hint="eastAsia" w:ascii="仿宋" w:hAnsi="仿宋" w:eastAsia="仿宋" w:cs="仿宋"/>
          <w:color w:val="auto"/>
          <w:sz w:val="32"/>
          <w:szCs w:val="32"/>
        </w:rPr>
      </w:pPr>
      <w:bookmarkStart w:id="80" w:name="_Toc33795836"/>
      <w:bookmarkStart w:id="81" w:name="_Toc15253"/>
      <w:bookmarkStart w:id="82" w:name="_Toc3366"/>
      <w:bookmarkStart w:id="83" w:name="_Toc32669"/>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的澄清</w:t>
      </w:r>
      <w:bookmarkEnd w:id="80"/>
      <w:bookmarkEnd w:id="81"/>
      <w:bookmarkEnd w:id="82"/>
      <w:bookmarkEnd w:id="83"/>
    </w:p>
    <w:p w14:paraId="29B4946C">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评审过程</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中含义不明确、对同类问题表述不一致或者有明显文字和计算错误的内容可以书面形式要求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作必要的澄清、说明或补正。</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不接受</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主动提出的澄清、说明或补正。</w:t>
      </w:r>
    </w:p>
    <w:p w14:paraId="2D3237D6">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澄清、说明或补正不得超出</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的范围且不得改变</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的实质性内容，并构成</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66A55CEB">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提交的澄清、说明或补正有疑问的，可以要求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进一步澄清、说明或补正，直至满足</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的要求。</w:t>
      </w:r>
    </w:p>
    <w:p w14:paraId="6FE2C974">
      <w:pPr>
        <w:pStyle w:val="4"/>
        <w:keepNext w:val="0"/>
        <w:keepLines w:val="0"/>
        <w:pageBreakBefore w:val="0"/>
        <w:widowControl w:val="0"/>
        <w:kinsoku/>
        <w:wordWrap/>
        <w:overflowPunct w:val="0"/>
        <w:topLinePunct w:val="0"/>
        <w:autoSpaceDE/>
        <w:autoSpaceDN/>
        <w:bidi w:val="0"/>
        <w:adjustRightInd/>
        <w:snapToGrid/>
        <w:spacing w:before="0" w:after="0" w:line="50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）评审结果</w:t>
      </w:r>
    </w:p>
    <w:p w14:paraId="007893BB">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eastAsia="zh-CN"/>
        </w:rPr>
        <w:t>报价由低到高</w:t>
      </w:r>
      <w:r>
        <w:rPr>
          <w:rFonts w:hint="eastAsia" w:ascii="仿宋" w:hAnsi="仿宋" w:eastAsia="仿宋" w:cs="仿宋"/>
          <w:color w:val="auto"/>
          <w:sz w:val="32"/>
          <w:szCs w:val="32"/>
        </w:rPr>
        <w:t>的顺序推荐</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，并标明排序。</w:t>
      </w:r>
    </w:p>
    <w:p w14:paraId="03BDF9FC">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完成评标后，应当向</w:t>
      </w:r>
      <w:r>
        <w:rPr>
          <w:rFonts w:hint="eastAsia" w:ascii="仿宋" w:hAnsi="仿宋" w:eastAsia="仿宋" w:cs="仿宋"/>
          <w:color w:val="auto"/>
          <w:sz w:val="32"/>
          <w:szCs w:val="32"/>
          <w:lang w:val="en-US" w:eastAsia="zh-CN"/>
        </w:rPr>
        <w:t>招标办公室</w:t>
      </w:r>
      <w:r>
        <w:rPr>
          <w:rFonts w:hint="eastAsia" w:ascii="仿宋" w:hAnsi="仿宋" w:eastAsia="仿宋" w:cs="仿宋"/>
          <w:color w:val="auto"/>
          <w:sz w:val="32"/>
          <w:szCs w:val="32"/>
        </w:rPr>
        <w:t>提交书面</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名单。</w:t>
      </w:r>
    </w:p>
    <w:p w14:paraId="1AA5A695">
      <w:pPr>
        <w:pStyle w:val="3"/>
        <w:keepNext w:val="0"/>
        <w:keepLines w:val="0"/>
        <w:pageBreakBefore w:val="0"/>
        <w:widowControl w:val="0"/>
        <w:kinsoku/>
        <w:wordWrap/>
        <w:overflowPunct w:val="0"/>
        <w:topLinePunct w:val="0"/>
        <w:autoSpaceDE/>
        <w:autoSpaceDN/>
        <w:bidi w:val="0"/>
        <w:snapToGrid/>
        <w:spacing w:before="0" w:after="0" w:line="500" w:lineRule="exact"/>
        <w:ind w:left="0" w:firstLine="643" w:firstLineChars="200"/>
        <w:jc w:val="both"/>
        <w:rPr>
          <w:rFonts w:hint="eastAsia" w:ascii="仿宋" w:hAnsi="仿宋" w:eastAsia="仿宋" w:cs="仿宋"/>
          <w:color w:val="auto"/>
          <w:sz w:val="32"/>
          <w:szCs w:val="32"/>
        </w:rPr>
      </w:pPr>
      <w:bookmarkStart w:id="84" w:name="_Toc9481"/>
      <w:bookmarkStart w:id="85" w:name="_Toc8518"/>
      <w:bookmarkStart w:id="86" w:name="_Toc33795807"/>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合同授予</w:t>
      </w:r>
      <w:bookmarkEnd w:id="84"/>
      <w:bookmarkEnd w:id="85"/>
      <w:bookmarkEnd w:id="86"/>
    </w:p>
    <w:p w14:paraId="30F9BE7F">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87" w:name="_Toc21093"/>
      <w:bookmarkStart w:id="88" w:name="_Toc16094"/>
      <w:bookmarkStart w:id="89" w:name="_Toc30852"/>
      <w:bookmarkStart w:id="90" w:name="_Toc33795808"/>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w:t>
      </w:r>
      <w:bookmarkEnd w:id="87"/>
      <w:bookmarkEnd w:id="88"/>
      <w:bookmarkEnd w:id="89"/>
      <w:bookmarkEnd w:id="90"/>
    </w:p>
    <w:p w14:paraId="68FE515F">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招标办</w:t>
      </w:r>
      <w:r>
        <w:rPr>
          <w:rFonts w:hint="eastAsia" w:ascii="仿宋" w:hAnsi="仿宋" w:eastAsia="仿宋" w:cs="仿宋"/>
          <w:color w:val="auto"/>
          <w:sz w:val="32"/>
          <w:szCs w:val="32"/>
        </w:rPr>
        <w:t>收到</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之日起3日内</w:t>
      </w:r>
      <w:r>
        <w:rPr>
          <w:rFonts w:hint="eastAsia" w:ascii="仿宋" w:hAnsi="仿宋" w:eastAsia="仿宋" w:cs="仿宋"/>
          <w:color w:val="auto"/>
          <w:sz w:val="32"/>
          <w:szCs w:val="32"/>
          <w:lang w:val="en-US" w:eastAsia="zh-CN"/>
        </w:rPr>
        <w:t>确定成交人</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并在陕西锌业有限公司网络采购平台www.sxxyjjpt.com公示成交候选人，公示期不少于3天</w:t>
      </w:r>
      <w:r>
        <w:rPr>
          <w:rFonts w:hint="eastAsia" w:ascii="仿宋" w:hAnsi="仿宋" w:eastAsia="仿宋" w:cs="仿宋"/>
          <w:color w:val="auto"/>
          <w:sz w:val="32"/>
          <w:szCs w:val="32"/>
        </w:rPr>
        <w:t>。</w:t>
      </w:r>
    </w:p>
    <w:p w14:paraId="0CE7AB58">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91" w:name="_Toc33795809"/>
      <w:bookmarkStart w:id="92" w:name="_Toc7018"/>
      <w:bookmarkStart w:id="93" w:name="_Toc19079"/>
      <w:bookmarkStart w:id="94" w:name="_Toc10372"/>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异议</w:t>
      </w:r>
      <w:bookmarkEnd w:id="91"/>
      <w:bookmarkEnd w:id="92"/>
      <w:bookmarkEnd w:id="93"/>
      <w:bookmarkEnd w:id="94"/>
    </w:p>
    <w:p w14:paraId="7E33D21E">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或者其他利</w:t>
      </w:r>
      <w:bookmarkStart w:id="95" w:name="_Toc361508618"/>
      <w:bookmarkStart w:id="96" w:name="_Toc30095"/>
      <w:bookmarkStart w:id="97" w:name="_Toc247513985"/>
      <w:bookmarkStart w:id="98" w:name="_Toc369531549"/>
      <w:bookmarkStart w:id="99" w:name="_Toc152045561"/>
      <w:bookmarkStart w:id="100" w:name="_Toc144974529"/>
      <w:bookmarkStart w:id="101" w:name="_Toc300834982"/>
      <w:bookmarkStart w:id="102" w:name="_Toc384308243"/>
      <w:bookmarkStart w:id="103" w:name="_Toc352691505"/>
      <w:bookmarkStart w:id="104" w:name="_Toc247527586"/>
      <w:bookmarkStart w:id="105" w:name="_Toc152042337"/>
      <w:r>
        <w:rPr>
          <w:rFonts w:hint="eastAsia" w:ascii="仿宋" w:hAnsi="仿宋" w:eastAsia="仿宋" w:cs="仿宋"/>
          <w:color w:val="auto"/>
          <w:sz w:val="32"/>
          <w:szCs w:val="32"/>
        </w:rPr>
        <w:t>害关系人对</w:t>
      </w:r>
      <w:bookmarkEnd w:id="95"/>
      <w:bookmarkEnd w:id="96"/>
      <w:bookmarkEnd w:id="97"/>
      <w:bookmarkEnd w:id="98"/>
      <w:bookmarkEnd w:id="99"/>
      <w:bookmarkEnd w:id="100"/>
      <w:bookmarkEnd w:id="101"/>
      <w:bookmarkEnd w:id="102"/>
      <w:bookmarkEnd w:id="103"/>
      <w:bookmarkEnd w:id="104"/>
      <w:bookmarkEnd w:id="105"/>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有异议的，应当在</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公示期间提出。</w:t>
      </w:r>
      <w:r>
        <w:rPr>
          <w:rFonts w:hint="eastAsia" w:ascii="仿宋" w:hAnsi="仿宋" w:eastAsia="仿宋" w:cs="仿宋"/>
          <w:color w:val="auto"/>
          <w:sz w:val="32"/>
          <w:szCs w:val="32"/>
          <w:lang w:eastAsia="zh-CN"/>
        </w:rPr>
        <w:t>采购</w:t>
      </w:r>
      <w:r>
        <w:rPr>
          <w:rFonts w:hint="eastAsia" w:ascii="仿宋" w:hAnsi="仿宋" w:eastAsia="仿宋" w:cs="仿宋"/>
          <w:color w:val="auto"/>
          <w:sz w:val="32"/>
          <w:szCs w:val="32"/>
          <w:lang w:val="en-US" w:eastAsia="zh-CN"/>
        </w:rPr>
        <w:t>人</w:t>
      </w:r>
      <w:r>
        <w:rPr>
          <w:rFonts w:hint="eastAsia" w:ascii="仿宋" w:hAnsi="仿宋" w:eastAsia="仿宋" w:cs="仿宋"/>
          <w:color w:val="auto"/>
          <w:sz w:val="32"/>
          <w:szCs w:val="32"/>
        </w:rPr>
        <w:t>在收到异议之日起3日内</w:t>
      </w:r>
      <w:r>
        <w:rPr>
          <w:rFonts w:hint="eastAsia" w:ascii="仿宋" w:hAnsi="仿宋" w:eastAsia="仿宋" w:cs="仿宋"/>
          <w:color w:val="auto"/>
          <w:sz w:val="32"/>
          <w:szCs w:val="32"/>
          <w:lang w:val="en-US" w:eastAsia="zh-CN"/>
        </w:rPr>
        <w:t>对异议</w:t>
      </w:r>
      <w:r>
        <w:rPr>
          <w:rFonts w:hint="eastAsia" w:ascii="仿宋" w:hAnsi="仿宋" w:eastAsia="仿宋" w:cs="仿宋"/>
          <w:color w:val="auto"/>
          <w:sz w:val="32"/>
          <w:szCs w:val="32"/>
        </w:rPr>
        <w:t>作出答复；作出答复前，将暂停</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活动。</w:t>
      </w:r>
    </w:p>
    <w:p w14:paraId="349CEE1A">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06" w:name="_Toc33795810"/>
      <w:bookmarkStart w:id="107" w:name="_Toc28756"/>
      <w:bookmarkStart w:id="108" w:name="_Toc21648"/>
      <w:bookmarkStart w:id="109" w:name="_Toc25590"/>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履约能力审查</w:t>
      </w:r>
      <w:bookmarkEnd w:id="106"/>
      <w:bookmarkEnd w:id="107"/>
      <w:bookmarkEnd w:id="108"/>
      <w:bookmarkEnd w:id="109"/>
    </w:p>
    <w:p w14:paraId="40C1C99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的经营、财务状况发生较大变化或存在违法行为，</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认为可能影响其履约能力的，</w:t>
      </w:r>
      <w:r>
        <w:rPr>
          <w:rFonts w:hint="eastAsia" w:ascii="仿宋" w:hAnsi="仿宋" w:eastAsia="仿宋" w:cs="仿宋"/>
          <w:color w:val="auto"/>
          <w:sz w:val="32"/>
          <w:szCs w:val="32"/>
          <w:lang w:val="en-US" w:eastAsia="zh-CN"/>
        </w:rPr>
        <w:t>采购人招标办公室</w:t>
      </w:r>
      <w:r>
        <w:rPr>
          <w:rFonts w:hint="eastAsia" w:ascii="仿宋" w:hAnsi="仿宋" w:eastAsia="仿宋" w:cs="仿宋"/>
          <w:color w:val="auto"/>
          <w:sz w:val="32"/>
          <w:szCs w:val="32"/>
        </w:rPr>
        <w:t>将在发出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通知书前提请原</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规定的标准和方法进行审查和确认。</w:t>
      </w:r>
    </w:p>
    <w:p w14:paraId="7F057FC3">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lang w:val="en-US"/>
        </w:rPr>
      </w:pPr>
      <w:bookmarkStart w:id="110" w:name="_Toc24665"/>
      <w:bookmarkStart w:id="111" w:name="_Toc33795811"/>
      <w:bookmarkStart w:id="112" w:name="_Toc19470"/>
      <w:bookmarkStart w:id="113" w:name="_Toc2191"/>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bookmarkEnd w:id="110"/>
      <w:bookmarkEnd w:id="111"/>
      <w:bookmarkEnd w:id="112"/>
      <w:bookmarkEnd w:id="113"/>
      <w:r>
        <w:rPr>
          <w:rFonts w:hint="eastAsia" w:ascii="仿宋" w:hAnsi="仿宋" w:eastAsia="仿宋" w:cs="仿宋"/>
          <w:color w:val="auto"/>
          <w:sz w:val="32"/>
          <w:szCs w:val="32"/>
          <w:lang w:val="en-US" w:eastAsia="zh-CN"/>
        </w:rPr>
        <w:t>确定成交人</w:t>
      </w:r>
    </w:p>
    <w:p w14:paraId="461BD6C3">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单位履行内部审批程序，根据</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的评审报告及成交人候选人名单</w:t>
      </w:r>
      <w:r>
        <w:rPr>
          <w:rFonts w:hint="eastAsia" w:ascii="仿宋" w:hAnsi="仿宋" w:eastAsia="仿宋" w:cs="仿宋"/>
          <w:color w:val="auto"/>
          <w:sz w:val="32"/>
          <w:szCs w:val="32"/>
        </w:rPr>
        <w:t>确定</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p>
    <w:p w14:paraId="4FB4D6B1">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14" w:name="_Toc31681"/>
      <w:bookmarkStart w:id="115" w:name="_Toc33795812"/>
      <w:bookmarkStart w:id="116" w:name="_Toc6928"/>
      <w:bookmarkStart w:id="117" w:name="_Toc1081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4"/>
      <w:bookmarkEnd w:id="115"/>
      <w:bookmarkEnd w:id="116"/>
      <w:bookmarkEnd w:id="117"/>
    </w:p>
    <w:p w14:paraId="63DC9A11">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采购主责部门</w:t>
      </w:r>
      <w:r>
        <w:rPr>
          <w:rFonts w:hint="eastAsia" w:ascii="仿宋" w:hAnsi="仿宋" w:eastAsia="仿宋" w:cs="仿宋"/>
          <w:color w:val="auto"/>
          <w:sz w:val="32"/>
          <w:szCs w:val="32"/>
        </w:rPr>
        <w:t>以书面形式向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人发出</w:t>
      </w:r>
      <w:bookmarkStart w:id="118" w:name="_Toc300834983"/>
      <w:bookmarkStart w:id="119" w:name="_Toc384308244"/>
      <w:bookmarkStart w:id="120" w:name="_Toc5668"/>
      <w:bookmarkStart w:id="121" w:name="_Toc361508619"/>
      <w:bookmarkStart w:id="122" w:name="_Toc352691506"/>
      <w:bookmarkStart w:id="123" w:name="_Toc369531550"/>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通知书，同时将</w:t>
      </w:r>
      <w:bookmarkEnd w:id="118"/>
      <w:bookmarkEnd w:id="119"/>
      <w:bookmarkEnd w:id="120"/>
      <w:bookmarkEnd w:id="121"/>
      <w:bookmarkEnd w:id="122"/>
      <w:bookmarkEnd w:id="123"/>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结果通知未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供应商。</w:t>
      </w:r>
    </w:p>
    <w:p w14:paraId="50D458B1">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24" w:name="_Toc33795813"/>
      <w:bookmarkStart w:id="125" w:name="_Toc21613"/>
      <w:bookmarkStart w:id="126" w:name="_Toc4342"/>
      <w:bookmarkStart w:id="127" w:name="_Toc30705"/>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履约担保</w:t>
      </w:r>
      <w:bookmarkEnd w:id="124"/>
      <w:bookmarkEnd w:id="125"/>
      <w:bookmarkEnd w:id="126"/>
      <w:bookmarkEnd w:id="127"/>
    </w:p>
    <w:p w14:paraId="1E56DD9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人应</w:t>
      </w:r>
      <w:r>
        <w:rPr>
          <w:rFonts w:hint="eastAsia" w:ascii="仿宋" w:hAnsi="仿宋" w:eastAsia="仿宋" w:cs="仿宋"/>
          <w:color w:val="auto"/>
          <w:sz w:val="32"/>
          <w:szCs w:val="32"/>
          <w:lang w:val="en-US" w:eastAsia="zh-CN"/>
        </w:rPr>
        <w:t>按合同金额的10%以担保函或转账形式在收到成交通知后3日内</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提交履约担保。</w:t>
      </w:r>
    </w:p>
    <w:p w14:paraId="5501EBE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人不能按</w:t>
      </w:r>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要求提交履约担保的，视为放弃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3FB666E">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28" w:name="_Toc3671"/>
      <w:bookmarkStart w:id="129" w:name="_Toc33795814"/>
      <w:bookmarkStart w:id="130" w:name="_Toc11183"/>
      <w:bookmarkStart w:id="131" w:name="_Toc14362"/>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签订合同</w:t>
      </w:r>
      <w:bookmarkEnd w:id="128"/>
      <w:bookmarkEnd w:id="129"/>
      <w:bookmarkEnd w:id="130"/>
      <w:bookmarkEnd w:id="131"/>
    </w:p>
    <w:p w14:paraId="5AA57CD9">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应当在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内，且在自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通知书发出之日起</w:t>
      </w:r>
      <w:bookmarkStart w:id="132" w:name="_Toc361508622"/>
      <w:bookmarkStart w:id="133" w:name="_Toc300834986"/>
      <w:bookmarkStart w:id="134" w:name="_Toc369531553"/>
      <w:bookmarkStart w:id="135" w:name="_Toc4656"/>
      <w:bookmarkStart w:id="136" w:name="_Toc152042340"/>
      <w:bookmarkStart w:id="137" w:name="_Toc352691509"/>
      <w:bookmarkStart w:id="138" w:name="_Toc152045564"/>
      <w:bookmarkStart w:id="139" w:name="_Toc144974532"/>
      <w:bookmarkStart w:id="140" w:name="_Toc247513988"/>
      <w:bookmarkStart w:id="141" w:name="_Toc247527589"/>
      <w:bookmarkStart w:id="142" w:name="_Toc384308247"/>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日内，根据</w:t>
      </w:r>
      <w:bookmarkEnd w:id="132"/>
      <w:bookmarkEnd w:id="133"/>
      <w:bookmarkEnd w:id="134"/>
      <w:bookmarkEnd w:id="135"/>
      <w:bookmarkEnd w:id="136"/>
      <w:bookmarkEnd w:id="137"/>
      <w:bookmarkEnd w:id="138"/>
      <w:bookmarkEnd w:id="139"/>
      <w:bookmarkEnd w:id="140"/>
      <w:bookmarkEnd w:id="141"/>
      <w:bookmarkEnd w:id="142"/>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订立书面合同。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人无正</w:t>
      </w:r>
      <w:bookmarkStart w:id="143" w:name="_Toc361508623"/>
      <w:bookmarkStart w:id="144" w:name="_Toc152045565"/>
      <w:bookmarkStart w:id="145" w:name="_Toc300834987"/>
      <w:bookmarkStart w:id="146" w:name="_Toc247527590"/>
      <w:bookmarkStart w:id="147" w:name="_Toc384308248"/>
      <w:bookmarkStart w:id="148" w:name="_Toc352691510"/>
      <w:bookmarkStart w:id="149" w:name="_Toc247513989"/>
      <w:bookmarkStart w:id="150" w:name="_Toc152042341"/>
      <w:bookmarkStart w:id="151" w:name="_Toc369531554"/>
      <w:bookmarkStart w:id="152" w:name="_Toc18247"/>
      <w:bookmarkStart w:id="153" w:name="_Toc144974533"/>
      <w:r>
        <w:rPr>
          <w:rFonts w:hint="eastAsia" w:ascii="仿宋" w:hAnsi="仿宋" w:eastAsia="仿宋" w:cs="仿宋"/>
          <w:color w:val="auto"/>
          <w:sz w:val="32"/>
          <w:szCs w:val="32"/>
        </w:rPr>
        <w:t>当理由拒签合</w:t>
      </w:r>
      <w:bookmarkEnd w:id="143"/>
      <w:bookmarkEnd w:id="144"/>
      <w:bookmarkEnd w:id="145"/>
      <w:bookmarkEnd w:id="146"/>
      <w:bookmarkEnd w:id="147"/>
      <w:bookmarkEnd w:id="148"/>
      <w:bookmarkEnd w:id="149"/>
      <w:bookmarkEnd w:id="150"/>
      <w:bookmarkEnd w:id="151"/>
      <w:bookmarkEnd w:id="152"/>
      <w:bookmarkEnd w:id="153"/>
      <w:r>
        <w:rPr>
          <w:rFonts w:hint="eastAsia" w:ascii="仿宋" w:hAnsi="仿宋" w:eastAsia="仿宋" w:cs="仿宋"/>
          <w:color w:val="auto"/>
          <w:sz w:val="32"/>
          <w:szCs w:val="32"/>
        </w:rPr>
        <w:t>同，或者提出其他附加条件的，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有权取消其</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资格，其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1327767F">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无正当理由拒签合同的，或者提出其他附加条件的，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；给</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人造成损失的，还应当赔偿损失。</w:t>
      </w:r>
      <w:bookmarkStart w:id="154" w:name="_Toc384308252"/>
      <w:bookmarkStart w:id="155" w:name="_Toc361508627"/>
      <w:bookmarkStart w:id="156" w:name="_Toc24067"/>
      <w:bookmarkStart w:id="157" w:name="_Toc300834991"/>
      <w:bookmarkStart w:id="158" w:name="_Toc152042344"/>
      <w:bookmarkStart w:id="159" w:name="_Toc247513992"/>
      <w:bookmarkStart w:id="160" w:name="_Toc152045568"/>
      <w:bookmarkStart w:id="161" w:name="_Toc144974536"/>
      <w:bookmarkStart w:id="162" w:name="_Toc247527593"/>
    </w:p>
    <w:bookmarkEnd w:id="154"/>
    <w:bookmarkEnd w:id="155"/>
    <w:bookmarkEnd w:id="156"/>
    <w:p w14:paraId="0AFDE0B6">
      <w:pPr>
        <w:pStyle w:val="3"/>
        <w:keepNext w:val="0"/>
        <w:keepLines w:val="0"/>
        <w:pageBreakBefore w:val="0"/>
        <w:widowControl w:val="0"/>
        <w:kinsoku/>
        <w:wordWrap/>
        <w:overflowPunct w:val="0"/>
        <w:topLinePunct w:val="0"/>
        <w:autoSpaceDE/>
        <w:autoSpaceDN/>
        <w:bidi w:val="0"/>
        <w:snapToGrid/>
        <w:spacing w:before="0" w:after="0" w:line="500" w:lineRule="exact"/>
        <w:ind w:left="0" w:firstLine="643" w:firstLineChars="200"/>
        <w:jc w:val="both"/>
        <w:rPr>
          <w:rFonts w:hint="eastAsia" w:ascii="仿宋" w:hAnsi="仿宋" w:eastAsia="仿宋" w:cs="仿宋"/>
          <w:color w:val="auto"/>
          <w:sz w:val="32"/>
          <w:szCs w:val="32"/>
        </w:rPr>
      </w:pPr>
      <w:bookmarkStart w:id="163" w:name="_Toc25347"/>
      <w:bookmarkStart w:id="164" w:name="_Toc14752"/>
      <w:bookmarkStart w:id="165" w:name="_Toc33795815"/>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纪律和监督</w:t>
      </w:r>
      <w:bookmarkEnd w:id="163"/>
      <w:bookmarkEnd w:id="164"/>
      <w:bookmarkEnd w:id="165"/>
    </w:p>
    <w:p w14:paraId="3DB1C158">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不得相互串通</w:t>
      </w:r>
      <w:r>
        <w:rPr>
          <w:rFonts w:hint="eastAsia" w:ascii="仿宋" w:hAnsi="仿宋" w:eastAsia="仿宋" w:cs="仿宋"/>
          <w:color w:val="auto"/>
          <w:sz w:val="32"/>
          <w:szCs w:val="32"/>
          <w:lang w:val="en-US" w:eastAsia="zh-CN"/>
        </w:rPr>
        <w:t>投标</w:t>
      </w:r>
      <w:r>
        <w:rPr>
          <w:rFonts w:hint="eastAsia" w:ascii="仿宋" w:hAnsi="仿宋" w:eastAsia="仿宋" w:cs="仿宋"/>
          <w:color w:val="auto"/>
          <w:sz w:val="32"/>
          <w:szCs w:val="32"/>
        </w:rPr>
        <w:t>或者与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，不得向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或者</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成员行贿谋取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，不得以他人名义</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或者以其他方式弄虚作假骗取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不得以任何方式干扰、影响评标工作。</w:t>
      </w:r>
    </w:p>
    <w:p w14:paraId="3F13EBA3">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w:t>
      </w:r>
      <w:r>
        <w:rPr>
          <w:rFonts w:hint="eastAsia" w:ascii="仿宋" w:hAnsi="仿宋" w:eastAsia="仿宋" w:cs="仿宋"/>
          <w:color w:val="auto"/>
          <w:sz w:val="32"/>
          <w:szCs w:val="32"/>
          <w:lang w:val="en-US" w:eastAsia="zh-CN"/>
        </w:rPr>
        <w:t>及相关工作人员</w:t>
      </w:r>
      <w:r>
        <w:rPr>
          <w:rFonts w:hint="eastAsia" w:ascii="仿宋" w:hAnsi="仿宋" w:eastAsia="仿宋" w:cs="仿宋"/>
          <w:color w:val="auto"/>
          <w:sz w:val="32"/>
          <w:szCs w:val="32"/>
        </w:rPr>
        <w:t>不得收受他人的财物或者其他好处，不得向他人透露对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的评审</w:t>
      </w:r>
      <w:bookmarkStart w:id="166" w:name="_Toc384308253"/>
      <w:bookmarkStart w:id="167" w:name="_Toc352691515"/>
      <w:bookmarkStart w:id="168" w:name="_Toc369531559"/>
      <w:bookmarkStart w:id="169" w:name="_Toc361508628"/>
      <w:bookmarkStart w:id="170" w:name="_Toc13644"/>
      <w:r>
        <w:rPr>
          <w:rFonts w:hint="eastAsia" w:ascii="仿宋" w:hAnsi="仿宋" w:eastAsia="仿宋" w:cs="仿宋"/>
          <w:color w:val="auto"/>
          <w:sz w:val="32"/>
          <w:szCs w:val="32"/>
        </w:rPr>
        <w:t>和比较、</w:t>
      </w:r>
      <w:bookmarkEnd w:id="157"/>
      <w:bookmarkEnd w:id="158"/>
      <w:bookmarkEnd w:id="159"/>
      <w:bookmarkEnd w:id="160"/>
      <w:bookmarkEnd w:id="161"/>
      <w:bookmarkEnd w:id="162"/>
      <w:bookmarkEnd w:id="166"/>
      <w:bookmarkEnd w:id="167"/>
      <w:bookmarkEnd w:id="168"/>
      <w:bookmarkEnd w:id="169"/>
      <w:bookmarkEnd w:id="170"/>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的推荐情况以及评标有关的其他情况。在</w:t>
      </w:r>
      <w:r>
        <w:rPr>
          <w:rFonts w:hint="eastAsia" w:ascii="仿宋" w:hAnsi="仿宋" w:eastAsia="仿宋" w:cs="仿宋"/>
          <w:color w:val="auto"/>
          <w:sz w:val="32"/>
          <w:szCs w:val="32"/>
          <w:lang w:eastAsia="zh-CN"/>
        </w:rPr>
        <w:t>评审活动</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成员应当客观、公正地履行职责，遵守职业道德，不得擅离职守，影响评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程序正常进行，不得使用“</w:t>
      </w:r>
      <w:r>
        <w:rPr>
          <w:rFonts w:hint="eastAsia" w:ascii="仿宋" w:hAnsi="仿宋" w:eastAsia="仿宋" w:cs="仿宋"/>
          <w:color w:val="auto"/>
          <w:sz w:val="32"/>
          <w:szCs w:val="32"/>
          <w:lang w:eastAsia="zh-CN"/>
        </w:rPr>
        <w:t>评审办法</w:t>
      </w:r>
      <w:r>
        <w:rPr>
          <w:rFonts w:hint="eastAsia" w:ascii="仿宋" w:hAnsi="仿宋" w:eastAsia="仿宋" w:cs="仿宋"/>
          <w:color w:val="auto"/>
          <w:sz w:val="32"/>
          <w:szCs w:val="32"/>
        </w:rPr>
        <w:t>”没有规定的评审因素和标准进行评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w:t>
      </w:r>
    </w:p>
    <w:p w14:paraId="4625BEDF">
      <w:pPr>
        <w:pStyle w:val="4"/>
        <w:keepNext w:val="0"/>
        <w:keepLines w:val="0"/>
        <w:pageBreakBefore w:val="0"/>
        <w:widowControl w:val="0"/>
        <w:numPr>
          <w:ilvl w:val="0"/>
          <w:numId w:val="0"/>
        </w:numPr>
        <w:kinsoku/>
        <w:wordWrap/>
        <w:overflowPunct w:val="0"/>
        <w:topLinePunct w:val="0"/>
        <w:autoSpaceDE/>
        <w:autoSpaceDN/>
        <w:bidi w:val="0"/>
        <w:snapToGrid/>
        <w:spacing w:before="0" w:after="0" w:line="500" w:lineRule="exact"/>
        <w:ind w:left="0" w:firstLine="640" w:firstLineChars="200"/>
        <w:jc w:val="both"/>
        <w:rPr>
          <w:rFonts w:hint="eastAsia" w:ascii="仿宋" w:hAnsi="仿宋" w:eastAsia="仿宋" w:cs="仿宋"/>
          <w:color w:val="auto"/>
          <w:sz w:val="32"/>
          <w:szCs w:val="32"/>
        </w:rPr>
      </w:pPr>
      <w:bookmarkStart w:id="171" w:name="_Toc22294"/>
      <w:bookmarkStart w:id="172" w:name="_Toc24957"/>
      <w:bookmarkStart w:id="173" w:name="_Toc18070"/>
      <w:bookmarkStart w:id="174" w:name="_Toc33795820"/>
      <w:r>
        <w:rPr>
          <w:rFonts w:hint="eastAsia" w:ascii="仿宋" w:hAnsi="仿宋" w:eastAsia="仿宋" w:cs="仿宋"/>
          <w:color w:val="auto"/>
          <w:sz w:val="32"/>
          <w:szCs w:val="32"/>
          <w:lang w:val="en-US" w:eastAsia="zh-CN"/>
        </w:rPr>
        <w:t>（三）异议</w:t>
      </w:r>
      <w:bookmarkEnd w:id="171"/>
      <w:bookmarkEnd w:id="172"/>
      <w:bookmarkEnd w:id="173"/>
      <w:bookmarkEnd w:id="174"/>
    </w:p>
    <w:p w14:paraId="2512BD7E">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1.供应商或者其他利害关系人认为采购人采购活动存在不合法或违反民事活动中平等自愿、公平诚信原则情形的，可以直接向采购人单位招标办公室提出提出异议。</w:t>
      </w:r>
    </w:p>
    <w:p w14:paraId="4946DCEF">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 xml:space="preserve">2.招标办收到供应商提出的异议，应当依法、依规、妥善处理异议，并在收到异议之日起三个工作日内，对异议提出人做出答复。答复前，可暂停下一程序的采购活动。 </w:t>
      </w:r>
    </w:p>
    <w:p w14:paraId="1586A29A">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3.对响应采购供应商提出的异议，如属异议提出人对相关问题理解有误的，招标办应当详细做出解释；如经核查发现采购活动确实存在违法或违反本办法相关</w:t>
      </w:r>
      <w:r>
        <w:rPr>
          <w:rFonts w:hint="eastAsia" w:ascii="仿宋" w:hAnsi="仿宋" w:eastAsia="仿宋" w:cs="仿宋"/>
          <w:color w:val="auto"/>
          <w:kern w:val="0"/>
          <w:sz w:val="32"/>
          <w:szCs w:val="32"/>
          <w:highlight w:val="none"/>
          <w:lang w:val="en-US" w:eastAsia="zh-CN" w:bidi="ar"/>
        </w:rPr>
        <w:t>规定</w:t>
      </w:r>
      <w:r>
        <w:rPr>
          <w:rFonts w:hint="eastAsia" w:ascii="仿宋" w:hAnsi="仿宋" w:eastAsia="仿宋" w:cs="仿宋"/>
          <w:color w:val="auto"/>
          <w:kern w:val="0"/>
          <w:sz w:val="32"/>
          <w:szCs w:val="32"/>
          <w:lang w:val="en-US" w:eastAsia="zh-CN" w:bidi="ar"/>
        </w:rPr>
        <w:t xml:space="preserve">的，招标办应及时予以改正或补救。       </w:t>
      </w:r>
    </w:p>
    <w:p w14:paraId="30D83E9E">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480" w:firstLineChars="1400"/>
        <w:jc w:val="both"/>
        <w:rPr>
          <w:rFonts w:hint="eastAsia" w:ascii="仿宋" w:hAnsi="仿宋" w:eastAsia="仿宋" w:cs="仿宋"/>
          <w:b w:val="0"/>
          <w:bCs w:val="0"/>
          <w:color w:val="auto"/>
          <w:sz w:val="32"/>
          <w:szCs w:val="32"/>
          <w:lang w:val="en-US" w:eastAsia="zh-CN"/>
        </w:rPr>
      </w:pPr>
    </w:p>
    <w:p w14:paraId="14D990CA">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480" w:firstLineChars="1400"/>
        <w:jc w:val="both"/>
        <w:rPr>
          <w:rFonts w:hint="eastAsia" w:ascii="仿宋" w:hAnsi="仿宋" w:eastAsia="仿宋" w:cs="仿宋"/>
          <w:b w:val="0"/>
          <w:bCs w:val="0"/>
          <w:color w:val="auto"/>
          <w:sz w:val="32"/>
          <w:szCs w:val="32"/>
          <w:lang w:val="en-US" w:eastAsia="zh-CN"/>
        </w:rPr>
      </w:pPr>
    </w:p>
    <w:p w14:paraId="500F8C24">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800" w:firstLineChars="15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陕西锌业有限公司</w:t>
      </w:r>
    </w:p>
    <w:p w14:paraId="2511E6B1">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2025年6月10日</w:t>
      </w:r>
    </w:p>
    <w:p w14:paraId="0EE32E29">
      <w:pPr>
        <w:pStyle w:val="2"/>
        <w:jc w:val="both"/>
        <w:rPr>
          <w:rFonts w:hint="eastAsia" w:ascii="宋体" w:hAnsi="宋体" w:eastAsia="宋体" w:cs="宋体"/>
          <w:color w:val="auto"/>
          <w:sz w:val="36"/>
          <w:szCs w:val="36"/>
          <w:lang w:val="en-US" w:eastAsia="zh-CN"/>
        </w:rPr>
      </w:pPr>
    </w:p>
    <w:p w14:paraId="69D26A41">
      <w:pPr>
        <w:pStyle w:val="2"/>
        <w:jc w:val="both"/>
        <w:rPr>
          <w:rFonts w:hint="eastAsia" w:ascii="宋体" w:hAnsi="宋体" w:eastAsia="宋体" w:cs="宋体"/>
          <w:color w:val="auto"/>
          <w:sz w:val="36"/>
          <w:szCs w:val="36"/>
          <w:lang w:val="en-US" w:eastAsia="zh-CN"/>
        </w:rPr>
      </w:pPr>
    </w:p>
    <w:p w14:paraId="25A55515">
      <w:pPr>
        <w:pStyle w:val="2"/>
        <w:jc w:val="both"/>
        <w:rPr>
          <w:rFonts w:hint="eastAsia" w:ascii="宋体" w:hAnsi="宋体" w:eastAsia="宋体" w:cs="宋体"/>
          <w:color w:val="auto"/>
          <w:sz w:val="36"/>
          <w:szCs w:val="36"/>
          <w:lang w:val="en-US" w:eastAsia="zh-CN"/>
        </w:rPr>
      </w:pPr>
    </w:p>
    <w:p w14:paraId="1E7CA301">
      <w:pPr>
        <w:pStyle w:val="2"/>
        <w:jc w:val="both"/>
        <w:rPr>
          <w:rFonts w:hint="eastAsia" w:ascii="宋体" w:hAnsi="宋体" w:eastAsia="宋体" w:cs="宋体"/>
          <w:color w:val="auto"/>
          <w:sz w:val="36"/>
          <w:szCs w:val="36"/>
          <w:lang w:val="en-US" w:eastAsia="zh-CN"/>
        </w:rPr>
      </w:pPr>
    </w:p>
    <w:p w14:paraId="78E6E39D">
      <w:pPr>
        <w:pStyle w:val="2"/>
        <w:jc w:val="both"/>
        <w:rPr>
          <w:rFonts w:hint="eastAsia" w:ascii="宋体" w:hAnsi="宋体" w:eastAsia="宋体" w:cs="宋体"/>
          <w:color w:val="auto"/>
          <w:sz w:val="36"/>
          <w:szCs w:val="36"/>
          <w:lang w:val="en-US" w:eastAsia="zh-CN"/>
        </w:rPr>
      </w:pPr>
    </w:p>
    <w:p w14:paraId="3AFB45E0">
      <w:pPr>
        <w:pStyle w:val="2"/>
        <w:jc w:val="both"/>
        <w:rPr>
          <w:rFonts w:hint="eastAsia" w:ascii="仿宋" w:hAnsi="仿宋" w:eastAsia="仿宋" w:cs="仿宋"/>
          <w:color w:val="auto"/>
          <w:sz w:val="32"/>
          <w:szCs w:val="32"/>
        </w:rPr>
      </w:pPr>
      <w:r>
        <w:rPr>
          <w:rFonts w:hint="eastAsia" w:ascii="宋体" w:hAnsi="宋体" w:eastAsia="宋体" w:cs="宋体"/>
          <w:color w:val="auto"/>
          <w:sz w:val="36"/>
          <w:szCs w:val="36"/>
          <w:lang w:val="en-US" w:eastAsia="zh-CN"/>
        </w:rPr>
        <w:t>附：</w:t>
      </w:r>
      <w:r>
        <w:rPr>
          <w:rFonts w:hint="eastAsia" w:ascii="宋体" w:hAnsi="宋体" w:eastAsia="宋体" w:cs="宋体"/>
          <w:color w:val="auto"/>
          <w:sz w:val="36"/>
          <w:szCs w:val="36"/>
          <w:lang w:eastAsia="zh-CN"/>
        </w:rPr>
        <w:t>响应文件</w:t>
      </w:r>
      <w:r>
        <w:rPr>
          <w:rFonts w:hint="eastAsia" w:ascii="宋体" w:hAnsi="宋体" w:eastAsia="宋体" w:cs="宋体"/>
          <w:color w:val="auto"/>
          <w:sz w:val="36"/>
          <w:szCs w:val="36"/>
        </w:rPr>
        <w:t>格式</w:t>
      </w:r>
    </w:p>
    <w:bookmarkEnd w:id="210"/>
    <w:p w14:paraId="0D876721">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22FAF35E">
      <w:pPr>
        <w:spacing w:line="400" w:lineRule="exact"/>
        <w:rPr>
          <w:rFonts w:hint="eastAsia" w:ascii="仿宋" w:hAnsi="仿宋" w:eastAsia="仿宋" w:cs="仿宋"/>
          <w:color w:val="auto"/>
          <w:sz w:val="32"/>
          <w:szCs w:val="32"/>
        </w:rPr>
      </w:pPr>
      <w:r>
        <w:rPr>
          <w:rFonts w:hint="eastAsia" w:ascii="仿宋" w:hAnsi="仿宋" w:eastAsia="仿宋" w:cs="仿宋"/>
          <w:color w:val="auto"/>
          <w:sz w:val="32"/>
          <w:szCs w:val="32"/>
          <w:highlight w:val="none"/>
        </w:rPr>
        <w:t>项目编号：</w:t>
      </w:r>
      <w:r>
        <w:rPr>
          <w:rFonts w:ascii="Noto Sans SC" w:hAnsi="Noto Sans SC" w:eastAsia="Noto Sans SC" w:cs="Noto Sans SC"/>
          <w:i w:val="0"/>
          <w:iCs w:val="0"/>
          <w:caps w:val="0"/>
          <w:color w:val="000000"/>
          <w:spacing w:val="0"/>
          <w:sz w:val="27"/>
          <w:szCs w:val="27"/>
        </w:rPr>
        <w:t>XB20250604-04</w:t>
      </w:r>
    </w:p>
    <w:p w14:paraId="47DAE068">
      <w:pPr>
        <w:spacing w:line="400" w:lineRule="exact"/>
        <w:rPr>
          <w:rFonts w:hint="eastAsia" w:ascii="仿宋" w:hAnsi="仿宋" w:eastAsia="仿宋" w:cs="仿宋"/>
          <w:color w:val="auto"/>
          <w:sz w:val="32"/>
          <w:szCs w:val="32"/>
        </w:rPr>
      </w:pPr>
    </w:p>
    <w:p w14:paraId="4E681E6E">
      <w:pPr>
        <w:spacing w:line="400" w:lineRule="exact"/>
        <w:rPr>
          <w:rFonts w:hint="eastAsia" w:ascii="仿宋" w:hAnsi="仿宋" w:eastAsia="仿宋" w:cs="仿宋"/>
          <w:color w:val="auto"/>
          <w:sz w:val="32"/>
          <w:szCs w:val="32"/>
        </w:rPr>
      </w:pPr>
    </w:p>
    <w:p w14:paraId="437FD347">
      <w:pPr>
        <w:spacing w:line="360" w:lineRule="auto"/>
        <w:jc w:val="center"/>
        <w:rPr>
          <w:rFonts w:hint="eastAsia" w:asciiTheme="minorEastAsia" w:hAnsiTheme="minorEastAsia" w:eastAsiaTheme="minorEastAsia" w:cstheme="minorEastAsia"/>
          <w:b/>
          <w:bCs/>
          <w:color w:val="auto"/>
          <w:sz w:val="44"/>
          <w:szCs w:val="44"/>
          <w:lang w:val="en-US" w:eastAsia="zh-CN"/>
        </w:rPr>
      </w:pPr>
      <w:r>
        <w:rPr>
          <w:rFonts w:hint="eastAsia" w:asciiTheme="minorEastAsia" w:hAnsiTheme="minorEastAsia" w:eastAsiaTheme="minorEastAsia" w:cstheme="minorEastAsia"/>
          <w:b/>
          <w:bCs/>
          <w:color w:val="auto"/>
          <w:sz w:val="44"/>
          <w:szCs w:val="44"/>
          <w:lang w:eastAsia="zh-CN"/>
        </w:rPr>
        <w:t>陕西锌业有限公司</w:t>
      </w:r>
      <w:r>
        <w:rPr>
          <w:rFonts w:hint="eastAsia" w:asciiTheme="minorEastAsia" w:hAnsiTheme="minorEastAsia" w:eastAsiaTheme="minorEastAsia" w:cstheme="minorEastAsia"/>
          <w:b/>
          <w:bCs/>
          <w:color w:val="auto"/>
          <w:sz w:val="44"/>
          <w:szCs w:val="44"/>
          <w:lang w:val="en-US" w:eastAsia="zh-CN"/>
        </w:rPr>
        <w:t>2025年</w:t>
      </w:r>
      <w:r>
        <w:rPr>
          <w:rFonts w:hint="eastAsia" w:asciiTheme="minorEastAsia" w:hAnsiTheme="minorEastAsia" w:cstheme="minorEastAsia"/>
          <w:b/>
          <w:bCs/>
          <w:color w:val="auto"/>
          <w:sz w:val="44"/>
          <w:szCs w:val="44"/>
          <w:lang w:val="en-US" w:eastAsia="zh-CN"/>
        </w:rPr>
        <w:t>6</w:t>
      </w:r>
      <w:r>
        <w:rPr>
          <w:rFonts w:hint="eastAsia" w:asciiTheme="minorEastAsia" w:hAnsiTheme="minorEastAsia" w:eastAsiaTheme="minorEastAsia" w:cstheme="minorEastAsia"/>
          <w:b/>
          <w:bCs/>
          <w:color w:val="auto"/>
          <w:sz w:val="44"/>
          <w:szCs w:val="44"/>
          <w:lang w:val="en-US" w:eastAsia="zh-CN"/>
        </w:rPr>
        <w:t>月</w:t>
      </w:r>
    </w:p>
    <w:p w14:paraId="56CCC860">
      <w:pPr>
        <w:spacing w:line="360" w:lineRule="auto"/>
        <w:jc w:val="center"/>
        <w:rPr>
          <w:rFonts w:hint="eastAsia" w:asciiTheme="minorEastAsia" w:hAnsiTheme="minorEastAsia" w:eastAsiaTheme="minorEastAsia" w:cstheme="minorEastAsia"/>
          <w:b/>
          <w:bCs/>
          <w:color w:val="auto"/>
          <w:sz w:val="44"/>
          <w:szCs w:val="44"/>
          <w:lang w:val="en-US" w:eastAsia="zh-CN"/>
        </w:rPr>
      </w:pPr>
      <w:r>
        <w:rPr>
          <w:rFonts w:hint="eastAsia" w:asciiTheme="minorEastAsia" w:hAnsiTheme="minorEastAsia" w:cstheme="minorEastAsia"/>
          <w:b/>
          <w:bCs/>
          <w:color w:val="auto"/>
          <w:sz w:val="44"/>
          <w:szCs w:val="44"/>
          <w:lang w:val="en-US" w:eastAsia="zh-CN"/>
        </w:rPr>
        <w:t>其它备品备件二次</w:t>
      </w:r>
      <w:r>
        <w:rPr>
          <w:rFonts w:hint="eastAsia" w:asciiTheme="minorEastAsia" w:hAnsiTheme="minorEastAsia" w:eastAsiaTheme="minorEastAsia" w:cstheme="minorEastAsia"/>
          <w:b/>
          <w:bCs/>
          <w:color w:val="auto"/>
          <w:sz w:val="44"/>
          <w:szCs w:val="44"/>
          <w:lang w:val="en-US" w:eastAsia="zh-CN"/>
        </w:rPr>
        <w:t>采购项目询比</w:t>
      </w:r>
      <w:r>
        <w:rPr>
          <w:rFonts w:hint="eastAsia" w:asciiTheme="minorEastAsia" w:hAnsiTheme="minorEastAsia" w:eastAsiaTheme="minorEastAsia" w:cstheme="minorEastAsia"/>
          <w:b/>
          <w:bCs/>
          <w:color w:val="auto"/>
          <w:sz w:val="44"/>
          <w:szCs w:val="44"/>
          <w:lang w:eastAsia="zh-CN"/>
        </w:rPr>
        <w:t>采购</w:t>
      </w:r>
    </w:p>
    <w:p w14:paraId="348EF0DF">
      <w:pPr>
        <w:rPr>
          <w:rFonts w:hint="eastAsia" w:asciiTheme="minorEastAsia" w:hAnsiTheme="minorEastAsia" w:eastAsiaTheme="minorEastAsia" w:cstheme="minorEastAsia"/>
          <w:b/>
          <w:bCs/>
          <w:color w:val="auto"/>
          <w:sz w:val="44"/>
          <w:szCs w:val="44"/>
        </w:rPr>
      </w:pPr>
    </w:p>
    <w:p w14:paraId="47203CAC">
      <w:pPr>
        <w:jc w:val="center"/>
        <w:rPr>
          <w:rFonts w:hint="eastAsia" w:asciiTheme="minorEastAsia" w:hAnsiTheme="minorEastAsia" w:eastAsiaTheme="minorEastAsia" w:cstheme="minorEastAsia"/>
          <w:b/>
          <w:bCs/>
          <w:color w:val="auto"/>
          <w:sz w:val="44"/>
          <w:szCs w:val="44"/>
        </w:rPr>
      </w:pPr>
      <w:r>
        <w:rPr>
          <w:rFonts w:hint="eastAsia" w:asciiTheme="minorEastAsia" w:hAnsiTheme="minorEastAsia" w:eastAsiaTheme="minorEastAsia" w:cstheme="minorEastAsia"/>
          <w:b/>
          <w:bCs/>
          <w:color w:val="auto"/>
          <w:sz w:val="44"/>
          <w:szCs w:val="44"/>
          <w:lang w:val="en-US" w:eastAsia="zh-CN"/>
        </w:rPr>
        <w:t>响 应</w:t>
      </w:r>
      <w:r>
        <w:rPr>
          <w:rFonts w:hint="eastAsia" w:asciiTheme="minorEastAsia" w:hAnsiTheme="minorEastAsia" w:eastAsiaTheme="minorEastAsia" w:cstheme="minorEastAsia"/>
          <w:b/>
          <w:bCs/>
          <w:color w:val="auto"/>
          <w:sz w:val="44"/>
          <w:szCs w:val="44"/>
        </w:rPr>
        <w:t xml:space="preserve"> 文 件</w:t>
      </w:r>
    </w:p>
    <w:p w14:paraId="1040E039">
      <w:pPr>
        <w:jc w:val="center"/>
        <w:rPr>
          <w:rFonts w:hint="eastAsia" w:asciiTheme="minorEastAsia" w:hAnsiTheme="minorEastAsia" w:eastAsiaTheme="minorEastAsia" w:cstheme="minorEastAsia"/>
          <w:b/>
          <w:bCs/>
          <w:color w:val="auto"/>
          <w:sz w:val="44"/>
          <w:szCs w:val="44"/>
        </w:rPr>
      </w:pPr>
    </w:p>
    <w:p w14:paraId="701CDFDB">
      <w:pPr>
        <w:rPr>
          <w:rFonts w:hint="eastAsia" w:asciiTheme="minorEastAsia" w:hAnsiTheme="minorEastAsia" w:eastAsiaTheme="minorEastAsia" w:cstheme="minorEastAsia"/>
          <w:color w:val="auto"/>
          <w:sz w:val="32"/>
          <w:szCs w:val="32"/>
        </w:rPr>
      </w:pPr>
    </w:p>
    <w:p w14:paraId="4D19A991">
      <w:pPr>
        <w:rPr>
          <w:rFonts w:hint="eastAsia" w:asciiTheme="minorEastAsia" w:hAnsiTheme="minorEastAsia" w:eastAsiaTheme="minorEastAsia" w:cstheme="minorEastAsia"/>
          <w:color w:val="auto"/>
          <w:sz w:val="32"/>
          <w:szCs w:val="32"/>
        </w:rPr>
      </w:pPr>
    </w:p>
    <w:p w14:paraId="17D04BD7">
      <w:pPr>
        <w:rPr>
          <w:rFonts w:hint="eastAsia" w:asciiTheme="minorEastAsia" w:hAnsiTheme="minorEastAsia" w:eastAsiaTheme="minorEastAsia" w:cstheme="minorEastAsia"/>
          <w:color w:val="auto"/>
          <w:sz w:val="32"/>
          <w:szCs w:val="32"/>
        </w:rPr>
      </w:pPr>
    </w:p>
    <w:p w14:paraId="316A74FF">
      <w:pPr>
        <w:rPr>
          <w:rFonts w:hint="eastAsia" w:asciiTheme="minorEastAsia" w:hAnsiTheme="minorEastAsia" w:eastAsiaTheme="minorEastAsia" w:cstheme="minorEastAsia"/>
          <w:color w:val="auto"/>
          <w:sz w:val="32"/>
          <w:szCs w:val="32"/>
        </w:rPr>
      </w:pPr>
    </w:p>
    <w:p w14:paraId="037F410D">
      <w:pPr>
        <w:rPr>
          <w:rFonts w:hint="eastAsia" w:asciiTheme="minorEastAsia" w:hAnsiTheme="minorEastAsia" w:eastAsiaTheme="minorEastAsia" w:cstheme="minorEastAsia"/>
          <w:color w:val="auto"/>
          <w:sz w:val="32"/>
          <w:szCs w:val="32"/>
        </w:rPr>
      </w:pPr>
    </w:p>
    <w:p w14:paraId="6FD94963">
      <w:pPr>
        <w:rPr>
          <w:rFonts w:hint="eastAsia" w:asciiTheme="minorEastAsia" w:hAnsiTheme="minorEastAsia" w:eastAsiaTheme="minorEastAsia" w:cstheme="minorEastAsia"/>
          <w:color w:val="auto"/>
          <w:sz w:val="32"/>
          <w:szCs w:val="32"/>
        </w:rPr>
      </w:pPr>
    </w:p>
    <w:p w14:paraId="7E836B21">
      <w:pPr>
        <w:rPr>
          <w:rFonts w:hint="eastAsia" w:ascii="仿宋" w:hAnsi="仿宋" w:eastAsia="仿宋" w:cs="仿宋"/>
          <w:color w:val="auto"/>
          <w:sz w:val="32"/>
          <w:szCs w:val="32"/>
        </w:rPr>
      </w:pPr>
    </w:p>
    <w:p w14:paraId="7F388BC0">
      <w:pPr>
        <w:rPr>
          <w:rFonts w:hint="eastAsia" w:ascii="仿宋" w:hAnsi="仿宋" w:eastAsia="仿宋" w:cs="仿宋"/>
          <w:color w:val="auto"/>
          <w:sz w:val="32"/>
          <w:szCs w:val="32"/>
        </w:rPr>
      </w:pPr>
    </w:p>
    <w:p w14:paraId="26962B84">
      <w:pPr>
        <w:spacing w:line="360" w:lineRule="auto"/>
        <w:rPr>
          <w:rFonts w:hint="eastAsia" w:ascii="仿宋" w:hAnsi="仿宋" w:eastAsia="仿宋" w:cs="仿宋"/>
          <w:color w:val="auto"/>
          <w:sz w:val="32"/>
          <w:szCs w:val="32"/>
        </w:rPr>
      </w:pPr>
    </w:p>
    <w:p w14:paraId="01A07917">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05A9AA0C">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57ABEB42">
      <w:pPr>
        <w:jc w:val="center"/>
        <w:rPr>
          <w:rFonts w:hint="eastAsia" w:ascii="宋体" w:hAnsi="宋体" w:eastAsia="宋体" w:cs="宋体"/>
          <w:b/>
          <w:bCs/>
          <w:color w:val="auto"/>
          <w:sz w:val="32"/>
          <w:szCs w:val="32"/>
        </w:rPr>
      </w:pPr>
    </w:p>
    <w:p w14:paraId="1AEE9FA3">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48D77D89">
      <w:pPr>
        <w:pStyle w:val="3"/>
        <w:jc w:val="center"/>
        <w:rPr>
          <w:rFonts w:hint="eastAsia" w:ascii="黑体" w:hAnsi="黑体" w:eastAsia="黑体" w:cs="黑体"/>
          <w:b/>
          <w:bCs w:val="0"/>
          <w:color w:val="auto"/>
          <w:sz w:val="36"/>
          <w:szCs w:val="36"/>
        </w:rPr>
      </w:pPr>
      <w:bookmarkStart w:id="175" w:name="_Toc3885"/>
      <w:bookmarkStart w:id="176" w:name="_Toc504488767"/>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175"/>
      <w:bookmarkEnd w:id="176"/>
    </w:p>
    <w:p w14:paraId="7FAFE262">
      <w:pPr>
        <w:spacing w:line="540" w:lineRule="exact"/>
        <w:rPr>
          <w:rFonts w:hint="eastAsia" w:ascii="仿宋" w:hAnsi="仿宋" w:eastAsia="仿宋" w:cs="仿宋"/>
          <w:color w:val="auto"/>
          <w:sz w:val="32"/>
          <w:szCs w:val="32"/>
        </w:rPr>
      </w:pPr>
    </w:p>
    <w:p w14:paraId="7BB2C25D">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658D1A3D">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4E4E435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0DFDA56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D738AEC">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4C07FA39">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2CDC58D2">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124D4634">
      <w:pPr>
        <w:pStyle w:val="3"/>
        <w:jc w:val="center"/>
        <w:rPr>
          <w:rFonts w:hint="eastAsia" w:ascii="黑体" w:hAnsi="黑体" w:eastAsia="黑体" w:cs="黑体"/>
          <w:b w:val="0"/>
          <w:bCs/>
          <w:color w:val="auto"/>
          <w:sz w:val="36"/>
          <w:szCs w:val="36"/>
        </w:rPr>
      </w:pPr>
      <w:bookmarkStart w:id="177" w:name="_Toc16531"/>
      <w:bookmarkStart w:id="178" w:name="_Toc504488768"/>
      <w:r>
        <w:rPr>
          <w:rFonts w:hint="eastAsia" w:ascii="黑体" w:hAnsi="黑体" w:eastAsia="黑体" w:cs="黑体"/>
          <w:b w:val="0"/>
          <w:bCs/>
          <w:color w:val="auto"/>
          <w:sz w:val="36"/>
          <w:szCs w:val="36"/>
        </w:rPr>
        <w:t>一、</w:t>
      </w:r>
      <w:bookmarkEnd w:id="177"/>
      <w:bookmarkEnd w:id="178"/>
      <w:r>
        <w:rPr>
          <w:rFonts w:hint="eastAsia" w:ascii="黑体" w:hAnsi="黑体" w:eastAsia="黑体" w:cs="黑体"/>
          <w:b w:val="0"/>
          <w:bCs/>
          <w:color w:val="auto"/>
          <w:sz w:val="36"/>
          <w:szCs w:val="36"/>
          <w:lang w:eastAsia="zh-CN"/>
        </w:rPr>
        <w:t>响应函</w:t>
      </w:r>
    </w:p>
    <w:p w14:paraId="3ADEA5B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04B5E6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，并按合同约定履行义务。</w:t>
      </w:r>
    </w:p>
    <w:p w14:paraId="3FA4913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527EF4C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756FD125">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1B0C146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10B1EC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163FF054">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14D1AF53">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5CB0063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2424E4E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7BFA1E3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E00B440">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6B604009">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46BFFEB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35509D06">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2EF670C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及有关资料内容完整、真实和准确，且不存在第二章“</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须知”第</w:t>
      </w:r>
      <w:r>
        <w:rPr>
          <w:rFonts w:hint="eastAsia" w:ascii="仿宋" w:hAnsi="仿宋" w:eastAsia="仿宋" w:cs="仿宋"/>
          <w:color w:val="auto"/>
          <w:sz w:val="32"/>
          <w:szCs w:val="32"/>
          <w:lang w:val="en-US" w:eastAsia="zh-CN"/>
        </w:rPr>
        <w:t>一条第九款第五</w:t>
      </w:r>
      <w:r>
        <w:rPr>
          <w:rFonts w:hint="eastAsia" w:ascii="仿宋" w:hAnsi="仿宋" w:eastAsia="仿宋" w:cs="仿宋"/>
          <w:color w:val="auto"/>
          <w:sz w:val="32"/>
          <w:szCs w:val="32"/>
        </w:rPr>
        <w:t>项规定的任何一种情形。</w:t>
      </w:r>
    </w:p>
    <w:p w14:paraId="6D04031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2A3034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0B28DA2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3B2124A6">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6AFE17A4">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4414589">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273E895B">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76DABB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6D00181B">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2926CA46">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172F14F">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770C5208">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3EBBC88F">
      <w:pPr>
        <w:spacing w:line="440" w:lineRule="exact"/>
        <w:rPr>
          <w:rFonts w:hint="eastAsia" w:ascii="仿宋" w:hAnsi="仿宋" w:eastAsia="仿宋" w:cs="仿宋"/>
          <w:color w:val="auto"/>
          <w:sz w:val="32"/>
          <w:szCs w:val="32"/>
        </w:rPr>
      </w:pPr>
    </w:p>
    <w:p w14:paraId="0B26C1B3">
      <w:pPr>
        <w:spacing w:line="440" w:lineRule="exact"/>
        <w:rPr>
          <w:rFonts w:hint="eastAsia" w:ascii="仿宋" w:hAnsi="仿宋" w:eastAsia="仿宋" w:cs="仿宋"/>
          <w:color w:val="auto"/>
          <w:sz w:val="32"/>
          <w:szCs w:val="32"/>
        </w:rPr>
      </w:pPr>
    </w:p>
    <w:p w14:paraId="765B7916">
      <w:pPr>
        <w:spacing w:line="440" w:lineRule="exact"/>
        <w:rPr>
          <w:rFonts w:hint="eastAsia" w:ascii="仿宋" w:hAnsi="仿宋" w:eastAsia="仿宋" w:cs="仿宋"/>
          <w:color w:val="auto"/>
          <w:sz w:val="32"/>
          <w:szCs w:val="32"/>
        </w:rPr>
      </w:pPr>
    </w:p>
    <w:p w14:paraId="1450B9B0">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179" w:name="_Toc504488769"/>
      <w:bookmarkStart w:id="180" w:name="_Toc28734"/>
    </w:p>
    <w:p w14:paraId="5E48616F">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179"/>
      <w:bookmarkEnd w:id="180"/>
    </w:p>
    <w:p w14:paraId="3F3C3E91">
      <w:pPr>
        <w:spacing w:line="440" w:lineRule="exact"/>
        <w:rPr>
          <w:rFonts w:hint="eastAsia" w:ascii="仿宋" w:hAnsi="仿宋" w:eastAsia="仿宋" w:cs="仿宋"/>
          <w:color w:val="auto"/>
          <w:sz w:val="32"/>
          <w:szCs w:val="32"/>
        </w:rPr>
      </w:pPr>
    </w:p>
    <w:p w14:paraId="0CB80CD8">
      <w:pPr>
        <w:spacing w:line="440" w:lineRule="exact"/>
        <w:rPr>
          <w:rFonts w:hint="eastAsia" w:ascii="仿宋" w:hAnsi="仿宋" w:eastAsia="仿宋" w:cs="仿宋"/>
          <w:color w:val="auto"/>
          <w:sz w:val="32"/>
          <w:szCs w:val="32"/>
        </w:rPr>
      </w:pPr>
    </w:p>
    <w:p w14:paraId="3ADB020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E0E6FF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181" w:name="_Toc369531698"/>
      <w:bookmarkStart w:id="182" w:name="_Toc27897"/>
      <w:bookmarkStart w:id="183" w:name="_Toc352691662"/>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181"/>
      <w:bookmarkEnd w:id="182"/>
      <w:bookmarkEnd w:id="183"/>
      <w:r>
        <w:rPr>
          <w:rFonts w:hint="eastAsia" w:ascii="仿宋" w:hAnsi="仿宋" w:eastAsia="仿宋" w:cs="仿宋"/>
          <w:color w:val="auto"/>
          <w:sz w:val="32"/>
          <w:szCs w:val="32"/>
        </w:rPr>
        <w:t>龄</w:t>
      </w:r>
      <w:bookmarkStart w:id="184" w:name="_Toc247527829"/>
      <w:bookmarkStart w:id="185" w:name="_Toc384308377"/>
      <w:bookmarkStart w:id="186" w:name="_Toc352691663"/>
      <w:bookmarkStart w:id="187" w:name="_Toc247514248"/>
      <w:bookmarkStart w:id="188" w:name="_Toc152045789"/>
      <w:bookmarkStart w:id="189" w:name="_Toc361508754"/>
      <w:bookmarkStart w:id="190" w:name="_Toc15573"/>
      <w:bookmarkStart w:id="191" w:name="_Toc300835211"/>
      <w:bookmarkStart w:id="192" w:name="_Toc152042578"/>
      <w:bookmarkStart w:id="193" w:name="_Toc369531699"/>
      <w:bookmarkStart w:id="194" w:name="_Toc144974858"/>
      <w:r>
        <w:rPr>
          <w:rFonts w:hint="eastAsia" w:ascii="仿宋" w:hAnsi="仿宋" w:eastAsia="仿宋" w:cs="仿宋"/>
          <w:color w:val="auto"/>
          <w:sz w:val="32"/>
          <w:szCs w:val="32"/>
        </w:rPr>
        <w:t>：</w:t>
      </w:r>
      <w:bookmarkEnd w:id="184"/>
      <w:bookmarkEnd w:id="185"/>
      <w:bookmarkEnd w:id="186"/>
      <w:bookmarkEnd w:id="187"/>
      <w:bookmarkEnd w:id="188"/>
      <w:bookmarkEnd w:id="189"/>
      <w:bookmarkEnd w:id="190"/>
      <w:bookmarkEnd w:id="191"/>
      <w:bookmarkEnd w:id="192"/>
      <w:bookmarkEnd w:id="193"/>
      <w:bookmarkEnd w:id="194"/>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727E1FB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76BA00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229AB0F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0A81B2A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513F800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6C79BE1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05140B7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3E0196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25896E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22A98D4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160D1FA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3231C55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05A0ECA">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7A9B0588">
      <w:pPr>
        <w:pStyle w:val="3"/>
        <w:jc w:val="center"/>
        <w:rPr>
          <w:rFonts w:hint="eastAsia" w:ascii="黑体" w:hAnsi="黑体" w:eastAsia="黑体" w:cs="黑体"/>
          <w:color w:val="auto"/>
          <w:sz w:val="36"/>
          <w:szCs w:val="36"/>
        </w:rPr>
      </w:pPr>
      <w:bookmarkStart w:id="195" w:name="_Toc2777"/>
      <w:bookmarkStart w:id="196" w:name="_Toc504488770"/>
      <w:r>
        <w:rPr>
          <w:rFonts w:hint="eastAsia" w:ascii="黑体" w:hAnsi="黑体" w:eastAsia="黑体" w:cs="黑体"/>
          <w:color w:val="auto"/>
          <w:sz w:val="36"/>
          <w:szCs w:val="36"/>
        </w:rPr>
        <w:t>二、授权委托书</w:t>
      </w:r>
      <w:bookmarkEnd w:id="195"/>
      <w:bookmarkEnd w:id="196"/>
    </w:p>
    <w:p w14:paraId="1FB29867">
      <w:pPr>
        <w:spacing w:line="440" w:lineRule="exact"/>
        <w:rPr>
          <w:rFonts w:hint="eastAsia" w:ascii="仿宋" w:hAnsi="仿宋" w:eastAsia="仿宋" w:cs="仿宋"/>
          <w:color w:val="auto"/>
          <w:sz w:val="32"/>
          <w:szCs w:val="32"/>
        </w:rPr>
      </w:pPr>
    </w:p>
    <w:p w14:paraId="77672415">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62A8EBD9">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5829108C">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4237FCFA">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10F2AD89">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29F04250">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C44908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5D2A2521">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142873B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5CA06CB5">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0A9B860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4A63A096">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4AFACA6B">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475D94B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3668D27">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526EE6A8">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34728D20">
      <w:pPr>
        <w:pStyle w:val="3"/>
        <w:spacing w:after="0" w:line="413" w:lineRule="auto"/>
        <w:jc w:val="center"/>
        <w:rPr>
          <w:rFonts w:hint="eastAsia" w:ascii="黑体" w:hAnsi="黑体" w:eastAsia="黑体" w:cs="黑体"/>
          <w:color w:val="auto"/>
          <w:sz w:val="36"/>
          <w:szCs w:val="36"/>
          <w:u w:val="single"/>
          <w:lang w:eastAsia="zh-CN"/>
        </w:rPr>
      </w:pPr>
      <w:bookmarkStart w:id="197" w:name="_Toc7842"/>
      <w:bookmarkStart w:id="198" w:name="_Toc50448877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197"/>
      <w:bookmarkEnd w:id="198"/>
      <w:r>
        <w:rPr>
          <w:rFonts w:hint="eastAsia" w:ascii="黑体" w:hAnsi="黑体" w:eastAsia="黑体" w:cs="黑体"/>
          <w:color w:val="auto"/>
          <w:sz w:val="36"/>
          <w:szCs w:val="36"/>
          <w:lang w:eastAsia="zh-CN"/>
        </w:rPr>
        <w:t>响应保证金</w:t>
      </w:r>
    </w:p>
    <w:p w14:paraId="75E14C83">
      <w:pPr>
        <w:spacing w:line="440" w:lineRule="exact"/>
        <w:rPr>
          <w:rFonts w:hint="eastAsia" w:ascii="仿宋" w:hAnsi="仿宋" w:eastAsia="仿宋" w:cs="仿宋"/>
          <w:b/>
          <w:bCs/>
          <w:color w:val="auto"/>
          <w:sz w:val="32"/>
          <w:szCs w:val="32"/>
        </w:rPr>
      </w:pPr>
    </w:p>
    <w:p w14:paraId="4C5D9A9B">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2383DE00">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63C576C">
      <w:pPr>
        <w:spacing w:line="440" w:lineRule="exact"/>
        <w:rPr>
          <w:rFonts w:hint="eastAsia" w:ascii="仿宋" w:hAnsi="仿宋" w:eastAsia="仿宋" w:cs="仿宋"/>
          <w:color w:val="auto"/>
          <w:sz w:val="32"/>
          <w:szCs w:val="32"/>
          <w:u w:val="single"/>
        </w:rPr>
      </w:pPr>
    </w:p>
    <w:p w14:paraId="1E5D1F53">
      <w:pPr>
        <w:spacing w:line="440" w:lineRule="exact"/>
        <w:rPr>
          <w:rFonts w:hint="eastAsia" w:ascii="仿宋" w:hAnsi="仿宋" w:eastAsia="仿宋" w:cs="仿宋"/>
          <w:color w:val="auto"/>
          <w:sz w:val="32"/>
          <w:szCs w:val="32"/>
          <w:u w:val="single"/>
        </w:rPr>
      </w:pPr>
    </w:p>
    <w:p w14:paraId="066466DF">
      <w:pPr>
        <w:pStyle w:val="3"/>
        <w:pageBreakBefore/>
        <w:snapToGrid w:val="0"/>
        <w:spacing w:before="0" w:after="0" w:line="288" w:lineRule="auto"/>
        <w:rPr>
          <w:rFonts w:hint="eastAsia" w:ascii="仿宋" w:hAnsi="仿宋" w:eastAsia="仿宋" w:cs="仿宋"/>
          <w:color w:val="auto"/>
          <w:sz w:val="32"/>
          <w:szCs w:val="32"/>
        </w:rPr>
      </w:pPr>
      <w:bookmarkStart w:id="199"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199"/>
    </w:p>
    <w:p w14:paraId="22A347A6">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47DC541">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F3D87E1">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24C02FF8">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50D85536">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6464F15C">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1AD8B465">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74192458">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29B603C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41B6B359">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435B253">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00ED14FB">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059AC7C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537D944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3BA1E593">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352144AB">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483BB9D1">
      <w:pPr>
        <w:snapToGrid w:val="0"/>
        <w:spacing w:line="312" w:lineRule="auto"/>
        <w:rPr>
          <w:rFonts w:hint="eastAsia" w:ascii="仿宋" w:hAnsi="仿宋" w:eastAsia="仿宋" w:cs="仿宋"/>
          <w:color w:val="auto"/>
          <w:sz w:val="32"/>
          <w:szCs w:val="32"/>
        </w:rPr>
      </w:pPr>
    </w:p>
    <w:p w14:paraId="79210290">
      <w:pPr>
        <w:snapToGrid w:val="0"/>
        <w:spacing w:line="312" w:lineRule="auto"/>
        <w:rPr>
          <w:rFonts w:hint="eastAsia" w:ascii="仿宋" w:hAnsi="仿宋" w:eastAsia="仿宋" w:cs="仿宋"/>
          <w:color w:val="auto"/>
          <w:sz w:val="32"/>
          <w:szCs w:val="32"/>
        </w:rPr>
      </w:pPr>
    </w:p>
    <w:p w14:paraId="76DC750B">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2B8FD0A4">
      <w:pPr>
        <w:snapToGrid w:val="0"/>
        <w:spacing w:line="312" w:lineRule="auto"/>
        <w:rPr>
          <w:rFonts w:hint="eastAsia" w:ascii="仿宋" w:hAnsi="仿宋" w:eastAsia="仿宋" w:cs="仿宋"/>
          <w:color w:val="auto"/>
          <w:sz w:val="32"/>
          <w:szCs w:val="32"/>
        </w:rPr>
      </w:pPr>
    </w:p>
    <w:p w14:paraId="1718DBFB">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1C6D1514">
      <w:pPr>
        <w:snapToGrid w:val="0"/>
        <w:spacing w:line="312" w:lineRule="auto"/>
        <w:rPr>
          <w:rFonts w:hint="eastAsia" w:ascii="仿宋" w:hAnsi="仿宋" w:eastAsia="仿宋" w:cs="仿宋"/>
          <w:color w:val="auto"/>
          <w:sz w:val="32"/>
          <w:szCs w:val="32"/>
        </w:rPr>
      </w:pPr>
    </w:p>
    <w:p w14:paraId="66BFB8D3">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3C8805D4">
      <w:pPr>
        <w:snapToGrid w:val="0"/>
        <w:spacing w:line="312" w:lineRule="auto"/>
        <w:ind w:firstLine="1280" w:firstLineChars="400"/>
        <w:rPr>
          <w:rFonts w:hint="eastAsia" w:ascii="仿宋" w:hAnsi="仿宋" w:eastAsia="仿宋" w:cs="仿宋"/>
          <w:color w:val="auto"/>
          <w:sz w:val="32"/>
          <w:szCs w:val="32"/>
        </w:rPr>
      </w:pPr>
    </w:p>
    <w:p w14:paraId="404F3980">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60530853">
      <w:pPr>
        <w:pStyle w:val="8"/>
        <w:snapToGrid w:val="0"/>
        <w:spacing w:after="120"/>
        <w:ind w:firstLine="0" w:firstLineChars="0"/>
        <w:jc w:val="both"/>
        <w:rPr>
          <w:rFonts w:hint="eastAsia" w:ascii="仿宋" w:hAnsi="仿宋" w:eastAsia="仿宋" w:cs="仿宋"/>
          <w:color w:val="auto"/>
          <w:sz w:val="32"/>
          <w:szCs w:val="32"/>
        </w:rPr>
      </w:pPr>
    </w:p>
    <w:p w14:paraId="4BEAA704">
      <w:pPr>
        <w:pStyle w:val="8"/>
        <w:snapToGrid w:val="0"/>
        <w:spacing w:after="120"/>
        <w:ind w:firstLine="0" w:firstLineChars="0"/>
        <w:jc w:val="both"/>
        <w:rPr>
          <w:rFonts w:hint="eastAsia" w:ascii="仿宋" w:hAnsi="仿宋" w:eastAsia="仿宋" w:cs="仿宋"/>
          <w:color w:val="auto"/>
          <w:sz w:val="32"/>
          <w:szCs w:val="32"/>
        </w:rPr>
      </w:pPr>
    </w:p>
    <w:p w14:paraId="2518B5B0">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4EB3BAA6">
      <w:pPr>
        <w:widowControl/>
        <w:jc w:val="left"/>
        <w:rPr>
          <w:rFonts w:ascii="Times New Roman" w:hAnsi="Times New Roman"/>
          <w:color w:val="auto"/>
          <w:sz w:val="24"/>
          <w:szCs w:val="24"/>
        </w:rPr>
      </w:pPr>
    </w:p>
    <w:p w14:paraId="72152E25">
      <w:pPr>
        <w:spacing w:line="440" w:lineRule="exact"/>
        <w:jc w:val="center"/>
        <w:rPr>
          <w:rFonts w:ascii="Times New Roman" w:hAnsi="Times New Roman" w:eastAsia="黑体"/>
          <w:color w:val="auto"/>
          <w:sz w:val="27"/>
          <w:szCs w:val="27"/>
        </w:rPr>
      </w:pPr>
    </w:p>
    <w:p w14:paraId="5338BF59">
      <w:pPr>
        <w:spacing w:line="440" w:lineRule="exact"/>
        <w:ind w:firstLine="420" w:firstLineChars="200"/>
        <w:rPr>
          <w:rFonts w:ascii="Times New Roman" w:hAnsi="Times New Roman"/>
          <w:color w:val="auto"/>
          <w:szCs w:val="21"/>
        </w:rPr>
      </w:pPr>
    </w:p>
    <w:p w14:paraId="3E10EB64">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2E98455F">
      <w:pPr>
        <w:pStyle w:val="3"/>
        <w:numPr>
          <w:ilvl w:val="0"/>
          <w:numId w:val="2"/>
        </w:numPr>
        <w:ind w:left="0" w:leftChars="0" w:firstLine="723" w:firstLineChars="200"/>
        <w:jc w:val="left"/>
        <w:rPr>
          <w:rFonts w:hint="eastAsia" w:ascii="黑体" w:hAnsi="黑体" w:eastAsia="黑体" w:cs="黑体"/>
          <w:b/>
          <w:bCs/>
          <w:color w:val="auto"/>
          <w:kern w:val="2"/>
          <w:sz w:val="36"/>
          <w:szCs w:val="36"/>
          <w:lang w:val="en-US" w:eastAsia="zh-CN" w:bidi="ar-SA"/>
        </w:rPr>
      </w:pPr>
      <w:bookmarkStart w:id="200" w:name="_Toc1755"/>
      <w:bookmarkStart w:id="201" w:name="_Toc504488775"/>
      <w:r>
        <w:rPr>
          <w:rFonts w:hint="eastAsia" w:ascii="黑体" w:hAnsi="黑体" w:eastAsia="黑体" w:cs="黑体"/>
          <w:b/>
          <w:bCs/>
          <w:color w:val="auto"/>
          <w:kern w:val="2"/>
          <w:sz w:val="36"/>
          <w:szCs w:val="36"/>
          <w:lang w:val="en-US" w:eastAsia="zh-CN" w:bidi="ar-SA"/>
        </w:rPr>
        <w:t>分项报价表</w:t>
      </w:r>
    </w:p>
    <w:tbl>
      <w:tblPr>
        <w:tblStyle w:val="9"/>
        <w:tblW w:w="96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5"/>
        <w:gridCol w:w="1581"/>
        <w:gridCol w:w="2094"/>
        <w:gridCol w:w="630"/>
        <w:gridCol w:w="645"/>
        <w:gridCol w:w="1380"/>
        <w:gridCol w:w="1275"/>
        <w:gridCol w:w="1275"/>
      </w:tblGrid>
      <w:tr w14:paraId="273FE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0DA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5F6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2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B54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89F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D68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DE0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单价（元）</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04B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金额（元）</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2B74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备注</w:t>
            </w:r>
          </w:p>
        </w:tc>
      </w:tr>
      <w:tr w14:paraId="6171A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14DC">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950A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压滤机水嘴</w:t>
            </w:r>
          </w:p>
        </w:tc>
        <w:tc>
          <w:tcPr>
            <w:tcW w:w="2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82568">
            <w:pPr>
              <w:keepNext w:val="0"/>
              <w:keepLines w:val="0"/>
              <w:widowControl/>
              <w:suppressLineNumbers w:val="0"/>
              <w:ind w:firstLine="240" w:firstLineChars="1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DN20，直角</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BEEB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797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个</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67E26">
            <w:pPr>
              <w:jc w:val="center"/>
              <w:rPr>
                <w:rFonts w:hint="eastAsia" w:ascii="宋体" w:hAnsi="宋体" w:eastAsia="宋体" w:cs="宋体"/>
                <w:i w:val="0"/>
                <w:iCs w:val="0"/>
                <w:color w:val="auto"/>
                <w:sz w:val="22"/>
                <w:szCs w:val="22"/>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56273">
            <w:pPr>
              <w:jc w:val="center"/>
              <w:rPr>
                <w:rFonts w:hint="eastAsia" w:ascii="宋体" w:hAnsi="宋体" w:eastAsia="宋体" w:cs="宋体"/>
                <w:i w:val="0"/>
                <w:iCs w:val="0"/>
                <w:color w:val="auto"/>
                <w:sz w:val="22"/>
                <w:szCs w:val="22"/>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2D3D2">
            <w:pPr>
              <w:jc w:val="center"/>
              <w:rPr>
                <w:rFonts w:hint="eastAsia" w:ascii="宋体" w:hAnsi="宋体" w:eastAsia="宋体" w:cs="宋体"/>
                <w:i w:val="0"/>
                <w:iCs w:val="0"/>
                <w:color w:val="auto"/>
                <w:sz w:val="22"/>
                <w:szCs w:val="22"/>
                <w:u w:val="none"/>
              </w:rPr>
            </w:pPr>
          </w:p>
        </w:tc>
      </w:tr>
      <w:tr w14:paraId="093A4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97F56">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A29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硅酸铝卷材</w:t>
            </w:r>
          </w:p>
        </w:tc>
        <w:tc>
          <w:tcPr>
            <w:tcW w:w="2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4C33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5000*500*50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0F2A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44AF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卷</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04049">
            <w:pPr>
              <w:jc w:val="center"/>
              <w:rPr>
                <w:rFonts w:hint="eastAsia" w:ascii="宋体" w:hAnsi="宋体" w:eastAsia="宋体" w:cs="宋体"/>
                <w:i w:val="0"/>
                <w:iCs w:val="0"/>
                <w:color w:val="auto"/>
                <w:sz w:val="22"/>
                <w:szCs w:val="22"/>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FC036">
            <w:pPr>
              <w:jc w:val="center"/>
              <w:rPr>
                <w:rFonts w:hint="eastAsia" w:ascii="宋体" w:hAnsi="宋体" w:eastAsia="宋体" w:cs="宋体"/>
                <w:i w:val="0"/>
                <w:iCs w:val="0"/>
                <w:color w:val="auto"/>
                <w:sz w:val="22"/>
                <w:szCs w:val="22"/>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1029B">
            <w:pPr>
              <w:jc w:val="center"/>
              <w:rPr>
                <w:rFonts w:hint="eastAsia" w:ascii="宋体" w:hAnsi="宋体" w:eastAsia="宋体" w:cs="宋体"/>
                <w:i w:val="0"/>
                <w:iCs w:val="0"/>
                <w:color w:val="auto"/>
                <w:sz w:val="22"/>
                <w:szCs w:val="22"/>
                <w:u w:val="none"/>
              </w:rPr>
            </w:pPr>
          </w:p>
        </w:tc>
      </w:tr>
      <w:tr w14:paraId="53CAE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F07E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合计</w:t>
            </w:r>
          </w:p>
        </w:tc>
        <w:tc>
          <w:tcPr>
            <w:tcW w:w="1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7ADB5">
            <w:pPr>
              <w:jc w:val="center"/>
              <w:rPr>
                <w:rFonts w:hint="eastAsia" w:ascii="宋体" w:hAnsi="宋体" w:eastAsia="宋体" w:cs="宋体"/>
                <w:i w:val="0"/>
                <w:iCs w:val="0"/>
                <w:color w:val="000000"/>
                <w:sz w:val="22"/>
                <w:szCs w:val="22"/>
                <w:u w:val="none"/>
              </w:rPr>
            </w:pPr>
          </w:p>
        </w:tc>
        <w:tc>
          <w:tcPr>
            <w:tcW w:w="2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DDFA6">
            <w:pPr>
              <w:jc w:val="center"/>
              <w:rPr>
                <w:rFonts w:hint="eastAsia" w:ascii="宋体" w:hAnsi="宋体" w:eastAsia="宋体" w:cs="宋体"/>
                <w:i w:val="0"/>
                <w:iCs w:val="0"/>
                <w:color w:val="000000"/>
                <w:sz w:val="22"/>
                <w:szCs w:val="22"/>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31364">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C1B91">
            <w:pPr>
              <w:jc w:val="center"/>
              <w:rPr>
                <w:rFonts w:hint="eastAsia" w:ascii="宋体" w:hAnsi="宋体" w:eastAsia="宋体" w:cs="宋体"/>
                <w:i w:val="0"/>
                <w:iCs w:val="0"/>
                <w:color w:val="000000"/>
                <w:sz w:val="22"/>
                <w:szCs w:val="22"/>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4BA86">
            <w:pPr>
              <w:jc w:val="center"/>
              <w:rPr>
                <w:rFonts w:hint="eastAsia" w:ascii="宋体" w:hAnsi="宋体" w:eastAsia="宋体" w:cs="宋体"/>
                <w:i w:val="0"/>
                <w:iCs w:val="0"/>
                <w:color w:val="000000"/>
                <w:sz w:val="22"/>
                <w:szCs w:val="22"/>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DAA1D">
            <w:pPr>
              <w:jc w:val="center"/>
              <w:rPr>
                <w:rFonts w:hint="eastAsia" w:ascii="宋体" w:hAnsi="宋体" w:eastAsia="宋体" w:cs="宋体"/>
                <w:i w:val="0"/>
                <w:iCs w:val="0"/>
                <w:color w:val="000000"/>
                <w:sz w:val="22"/>
                <w:szCs w:val="22"/>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FC7E9">
            <w:pPr>
              <w:jc w:val="center"/>
              <w:rPr>
                <w:rFonts w:hint="eastAsia" w:ascii="宋体" w:hAnsi="宋体" w:eastAsia="宋体" w:cs="宋体"/>
                <w:i w:val="0"/>
                <w:iCs w:val="0"/>
                <w:color w:val="000000"/>
                <w:sz w:val="22"/>
                <w:szCs w:val="22"/>
                <w:u w:val="none"/>
              </w:rPr>
            </w:pPr>
          </w:p>
        </w:tc>
      </w:tr>
    </w:tbl>
    <w:p w14:paraId="29088BBD">
      <w:pPr>
        <w:rPr>
          <w:rFonts w:hint="eastAsia"/>
          <w:lang w:val="en-US" w:eastAsia="zh-CN"/>
        </w:rPr>
      </w:pPr>
    </w:p>
    <w:p w14:paraId="173016B0">
      <w:pPr>
        <w:rPr>
          <w:rFonts w:hint="eastAsia"/>
          <w:lang w:val="en-US" w:eastAsia="zh-CN"/>
        </w:rPr>
      </w:pPr>
    </w:p>
    <w:p w14:paraId="2F34C091">
      <w:pPr>
        <w:rPr>
          <w:rFonts w:hint="eastAsia"/>
          <w:lang w:val="en-US" w:eastAsia="zh-CN"/>
        </w:rPr>
      </w:pPr>
    </w:p>
    <w:tbl>
      <w:tblPr>
        <w:tblStyle w:val="9"/>
        <w:tblW w:w="99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1"/>
        <w:gridCol w:w="2847"/>
        <w:gridCol w:w="5047"/>
        <w:gridCol w:w="583"/>
        <w:gridCol w:w="717"/>
      </w:tblGrid>
      <w:tr w14:paraId="2738B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325" w:type="dxa"/>
            <w:gridSpan w:val="5"/>
            <w:tcBorders>
              <w:top w:val="nil"/>
              <w:left w:val="nil"/>
              <w:bottom w:val="nil"/>
              <w:right w:val="nil"/>
            </w:tcBorders>
            <w:shd w:val="clear" w:color="auto" w:fill="auto"/>
            <w:vAlign w:val="center"/>
          </w:tcPr>
          <w:p w14:paraId="3D49FF7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 xml:space="preserve">         法定代表人或委托代理人（签名）：</w:t>
            </w:r>
          </w:p>
        </w:tc>
      </w:tr>
      <w:tr w14:paraId="6FBE8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9" w:type="dxa"/>
            <w:tcBorders>
              <w:top w:val="nil"/>
              <w:left w:val="nil"/>
              <w:bottom w:val="nil"/>
              <w:right w:val="nil"/>
            </w:tcBorders>
            <w:shd w:val="clear" w:color="auto" w:fill="auto"/>
            <w:vAlign w:val="center"/>
          </w:tcPr>
          <w:p w14:paraId="0E6197BC">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2383" w:type="dxa"/>
            <w:tcBorders>
              <w:top w:val="nil"/>
              <w:left w:val="nil"/>
              <w:bottom w:val="nil"/>
              <w:right w:val="nil"/>
            </w:tcBorders>
            <w:shd w:val="clear" w:color="auto" w:fill="auto"/>
            <w:vAlign w:val="center"/>
          </w:tcPr>
          <w:p w14:paraId="5F078E21">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4225" w:type="dxa"/>
            <w:tcBorders>
              <w:top w:val="nil"/>
              <w:left w:val="nil"/>
              <w:bottom w:val="nil"/>
              <w:right w:val="nil"/>
            </w:tcBorders>
            <w:shd w:val="clear" w:color="auto" w:fill="auto"/>
            <w:vAlign w:val="center"/>
          </w:tcPr>
          <w:p w14:paraId="360F9D6B">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488" w:type="dxa"/>
            <w:tcBorders>
              <w:top w:val="nil"/>
              <w:left w:val="nil"/>
              <w:bottom w:val="nil"/>
              <w:right w:val="nil"/>
            </w:tcBorders>
            <w:shd w:val="clear" w:color="auto" w:fill="auto"/>
            <w:vAlign w:val="center"/>
          </w:tcPr>
          <w:p w14:paraId="2874CE90">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600" w:type="dxa"/>
            <w:tcBorders>
              <w:top w:val="nil"/>
              <w:left w:val="nil"/>
              <w:bottom w:val="nil"/>
              <w:right w:val="nil"/>
            </w:tcBorders>
            <w:shd w:val="clear" w:color="auto" w:fill="auto"/>
            <w:vAlign w:val="center"/>
          </w:tcPr>
          <w:p w14:paraId="77ECE8A4">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r>
      <w:tr w14:paraId="79B1A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325" w:type="dxa"/>
            <w:gridSpan w:val="5"/>
            <w:tcBorders>
              <w:top w:val="nil"/>
              <w:left w:val="nil"/>
              <w:bottom w:val="nil"/>
              <w:right w:val="nil"/>
            </w:tcBorders>
            <w:shd w:val="clear" w:color="auto" w:fill="auto"/>
            <w:vAlign w:val="center"/>
          </w:tcPr>
          <w:p w14:paraId="52A69A1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 xml:space="preserve"> 报价单位（章）：</w:t>
            </w:r>
          </w:p>
        </w:tc>
      </w:tr>
      <w:tr w14:paraId="608BA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9" w:type="dxa"/>
            <w:tcBorders>
              <w:top w:val="nil"/>
              <w:left w:val="nil"/>
              <w:bottom w:val="nil"/>
              <w:right w:val="nil"/>
            </w:tcBorders>
            <w:shd w:val="clear" w:color="auto" w:fill="auto"/>
            <w:noWrap/>
            <w:vAlign w:val="center"/>
          </w:tcPr>
          <w:p w14:paraId="33F72E84">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2383" w:type="dxa"/>
            <w:tcBorders>
              <w:top w:val="nil"/>
              <w:left w:val="nil"/>
              <w:bottom w:val="nil"/>
              <w:right w:val="nil"/>
            </w:tcBorders>
            <w:shd w:val="clear" w:color="auto" w:fill="auto"/>
            <w:noWrap/>
            <w:vAlign w:val="center"/>
          </w:tcPr>
          <w:p w14:paraId="1DF92046">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4225" w:type="dxa"/>
            <w:tcBorders>
              <w:top w:val="nil"/>
              <w:left w:val="nil"/>
              <w:bottom w:val="nil"/>
              <w:right w:val="nil"/>
            </w:tcBorders>
            <w:shd w:val="clear" w:color="auto" w:fill="auto"/>
            <w:noWrap/>
            <w:vAlign w:val="center"/>
          </w:tcPr>
          <w:p w14:paraId="1B238E41">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488" w:type="dxa"/>
            <w:tcBorders>
              <w:top w:val="nil"/>
              <w:left w:val="nil"/>
              <w:bottom w:val="nil"/>
              <w:right w:val="nil"/>
            </w:tcBorders>
            <w:shd w:val="clear" w:color="auto" w:fill="auto"/>
            <w:noWrap/>
            <w:vAlign w:val="center"/>
          </w:tcPr>
          <w:p w14:paraId="53B1D049">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c>
          <w:tcPr>
            <w:tcW w:w="600" w:type="dxa"/>
            <w:tcBorders>
              <w:top w:val="nil"/>
              <w:left w:val="nil"/>
              <w:bottom w:val="nil"/>
              <w:right w:val="nil"/>
            </w:tcBorders>
            <w:shd w:val="clear" w:color="auto" w:fill="auto"/>
            <w:noWrap/>
            <w:vAlign w:val="center"/>
          </w:tcPr>
          <w:p w14:paraId="01FF0F50">
            <w:pPr>
              <w:keepNext w:val="0"/>
              <w:keepLines w:val="0"/>
              <w:suppressLineNumbers w:val="0"/>
              <w:spacing w:before="0" w:beforeAutospacing="0" w:after="0" w:afterAutospacing="0"/>
              <w:ind w:left="0" w:right="0"/>
              <w:jc w:val="center"/>
              <w:rPr>
                <w:rFonts w:hint="eastAsia" w:ascii="仿宋" w:hAnsi="仿宋" w:eastAsia="仿宋" w:cs="仿宋"/>
                <w:b/>
                <w:bCs/>
                <w:i w:val="0"/>
                <w:iCs w:val="0"/>
                <w:color w:val="000000"/>
                <w:sz w:val="22"/>
                <w:szCs w:val="22"/>
                <w:u w:val="none"/>
              </w:rPr>
            </w:pPr>
          </w:p>
        </w:tc>
      </w:tr>
      <w:tr w14:paraId="59349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325" w:type="dxa"/>
            <w:gridSpan w:val="5"/>
            <w:tcBorders>
              <w:top w:val="nil"/>
              <w:left w:val="nil"/>
              <w:bottom w:val="nil"/>
              <w:right w:val="nil"/>
            </w:tcBorders>
            <w:shd w:val="clear" w:color="auto" w:fill="auto"/>
            <w:noWrap/>
            <w:vAlign w:val="center"/>
          </w:tcPr>
          <w:p w14:paraId="01106CF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报价联系人及联系电话：</w:t>
            </w:r>
          </w:p>
        </w:tc>
      </w:tr>
      <w:tr w14:paraId="5FC70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9" w:type="dxa"/>
            <w:tcBorders>
              <w:top w:val="nil"/>
              <w:left w:val="nil"/>
              <w:bottom w:val="nil"/>
              <w:right w:val="nil"/>
            </w:tcBorders>
            <w:shd w:val="clear" w:color="auto" w:fill="auto"/>
            <w:noWrap/>
            <w:vAlign w:val="center"/>
          </w:tcPr>
          <w:p w14:paraId="52DAC66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2383" w:type="dxa"/>
            <w:tcBorders>
              <w:top w:val="nil"/>
              <w:left w:val="nil"/>
              <w:bottom w:val="nil"/>
              <w:right w:val="nil"/>
            </w:tcBorders>
            <w:shd w:val="clear" w:color="auto" w:fill="auto"/>
            <w:noWrap/>
            <w:vAlign w:val="center"/>
          </w:tcPr>
          <w:p w14:paraId="0D350CD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4225" w:type="dxa"/>
            <w:tcBorders>
              <w:top w:val="nil"/>
              <w:left w:val="nil"/>
              <w:bottom w:val="nil"/>
              <w:right w:val="nil"/>
            </w:tcBorders>
            <w:shd w:val="clear" w:color="auto" w:fill="auto"/>
            <w:noWrap/>
            <w:vAlign w:val="center"/>
          </w:tcPr>
          <w:p w14:paraId="41BBA6A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488" w:type="dxa"/>
            <w:tcBorders>
              <w:top w:val="nil"/>
              <w:left w:val="nil"/>
              <w:bottom w:val="nil"/>
              <w:right w:val="nil"/>
            </w:tcBorders>
            <w:shd w:val="clear" w:color="auto" w:fill="auto"/>
            <w:noWrap/>
            <w:vAlign w:val="center"/>
          </w:tcPr>
          <w:p w14:paraId="5C2A146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00" w:type="dxa"/>
            <w:tcBorders>
              <w:top w:val="nil"/>
              <w:left w:val="nil"/>
              <w:bottom w:val="nil"/>
              <w:right w:val="nil"/>
            </w:tcBorders>
            <w:shd w:val="clear" w:color="auto" w:fill="auto"/>
            <w:noWrap/>
            <w:vAlign w:val="center"/>
          </w:tcPr>
          <w:p w14:paraId="75681B2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r w14:paraId="73BF2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29" w:type="dxa"/>
            <w:tcBorders>
              <w:top w:val="nil"/>
              <w:left w:val="nil"/>
              <w:bottom w:val="nil"/>
              <w:right w:val="nil"/>
            </w:tcBorders>
            <w:shd w:val="clear" w:color="auto" w:fill="auto"/>
            <w:noWrap/>
            <w:vAlign w:val="center"/>
          </w:tcPr>
          <w:p w14:paraId="5FBC758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608" w:type="dxa"/>
            <w:gridSpan w:val="2"/>
            <w:tcBorders>
              <w:top w:val="nil"/>
              <w:left w:val="nil"/>
              <w:bottom w:val="nil"/>
              <w:right w:val="nil"/>
            </w:tcBorders>
            <w:shd w:val="clear" w:color="auto" w:fill="auto"/>
            <w:noWrap/>
            <w:vAlign w:val="center"/>
          </w:tcPr>
          <w:p w14:paraId="29516A6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报价日期：</w:t>
            </w:r>
          </w:p>
        </w:tc>
        <w:tc>
          <w:tcPr>
            <w:tcW w:w="488" w:type="dxa"/>
            <w:tcBorders>
              <w:top w:val="nil"/>
              <w:left w:val="nil"/>
              <w:bottom w:val="nil"/>
              <w:right w:val="nil"/>
            </w:tcBorders>
            <w:shd w:val="clear" w:color="auto" w:fill="auto"/>
            <w:noWrap/>
            <w:vAlign w:val="center"/>
          </w:tcPr>
          <w:p w14:paraId="6026721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600" w:type="dxa"/>
            <w:tcBorders>
              <w:top w:val="nil"/>
              <w:left w:val="nil"/>
              <w:bottom w:val="nil"/>
              <w:right w:val="nil"/>
            </w:tcBorders>
            <w:shd w:val="clear" w:color="auto" w:fill="auto"/>
            <w:noWrap/>
            <w:vAlign w:val="center"/>
          </w:tcPr>
          <w:p w14:paraId="13C0642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r>
    </w:tbl>
    <w:p w14:paraId="201A002C">
      <w:pPr>
        <w:pStyle w:val="3"/>
        <w:spacing w:after="0"/>
        <w:jc w:val="both"/>
        <w:rPr>
          <w:rFonts w:ascii="Times New Roman" w:hAnsi="Times New Roman"/>
          <w:color w:val="auto"/>
        </w:rPr>
      </w:pPr>
      <w:r>
        <w:rPr>
          <w:rFonts w:hint="eastAsia" w:ascii="Times New Roman" w:hAnsi="Times New Roman"/>
          <w:color w:val="auto"/>
          <w:kern w:val="0"/>
        </w:rPr>
        <w:br w:type="page"/>
      </w:r>
      <w:r>
        <w:rPr>
          <w:rFonts w:hint="eastAsia" w:ascii="Times New Roman" w:hAnsi="Times New Roman"/>
          <w:color w:val="auto"/>
          <w:kern w:val="0"/>
          <w:lang w:val="en-US" w:eastAsia="zh-CN"/>
        </w:rPr>
        <w:t>六</w:t>
      </w:r>
      <w:r>
        <w:rPr>
          <w:rFonts w:hint="eastAsia" w:ascii="Times New Roman" w:hAnsi="Times New Roman"/>
          <w:color w:val="auto"/>
        </w:rPr>
        <w:t>、资格审查资料</w:t>
      </w:r>
      <w:bookmarkEnd w:id="200"/>
      <w:bookmarkEnd w:id="201"/>
    </w:p>
    <w:p w14:paraId="17B24FC5">
      <w:pPr>
        <w:pStyle w:val="4"/>
        <w:spacing w:before="20" w:after="0"/>
        <w:ind w:firstLine="103"/>
        <w:rPr>
          <w:rFonts w:ascii="Times New Roman"/>
          <w:color w:val="auto"/>
          <w:sz w:val="32"/>
          <w:szCs w:val="32"/>
        </w:rPr>
      </w:pPr>
      <w:bookmarkStart w:id="202" w:name="_Toc504488776"/>
      <w:bookmarkStart w:id="203" w:name="_Toc13906"/>
      <w:r>
        <w:rPr>
          <w:rFonts w:hint="eastAsia" w:ascii="Times New Roman"/>
          <w:color w:val="auto"/>
          <w:sz w:val="32"/>
          <w:szCs w:val="32"/>
        </w:rPr>
        <w:t>（一）基本情况表</w:t>
      </w:r>
      <w:bookmarkEnd w:id="202"/>
      <w:bookmarkEnd w:id="203"/>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028320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54CDC3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w:t>
            </w:r>
          </w:p>
        </w:tc>
        <w:tc>
          <w:tcPr>
            <w:tcW w:w="6307" w:type="dxa"/>
            <w:gridSpan w:val="4"/>
            <w:tcBorders>
              <w:top w:val="single" w:color="auto" w:sz="4" w:space="0"/>
              <w:left w:val="single" w:color="auto" w:sz="4" w:space="0"/>
              <w:bottom w:val="single" w:color="auto" w:sz="4" w:space="0"/>
            </w:tcBorders>
            <w:noWrap w:val="0"/>
            <w:vAlign w:val="center"/>
          </w:tcPr>
          <w:p w14:paraId="1D4C627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420C1C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095034B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5A29CF4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1348434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成立时间</w:t>
            </w:r>
          </w:p>
        </w:tc>
        <w:tc>
          <w:tcPr>
            <w:tcW w:w="1958" w:type="dxa"/>
            <w:tcBorders>
              <w:top w:val="single" w:color="auto" w:sz="4" w:space="0"/>
              <w:left w:val="single" w:color="auto" w:sz="4" w:space="0"/>
              <w:bottom w:val="single" w:color="auto" w:sz="4" w:space="0"/>
            </w:tcBorders>
            <w:noWrap w:val="0"/>
            <w:vAlign w:val="center"/>
          </w:tcPr>
          <w:p w14:paraId="50235CF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319F77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3D7015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注册地址</w:t>
            </w:r>
          </w:p>
        </w:tc>
        <w:tc>
          <w:tcPr>
            <w:tcW w:w="6307" w:type="dxa"/>
            <w:gridSpan w:val="4"/>
            <w:tcBorders>
              <w:top w:val="single" w:color="auto" w:sz="4" w:space="0"/>
              <w:left w:val="single" w:color="auto" w:sz="4" w:space="0"/>
              <w:bottom w:val="single" w:color="auto" w:sz="4" w:space="0"/>
            </w:tcBorders>
            <w:noWrap w:val="0"/>
            <w:vAlign w:val="center"/>
          </w:tcPr>
          <w:p w14:paraId="3075EC35">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7F5BF8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790426C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341557C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18ABBD2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员工总数</w:t>
            </w:r>
          </w:p>
        </w:tc>
        <w:tc>
          <w:tcPr>
            <w:tcW w:w="1958" w:type="dxa"/>
            <w:tcBorders>
              <w:top w:val="single" w:color="auto" w:sz="4" w:space="0"/>
              <w:left w:val="single" w:color="auto" w:sz="4" w:space="0"/>
              <w:bottom w:val="single" w:color="auto" w:sz="4" w:space="0"/>
            </w:tcBorders>
            <w:noWrap w:val="0"/>
            <w:vAlign w:val="center"/>
          </w:tcPr>
          <w:p w14:paraId="6302DF0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596B81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7C23FB1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0062767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087E965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4E939E75">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958" w:type="dxa"/>
            <w:tcBorders>
              <w:top w:val="single" w:color="auto" w:sz="4" w:space="0"/>
              <w:left w:val="single" w:color="auto" w:sz="4" w:space="0"/>
              <w:bottom w:val="single" w:color="auto" w:sz="4" w:space="0"/>
            </w:tcBorders>
            <w:noWrap w:val="0"/>
            <w:vAlign w:val="center"/>
          </w:tcPr>
          <w:p w14:paraId="01D1FDE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3C5CE7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3B243F53">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4"/>
                <w:szCs w:val="24"/>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5FCD33C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6F53565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96F572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传真</w:t>
            </w:r>
          </w:p>
        </w:tc>
        <w:tc>
          <w:tcPr>
            <w:tcW w:w="1958" w:type="dxa"/>
            <w:tcBorders>
              <w:top w:val="single" w:color="auto" w:sz="4" w:space="0"/>
              <w:left w:val="single" w:color="auto" w:sz="4" w:space="0"/>
              <w:bottom w:val="single" w:color="auto" w:sz="4" w:space="0"/>
            </w:tcBorders>
            <w:noWrap w:val="0"/>
            <w:vAlign w:val="center"/>
          </w:tcPr>
          <w:p w14:paraId="2F39EDB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4E8129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39839A0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p w14:paraId="22F6984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2BB8697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CBBAA9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0EC27C6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958" w:type="dxa"/>
            <w:tcBorders>
              <w:top w:val="single" w:color="auto" w:sz="4" w:space="0"/>
              <w:left w:val="single" w:color="auto" w:sz="4" w:space="0"/>
              <w:bottom w:val="single" w:color="auto" w:sz="4" w:space="0"/>
            </w:tcBorders>
            <w:noWrap w:val="0"/>
            <w:vAlign w:val="center"/>
          </w:tcPr>
          <w:p w14:paraId="486B22D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322675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2" w:hRule="exact"/>
        </w:trPr>
        <w:tc>
          <w:tcPr>
            <w:tcW w:w="2210" w:type="dxa"/>
            <w:tcBorders>
              <w:top w:val="single" w:color="auto" w:sz="4" w:space="0"/>
              <w:bottom w:val="single" w:color="auto" w:sz="4" w:space="0"/>
              <w:right w:val="single" w:color="auto" w:sz="4" w:space="0"/>
            </w:tcBorders>
            <w:noWrap w:val="0"/>
            <w:vAlign w:val="center"/>
          </w:tcPr>
          <w:p w14:paraId="0DF268F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须知要求</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58EF5178">
            <w:pPr>
              <w:keepNext w:val="0"/>
              <w:keepLines w:val="0"/>
              <w:pageBreakBefore w:val="0"/>
              <w:widowControl w:val="0"/>
              <w:kinsoku/>
              <w:wordWrap/>
              <w:overflowPunct/>
              <w:topLinePunct/>
              <w:autoSpaceDE/>
              <w:autoSpaceDN/>
              <w:bidi w:val="0"/>
              <w:adjustRightInd/>
              <w:snapToGrid/>
              <w:spacing w:line="320" w:lineRule="exact"/>
              <w:ind w:firstLine="120" w:firstLineChars="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类型：</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等级：</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证书号：</w:t>
            </w:r>
          </w:p>
        </w:tc>
      </w:tr>
      <w:tr w14:paraId="549E3D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19F20B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基本账户开户银行</w:t>
            </w:r>
          </w:p>
        </w:tc>
        <w:tc>
          <w:tcPr>
            <w:tcW w:w="6307" w:type="dxa"/>
            <w:gridSpan w:val="4"/>
            <w:tcBorders>
              <w:top w:val="single" w:color="auto" w:sz="4" w:space="0"/>
              <w:left w:val="single" w:color="auto" w:sz="4" w:space="0"/>
              <w:bottom w:val="single" w:color="auto" w:sz="4" w:space="0"/>
            </w:tcBorders>
            <w:noWrap w:val="0"/>
            <w:vAlign w:val="center"/>
          </w:tcPr>
          <w:p w14:paraId="6C024C3E">
            <w:pPr>
              <w:keepNext w:val="0"/>
              <w:keepLines w:val="0"/>
              <w:pageBreakBefore w:val="0"/>
              <w:widowControl w:val="0"/>
              <w:kinsoku/>
              <w:wordWrap/>
              <w:overflowPunct/>
              <w:topLinePunct/>
              <w:autoSpaceDE/>
              <w:autoSpaceDN/>
              <w:bidi w:val="0"/>
              <w:adjustRightInd/>
              <w:snapToGrid/>
              <w:spacing w:line="320" w:lineRule="exact"/>
              <w:ind w:firstLine="120" w:firstLineChars="50"/>
              <w:textAlignment w:val="auto"/>
              <w:rPr>
                <w:rFonts w:hint="eastAsia" w:ascii="宋体" w:hAnsi="宋体" w:eastAsia="宋体" w:cs="宋体"/>
                <w:color w:val="auto"/>
                <w:sz w:val="24"/>
                <w:szCs w:val="24"/>
              </w:rPr>
            </w:pPr>
          </w:p>
        </w:tc>
      </w:tr>
      <w:tr w14:paraId="1ABF5D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31D63E5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基本账户银行账号</w:t>
            </w:r>
          </w:p>
        </w:tc>
        <w:tc>
          <w:tcPr>
            <w:tcW w:w="6307" w:type="dxa"/>
            <w:gridSpan w:val="4"/>
            <w:tcBorders>
              <w:top w:val="single" w:color="auto" w:sz="4" w:space="0"/>
              <w:left w:val="single" w:color="auto" w:sz="4" w:space="0"/>
            </w:tcBorders>
            <w:noWrap w:val="0"/>
            <w:vAlign w:val="center"/>
          </w:tcPr>
          <w:p w14:paraId="3F30B1CC">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15C15F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6C1D01B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近三年营业额</w:t>
            </w:r>
          </w:p>
        </w:tc>
        <w:tc>
          <w:tcPr>
            <w:tcW w:w="6307" w:type="dxa"/>
            <w:gridSpan w:val="4"/>
            <w:tcBorders>
              <w:top w:val="single" w:color="auto" w:sz="4" w:space="0"/>
              <w:left w:val="single" w:color="auto" w:sz="4" w:space="0"/>
            </w:tcBorders>
            <w:noWrap w:val="0"/>
            <w:vAlign w:val="center"/>
          </w:tcPr>
          <w:p w14:paraId="0D5CAFCA">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0149E6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2" w:hRule="exact"/>
        </w:trPr>
        <w:tc>
          <w:tcPr>
            <w:tcW w:w="2210" w:type="dxa"/>
            <w:tcBorders>
              <w:top w:val="single" w:color="auto" w:sz="4" w:space="0"/>
              <w:right w:val="single" w:color="auto" w:sz="4" w:space="0"/>
            </w:tcBorders>
            <w:noWrap w:val="0"/>
            <w:vAlign w:val="center"/>
          </w:tcPr>
          <w:p w14:paraId="599D3E7B">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关联企业情况（包括但不限于与</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法定代表人（单位负责人）为同一人或者存在控股、管理关系的不同单位）</w:t>
            </w:r>
          </w:p>
        </w:tc>
        <w:tc>
          <w:tcPr>
            <w:tcW w:w="6307" w:type="dxa"/>
            <w:gridSpan w:val="4"/>
            <w:tcBorders>
              <w:top w:val="single" w:color="auto" w:sz="4" w:space="0"/>
              <w:left w:val="single" w:color="auto" w:sz="4" w:space="0"/>
            </w:tcBorders>
            <w:noWrap w:val="0"/>
            <w:vAlign w:val="center"/>
          </w:tcPr>
          <w:p w14:paraId="6869E707">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736AB4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24" w:hRule="exact"/>
        </w:trPr>
        <w:tc>
          <w:tcPr>
            <w:tcW w:w="2210" w:type="dxa"/>
            <w:tcBorders>
              <w:top w:val="single" w:color="auto" w:sz="4" w:space="0"/>
              <w:right w:val="single" w:color="auto" w:sz="4" w:space="0"/>
            </w:tcBorders>
            <w:noWrap w:val="0"/>
            <w:vAlign w:val="center"/>
          </w:tcPr>
          <w:p w14:paraId="34493E0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响应文件所供</w:t>
            </w:r>
            <w:r>
              <w:rPr>
                <w:rFonts w:hint="eastAsia" w:ascii="宋体" w:hAnsi="宋体" w:eastAsia="宋体" w:cs="宋体"/>
                <w:color w:val="auto"/>
                <w:sz w:val="24"/>
                <w:szCs w:val="24"/>
              </w:rPr>
              <w:t>产品制造商名称</w:t>
            </w:r>
          </w:p>
        </w:tc>
        <w:tc>
          <w:tcPr>
            <w:tcW w:w="6307" w:type="dxa"/>
            <w:gridSpan w:val="4"/>
            <w:tcBorders>
              <w:top w:val="single" w:color="auto" w:sz="4" w:space="0"/>
              <w:left w:val="single" w:color="auto" w:sz="4" w:space="0"/>
            </w:tcBorders>
            <w:noWrap w:val="0"/>
            <w:vAlign w:val="center"/>
          </w:tcPr>
          <w:p w14:paraId="7049DF00">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02EC53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15092A3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c>
          <w:tcPr>
            <w:tcW w:w="6307" w:type="dxa"/>
            <w:gridSpan w:val="4"/>
            <w:tcBorders>
              <w:top w:val="single" w:color="auto" w:sz="4" w:space="0"/>
              <w:left w:val="single" w:color="auto" w:sz="4" w:space="0"/>
              <w:bottom w:val="single" w:color="auto" w:sz="4" w:space="0"/>
            </w:tcBorders>
            <w:noWrap w:val="0"/>
            <w:vAlign w:val="center"/>
          </w:tcPr>
          <w:p w14:paraId="04BF656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bl>
    <w:p w14:paraId="354FC6B8">
      <w:pPr>
        <w:spacing w:line="360" w:lineRule="auto"/>
        <w:ind w:firstLine="480" w:firstLineChars="200"/>
        <w:rPr>
          <w:rFonts w:hint="eastAsia" w:ascii="宋体" w:hAnsi="宋体" w:eastAsia="宋体" w:cs="宋体"/>
          <w:color w:val="auto"/>
          <w:sz w:val="24"/>
          <w:szCs w:val="24"/>
        </w:rPr>
      </w:pPr>
    </w:p>
    <w:p w14:paraId="1C6BC9E4">
      <w:pPr>
        <w:spacing w:line="360" w:lineRule="auto"/>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应根据</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须知第</w:t>
      </w:r>
      <w:r>
        <w:rPr>
          <w:rFonts w:hint="eastAsia" w:ascii="宋体" w:hAnsi="宋体" w:eastAsia="宋体" w:cs="宋体"/>
          <w:b w:val="0"/>
          <w:bCs w:val="0"/>
          <w:color w:val="auto"/>
          <w:sz w:val="24"/>
          <w:szCs w:val="24"/>
          <w:lang w:val="en-US" w:eastAsia="zh-CN"/>
        </w:rPr>
        <w:t>三条第5款第1</w:t>
      </w:r>
      <w:r>
        <w:rPr>
          <w:rFonts w:hint="eastAsia" w:ascii="宋体" w:hAnsi="宋体" w:eastAsia="宋体" w:cs="宋体"/>
          <w:b w:val="0"/>
          <w:bCs w:val="0"/>
          <w:color w:val="auto"/>
          <w:sz w:val="24"/>
          <w:szCs w:val="24"/>
        </w:rPr>
        <w:t>项的要求在本表后附相关证明材料。境内</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以现金（电汇）或者支票形式提交</w:t>
      </w:r>
      <w:r>
        <w:rPr>
          <w:rFonts w:hint="eastAsia" w:ascii="宋体" w:hAnsi="宋体" w:eastAsia="宋体" w:cs="宋体"/>
          <w:b w:val="0"/>
          <w:bCs w:val="0"/>
          <w:color w:val="auto"/>
          <w:sz w:val="24"/>
          <w:szCs w:val="24"/>
          <w:lang w:eastAsia="zh-CN"/>
        </w:rPr>
        <w:t>响应保证金</w:t>
      </w:r>
      <w:r>
        <w:rPr>
          <w:rFonts w:hint="eastAsia" w:ascii="宋体" w:hAnsi="宋体" w:eastAsia="宋体" w:cs="宋体"/>
          <w:b w:val="0"/>
          <w:bCs w:val="0"/>
          <w:color w:val="auto"/>
          <w:sz w:val="24"/>
          <w:szCs w:val="24"/>
        </w:rPr>
        <w:t>的，还应附基本账户开户许可证复印件。</w:t>
      </w:r>
    </w:p>
    <w:p w14:paraId="2A624231">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附营业执照复印件、财务状况承诺、</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007B59F5">
      <w:pPr>
        <w:rPr>
          <w:b/>
          <w:color w:val="auto"/>
          <w:sz w:val="28"/>
          <w:szCs w:val="28"/>
        </w:rPr>
      </w:pPr>
      <w:r>
        <w:rPr>
          <w:rFonts w:hint="eastAsia" w:ascii="宋体" w:hAnsi="宋体" w:eastAsia="宋体" w:cs="宋体"/>
          <w:color w:val="auto"/>
          <w:sz w:val="24"/>
          <w:szCs w:val="24"/>
        </w:rPr>
        <w:br w:type="page"/>
      </w:r>
    </w:p>
    <w:p w14:paraId="1179FBAA">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01977C54">
      <w:pPr>
        <w:spacing w:line="440" w:lineRule="exact"/>
        <w:ind w:firstLine="643" w:firstLineChars="200"/>
        <w:jc w:val="left"/>
        <w:rPr>
          <w:rFonts w:hint="eastAsia" w:ascii="仿宋" w:hAnsi="仿宋" w:eastAsia="仿宋" w:cs="仿宋"/>
          <w:b/>
          <w:color w:val="auto"/>
          <w:sz w:val="32"/>
          <w:szCs w:val="32"/>
          <w:u w:val="single"/>
        </w:rPr>
      </w:pPr>
    </w:p>
    <w:p w14:paraId="73C103A9">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0D88311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242298A2">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0A52CB5A">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2B86B521">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15A299DD">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1CD28C8A">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5C7AE380">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FEFDB2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D2206A7">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7B732824">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11BDDD21">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A09E4A8">
      <w:pPr>
        <w:pStyle w:val="4"/>
        <w:ind w:firstLine="103"/>
        <w:rPr>
          <w:rFonts w:ascii="Times New Roman"/>
          <w:color w:val="auto"/>
          <w:sz w:val="32"/>
          <w:szCs w:val="32"/>
        </w:rPr>
      </w:pPr>
      <w:bookmarkStart w:id="204" w:name="_Toc504488778"/>
      <w:bookmarkStart w:id="205" w:name="_Toc19475"/>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近年完成的类似项目情况表</w:t>
      </w:r>
      <w:bookmarkEnd w:id="204"/>
      <w:bookmarkEnd w:id="205"/>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253"/>
      </w:tblGrid>
      <w:tr w14:paraId="35832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69" w:type="dxa"/>
            <w:noWrap w:val="0"/>
            <w:vAlign w:val="center"/>
          </w:tcPr>
          <w:p w14:paraId="1EE3045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项目名称</w:t>
            </w:r>
          </w:p>
        </w:tc>
        <w:tc>
          <w:tcPr>
            <w:tcW w:w="6253" w:type="dxa"/>
            <w:noWrap w:val="0"/>
            <w:vAlign w:val="top"/>
          </w:tcPr>
          <w:p w14:paraId="30BD0B35">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1A9D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269" w:type="dxa"/>
            <w:noWrap w:val="0"/>
            <w:vAlign w:val="center"/>
          </w:tcPr>
          <w:p w14:paraId="5F5F62D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买方名称</w:t>
            </w:r>
          </w:p>
        </w:tc>
        <w:tc>
          <w:tcPr>
            <w:tcW w:w="6253" w:type="dxa"/>
            <w:noWrap w:val="0"/>
            <w:vAlign w:val="top"/>
          </w:tcPr>
          <w:p w14:paraId="377E3D4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3575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269" w:type="dxa"/>
            <w:noWrap w:val="0"/>
            <w:vAlign w:val="center"/>
          </w:tcPr>
          <w:p w14:paraId="3778DE8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买方联系人及电话</w:t>
            </w:r>
          </w:p>
        </w:tc>
        <w:tc>
          <w:tcPr>
            <w:tcW w:w="6253" w:type="dxa"/>
            <w:noWrap w:val="0"/>
            <w:vAlign w:val="top"/>
          </w:tcPr>
          <w:p w14:paraId="42A2B526">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1F9C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269" w:type="dxa"/>
            <w:noWrap w:val="0"/>
            <w:vAlign w:val="center"/>
          </w:tcPr>
          <w:p w14:paraId="1F0D5B7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合同价格</w:t>
            </w:r>
          </w:p>
        </w:tc>
        <w:tc>
          <w:tcPr>
            <w:tcW w:w="6253" w:type="dxa"/>
            <w:noWrap w:val="0"/>
            <w:vAlign w:val="top"/>
          </w:tcPr>
          <w:p w14:paraId="4BF82528">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3C77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269" w:type="dxa"/>
            <w:noWrap w:val="0"/>
            <w:vAlign w:val="center"/>
          </w:tcPr>
          <w:p w14:paraId="519B872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项目概况及</w:t>
            </w:r>
            <w:r>
              <w:rPr>
                <w:rFonts w:hint="eastAsia" w:ascii="Times New Roman" w:hAnsi="Times New Roman"/>
                <w:color w:val="auto"/>
                <w:sz w:val="24"/>
                <w:szCs w:val="24"/>
                <w:lang w:eastAsia="zh-CN"/>
              </w:rPr>
              <w:t>供应商</w:t>
            </w:r>
            <w:r>
              <w:rPr>
                <w:rFonts w:hint="eastAsia" w:ascii="Times New Roman" w:hAnsi="Times New Roman"/>
                <w:color w:val="auto"/>
                <w:sz w:val="24"/>
                <w:szCs w:val="24"/>
              </w:rPr>
              <w:t>履约情况</w:t>
            </w:r>
          </w:p>
        </w:tc>
        <w:tc>
          <w:tcPr>
            <w:tcW w:w="6253" w:type="dxa"/>
            <w:noWrap w:val="0"/>
            <w:vAlign w:val="top"/>
          </w:tcPr>
          <w:p w14:paraId="7249D77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062A420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623B864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6727BA9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1D7ABA6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2BD243B5">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24DCDDDC">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276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269" w:type="dxa"/>
            <w:noWrap w:val="0"/>
            <w:vAlign w:val="center"/>
          </w:tcPr>
          <w:p w14:paraId="02549A0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6253" w:type="dxa"/>
            <w:noWrap w:val="0"/>
            <w:vAlign w:val="top"/>
          </w:tcPr>
          <w:p w14:paraId="4580F8A6">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25988950">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时间以合同签订时间为准。</w:t>
      </w:r>
    </w:p>
    <w:p w14:paraId="276A01E2">
      <w:pPr>
        <w:spacing w:line="440" w:lineRule="exact"/>
        <w:ind w:firstLine="480" w:firstLineChars="200"/>
        <w:rPr>
          <w:color w:val="auto"/>
          <w:sz w:val="24"/>
          <w:szCs w:val="24"/>
        </w:rPr>
      </w:pPr>
    </w:p>
    <w:p w14:paraId="6CC8E8A1">
      <w:pPr>
        <w:spacing w:line="440" w:lineRule="exact"/>
        <w:rPr>
          <w:rFonts w:ascii="Times New Roman" w:hAnsi="Times New Roman"/>
          <w:color w:val="auto"/>
        </w:rPr>
      </w:pPr>
    </w:p>
    <w:p w14:paraId="3FD0BB8C">
      <w:pPr>
        <w:spacing w:line="440" w:lineRule="exact"/>
        <w:rPr>
          <w:rFonts w:ascii="Times New Roman" w:hAnsi="Times New Roman"/>
          <w:color w:val="auto"/>
        </w:rPr>
      </w:pPr>
    </w:p>
    <w:p w14:paraId="2A3C21A3">
      <w:pPr>
        <w:topLinePunct/>
        <w:spacing w:line="440" w:lineRule="exact"/>
        <w:rPr>
          <w:rFonts w:ascii="Times New Roman" w:hAnsi="Times New Roman"/>
          <w:color w:val="auto"/>
        </w:rPr>
      </w:pPr>
      <w:r>
        <w:rPr>
          <w:rFonts w:ascii="Times New Roman" w:hAnsi="Times New Roman"/>
          <w:color w:val="auto"/>
        </w:rPr>
        <w:br w:type="page"/>
      </w:r>
    </w:p>
    <w:p w14:paraId="7FCC6FAC">
      <w:pPr>
        <w:spacing w:line="440" w:lineRule="exact"/>
        <w:rPr>
          <w:rFonts w:ascii="Times New Roman"/>
          <w:b/>
          <w:bCs/>
          <w:color w:val="auto"/>
          <w:sz w:val="32"/>
          <w:szCs w:val="32"/>
        </w:rPr>
      </w:pPr>
      <w:bookmarkStart w:id="206" w:name="_Toc14234"/>
      <w:bookmarkStart w:id="207" w:name="_Toc504488780"/>
      <w:r>
        <w:rPr>
          <w:rFonts w:hint="eastAsia" w:ascii="Times New Roman"/>
          <w:b/>
          <w:bCs/>
          <w:color w:val="auto"/>
          <w:sz w:val="32"/>
          <w:szCs w:val="32"/>
        </w:rPr>
        <w:t>（</w:t>
      </w:r>
      <w:r>
        <w:rPr>
          <w:rFonts w:hint="eastAsia" w:ascii="Times New Roman"/>
          <w:b/>
          <w:bCs/>
          <w:color w:val="auto"/>
          <w:sz w:val="32"/>
          <w:szCs w:val="32"/>
          <w:lang w:val="en-US" w:eastAsia="zh-CN"/>
        </w:rPr>
        <w:t>三</w:t>
      </w:r>
      <w:r>
        <w:rPr>
          <w:rFonts w:hint="eastAsia" w:ascii="Times New Roman"/>
          <w:b/>
          <w:bCs/>
          <w:color w:val="auto"/>
          <w:sz w:val="32"/>
          <w:szCs w:val="32"/>
        </w:rPr>
        <w:t>）近</w:t>
      </w:r>
      <w:r>
        <w:rPr>
          <w:rFonts w:hint="eastAsia" w:ascii="Times New Roman"/>
          <w:b/>
          <w:bCs/>
          <w:color w:val="auto"/>
          <w:sz w:val="32"/>
          <w:szCs w:val="32"/>
          <w:lang w:val="en-US" w:eastAsia="zh-CN"/>
        </w:rPr>
        <w:t>三</w:t>
      </w:r>
      <w:r>
        <w:rPr>
          <w:rFonts w:hint="eastAsia" w:ascii="Times New Roman"/>
          <w:b/>
          <w:bCs/>
          <w:color w:val="auto"/>
          <w:sz w:val="32"/>
          <w:szCs w:val="32"/>
        </w:rPr>
        <w:t>年发生的诉讼及仲裁情况</w:t>
      </w:r>
      <w:bookmarkEnd w:id="206"/>
      <w:bookmarkEnd w:id="207"/>
    </w:p>
    <w:p w14:paraId="18E51CB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5988890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w:t>
      </w:r>
    </w:p>
    <w:p w14:paraId="0E89DA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应根据</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须知第</w:t>
      </w:r>
      <w:r>
        <w:rPr>
          <w:rFonts w:hint="eastAsia" w:ascii="仿宋" w:hAnsi="仿宋" w:eastAsia="仿宋" w:cs="仿宋"/>
          <w:color w:val="auto"/>
          <w:sz w:val="32"/>
          <w:szCs w:val="32"/>
          <w:lang w:val="en-US" w:eastAsia="zh-CN"/>
        </w:rPr>
        <w:t>三条第五款第五</w:t>
      </w:r>
      <w:r>
        <w:rPr>
          <w:rFonts w:hint="eastAsia" w:ascii="仿宋" w:hAnsi="仿宋" w:eastAsia="仿宋" w:cs="仿宋"/>
          <w:color w:val="auto"/>
          <w:sz w:val="32"/>
          <w:szCs w:val="32"/>
        </w:rPr>
        <w:t>项的要求附相关证明材料；</w:t>
      </w:r>
    </w:p>
    <w:p w14:paraId="447674C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如没有发生诉讼和仲裁的情况，需提供相关承诺，格式自拟。（</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不得虚假承诺，否则后果自负）</w:t>
      </w:r>
    </w:p>
    <w:p w14:paraId="355EBA68">
      <w:pPr>
        <w:rPr>
          <w:rFonts w:hint="eastAsia" w:ascii="Times New Roman" w:hAnsi="Times New Roman"/>
          <w:color w:val="auto"/>
        </w:rPr>
      </w:pPr>
    </w:p>
    <w:p w14:paraId="72BC3BBA">
      <w:pPr>
        <w:pStyle w:val="3"/>
        <w:spacing w:line="400" w:lineRule="exact"/>
        <w:jc w:val="both"/>
        <w:rPr>
          <w:rFonts w:hint="eastAsia" w:ascii="仿宋" w:hAnsi="仿宋" w:eastAsia="仿宋" w:cs="仿宋"/>
          <w:color w:val="auto"/>
          <w:sz w:val="32"/>
          <w:szCs w:val="32"/>
          <w:lang w:val="en-US" w:eastAsia="zh-CN"/>
        </w:rPr>
      </w:pPr>
      <w:bookmarkStart w:id="208" w:name="_Toc22199"/>
      <w:bookmarkStart w:id="209" w:name="_Toc504488783"/>
    </w:p>
    <w:p w14:paraId="7D18AA25">
      <w:pPr>
        <w:topLinePunct/>
        <w:spacing w:line="440" w:lineRule="exact"/>
        <w:ind w:firstLine="643" w:firstLineChars="200"/>
        <w:jc w:val="center"/>
        <w:rPr>
          <w:rFonts w:hint="eastAsia" w:ascii="Times New Roman" w:hAnsi="Times New Roman" w:eastAsia="黑体" w:cs="Times New Roman"/>
          <w:b/>
          <w:color w:val="auto"/>
          <w:kern w:val="2"/>
          <w:sz w:val="32"/>
          <w:szCs w:val="20"/>
          <w:lang w:val="en-US" w:eastAsia="zh-CN" w:bidi="ar-SA"/>
        </w:rPr>
      </w:pPr>
    </w:p>
    <w:bookmarkEnd w:id="208"/>
    <w:bookmarkEnd w:id="209"/>
    <w:p w14:paraId="667F07D5">
      <w:pPr>
        <w:topLinePunct/>
        <w:spacing w:line="440" w:lineRule="exact"/>
        <w:jc w:val="both"/>
        <w:rPr>
          <w:rFonts w:hint="eastAsia" w:ascii="Times New Roman" w:hAnsi="Times New Roman" w:eastAsia="黑体" w:cs="Times New Roman"/>
          <w:b/>
          <w:color w:val="auto"/>
          <w:kern w:val="2"/>
          <w:sz w:val="32"/>
          <w:szCs w:val="20"/>
          <w:lang w:val="en-US" w:eastAsia="zh-CN" w:bidi="ar-SA"/>
        </w:rPr>
      </w:pPr>
    </w:p>
    <w:p w14:paraId="497C9C52">
      <w:pPr>
        <w:rPr>
          <w:rFonts w:hint="eastAsia" w:ascii="Times New Roman" w:hAnsi="Times New Roman" w:eastAsia="黑体" w:cs="Times New Roman"/>
          <w:b/>
          <w:color w:val="auto"/>
          <w:kern w:val="2"/>
          <w:sz w:val="32"/>
          <w:szCs w:val="20"/>
          <w:lang w:val="en-US" w:eastAsia="zh-CN" w:bidi="ar-SA"/>
        </w:rPr>
      </w:pPr>
    </w:p>
    <w:p w14:paraId="1CE5E3A8">
      <w:pPr>
        <w:jc w:val="center"/>
        <w:rPr>
          <w:color w:val="auto"/>
        </w:rPr>
      </w:pPr>
    </w:p>
    <w:p w14:paraId="4B102116">
      <w:pPr>
        <w:rPr>
          <w:color w:val="auto"/>
        </w:rPr>
      </w:pPr>
    </w:p>
    <w:p w14:paraId="51F2EE5B">
      <w:pPr>
        <w:pStyle w:val="8"/>
        <w:keepNext w:val="0"/>
        <w:keepLines w:val="0"/>
        <w:widowControl/>
        <w:suppressLineNumbers w:val="0"/>
        <w:spacing w:before="0" w:beforeAutospacing="0" w:after="0" w:afterAutospacing="0" w:line="405" w:lineRule="atLeast"/>
        <w:ind w:left="0" w:firstLine="0"/>
        <w:jc w:val="center"/>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28"/>
          <w:szCs w:val="28"/>
        </w:rPr>
        <w:t> </w:t>
      </w:r>
    </w:p>
    <w:p w14:paraId="77FCB23A">
      <w:pPr>
        <w:pStyle w:val="8"/>
        <w:keepNext w:val="0"/>
        <w:keepLines w:val="0"/>
        <w:widowControl/>
        <w:suppressLineNumbers w:val="0"/>
        <w:spacing w:before="0" w:beforeAutospacing="0" w:after="0" w:afterAutospacing="0" w:line="405" w:lineRule="atLeast"/>
        <w:ind w:left="0" w:firstLine="0"/>
        <w:jc w:val="center"/>
        <w:rPr>
          <w:rFonts w:hint="eastAsia" w:ascii="宋体" w:hAnsi="宋体" w:eastAsia="宋体" w:cs="宋体"/>
          <w:i w:val="0"/>
          <w:iCs w:val="0"/>
          <w:caps w:val="0"/>
          <w:color w:val="000000"/>
          <w:spacing w:val="0"/>
          <w:sz w:val="32"/>
          <w:szCs w:val="32"/>
        </w:rPr>
      </w:pPr>
      <w:r>
        <w:rPr>
          <w:rFonts w:hint="eastAsia" w:ascii="仿宋" w:hAnsi="仿宋" w:eastAsia="仿宋" w:cs="仿宋"/>
          <w:i w:val="0"/>
          <w:iCs w:val="0"/>
          <w:caps w:val="0"/>
          <w:color w:val="000000"/>
          <w:spacing w:val="0"/>
          <w:sz w:val="28"/>
          <w:szCs w:val="28"/>
        </w:rPr>
        <w:t>                                         </w:t>
      </w:r>
      <w:r>
        <w:rPr>
          <w:rFonts w:hint="eastAsia" w:ascii="宋体" w:hAnsi="宋体" w:eastAsia="宋体" w:cs="宋体"/>
          <w:i w:val="0"/>
          <w:iCs w:val="0"/>
          <w:caps w:val="0"/>
          <w:color w:val="000000"/>
          <w:spacing w:val="0"/>
          <w:sz w:val="32"/>
          <w:szCs w:val="32"/>
        </w:rPr>
        <w:t> </w:t>
      </w:r>
    </w:p>
    <w:p w14:paraId="529EDBFF">
      <w:pPr>
        <w:pStyle w:val="8"/>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Fonts w:hint="eastAsia" w:ascii="宋体" w:hAnsi="宋体" w:eastAsia="宋体" w:cs="宋体"/>
          <w:i w:val="0"/>
          <w:iCs w:val="0"/>
          <w:caps w:val="0"/>
          <w:color w:val="000000"/>
          <w:spacing w:val="0"/>
          <w:sz w:val="32"/>
          <w:szCs w:val="32"/>
          <w:lang w:val="en-US" w:eastAsia="zh-CN"/>
        </w:rPr>
        <w:t xml:space="preserve">                  </w:t>
      </w:r>
    </w:p>
    <w:p w14:paraId="668CCB30">
      <w:pPr>
        <w:pStyle w:val="8"/>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           </w:t>
      </w:r>
      <w:r>
        <w:rPr>
          <w:rFonts w:hint="eastAsia" w:ascii="仿宋" w:hAnsi="仿宋" w:eastAsia="仿宋" w:cs="仿宋"/>
          <w:i w:val="0"/>
          <w:iCs w:val="0"/>
          <w:caps w:val="0"/>
          <w:color w:val="000000"/>
          <w:spacing w:val="0"/>
          <w:sz w:val="32"/>
          <w:szCs w:val="32"/>
          <w:lang w:val="en-US" w:eastAsia="zh-CN"/>
        </w:rPr>
        <w:t xml:space="preserve">       </w:t>
      </w:r>
    </w:p>
    <w:p w14:paraId="6BDE40C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5E9CF05-80BF-42A4-8D50-3D2A9C8174D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2" w:fontKey="{3B310E29-C0C8-493D-95F8-A6933C99002E}"/>
  </w:font>
  <w:font w:name="仿宋">
    <w:panose1 w:val="02010609060101010101"/>
    <w:charset w:val="86"/>
    <w:family w:val="auto"/>
    <w:pitch w:val="default"/>
    <w:sig w:usb0="800002BF" w:usb1="38CF7CFA" w:usb2="00000016" w:usb3="00000000" w:csb0="00040001" w:csb1="00000000"/>
    <w:embedRegular r:id="rId3" w:fontKey="{2AD1C797-45A4-498B-84B4-361D2B073854}"/>
  </w:font>
  <w:font w:name="微软雅黑">
    <w:panose1 w:val="020B0503020204020204"/>
    <w:charset w:val="86"/>
    <w:family w:val="auto"/>
    <w:pitch w:val="default"/>
    <w:sig w:usb0="80000287" w:usb1="2ACF3C50" w:usb2="00000016" w:usb3="00000000" w:csb0="0004001F" w:csb1="00000000"/>
    <w:embedRegular r:id="rId4" w:fontKey="{8DBD4EDE-89C6-4432-9D6C-1EAB8DC52CFC}"/>
  </w:font>
  <w:font w:name="Noto Sans SC">
    <w:panose1 w:val="020B0200000000000000"/>
    <w:charset w:val="86"/>
    <w:family w:val="auto"/>
    <w:pitch w:val="default"/>
    <w:sig w:usb0="20000083" w:usb1="2ADF3C10" w:usb2="00000016" w:usb3="00000000" w:csb0="60060107" w:csb1="00000000"/>
    <w:embedRegular r:id="rId5" w:fontKey="{AC084E9C-EA25-4154-BE3D-C7C4960986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6E97D">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86CF3F">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A86CF3F">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9305">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4C25B154">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B6071">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C9ED51"/>
    <w:multiLevelType w:val="singleLevel"/>
    <w:tmpl w:val="FBC9ED51"/>
    <w:lvl w:ilvl="0" w:tentative="0">
      <w:start w:val="5"/>
      <w:numFmt w:val="chineseCounting"/>
      <w:suff w:val="nothing"/>
      <w:lvlText w:val="%1、"/>
      <w:lvlJc w:val="left"/>
      <w:rPr>
        <w:rFonts w:hint="eastAsia"/>
      </w:rPr>
    </w:lvl>
  </w:abstractNum>
  <w:abstractNum w:abstractNumId="1">
    <w:nsid w:val="7C596095"/>
    <w:multiLevelType w:val="singleLevel"/>
    <w:tmpl w:val="7C596095"/>
    <w:lvl w:ilvl="0" w:tentative="0">
      <w:start w:val="7"/>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1816513"/>
    <w:rsid w:val="01A41C8C"/>
    <w:rsid w:val="023E2922"/>
    <w:rsid w:val="04C43700"/>
    <w:rsid w:val="05BE40FB"/>
    <w:rsid w:val="06CD1DB8"/>
    <w:rsid w:val="07B5768A"/>
    <w:rsid w:val="0FA93653"/>
    <w:rsid w:val="102F1EF5"/>
    <w:rsid w:val="10A9608D"/>
    <w:rsid w:val="130E4FEA"/>
    <w:rsid w:val="144877D6"/>
    <w:rsid w:val="14E84274"/>
    <w:rsid w:val="15350822"/>
    <w:rsid w:val="16452BC4"/>
    <w:rsid w:val="1667066D"/>
    <w:rsid w:val="17567773"/>
    <w:rsid w:val="19BF0744"/>
    <w:rsid w:val="19BF485E"/>
    <w:rsid w:val="19EF056A"/>
    <w:rsid w:val="1BC57E3D"/>
    <w:rsid w:val="1DB27CC5"/>
    <w:rsid w:val="1E34479D"/>
    <w:rsid w:val="21231971"/>
    <w:rsid w:val="21834158"/>
    <w:rsid w:val="21DB729D"/>
    <w:rsid w:val="241430A6"/>
    <w:rsid w:val="297D7484"/>
    <w:rsid w:val="2A2E0C3A"/>
    <w:rsid w:val="2A3F7DCE"/>
    <w:rsid w:val="2C3F7095"/>
    <w:rsid w:val="300A6EDE"/>
    <w:rsid w:val="31832E12"/>
    <w:rsid w:val="333C7F24"/>
    <w:rsid w:val="333D3C9C"/>
    <w:rsid w:val="3370660B"/>
    <w:rsid w:val="339B5162"/>
    <w:rsid w:val="38A76326"/>
    <w:rsid w:val="3A561988"/>
    <w:rsid w:val="3BFF184D"/>
    <w:rsid w:val="3CB63F34"/>
    <w:rsid w:val="3EF444AA"/>
    <w:rsid w:val="405A4224"/>
    <w:rsid w:val="40814646"/>
    <w:rsid w:val="427A5715"/>
    <w:rsid w:val="433C5D1E"/>
    <w:rsid w:val="44920CB0"/>
    <w:rsid w:val="45726E52"/>
    <w:rsid w:val="460F14C8"/>
    <w:rsid w:val="4B896DF6"/>
    <w:rsid w:val="4B99000F"/>
    <w:rsid w:val="4CB27A82"/>
    <w:rsid w:val="4D66647C"/>
    <w:rsid w:val="4EFA4B32"/>
    <w:rsid w:val="509B2FD7"/>
    <w:rsid w:val="523676EA"/>
    <w:rsid w:val="524F1A19"/>
    <w:rsid w:val="55EF7BB3"/>
    <w:rsid w:val="56F815DC"/>
    <w:rsid w:val="57711FE2"/>
    <w:rsid w:val="59695D97"/>
    <w:rsid w:val="59907EED"/>
    <w:rsid w:val="5B97061C"/>
    <w:rsid w:val="5C2B04AE"/>
    <w:rsid w:val="5F213A10"/>
    <w:rsid w:val="5F8C5DB5"/>
    <w:rsid w:val="60300E63"/>
    <w:rsid w:val="61137C66"/>
    <w:rsid w:val="61483E9A"/>
    <w:rsid w:val="627B2396"/>
    <w:rsid w:val="66452F0C"/>
    <w:rsid w:val="69E314DA"/>
    <w:rsid w:val="69F446AA"/>
    <w:rsid w:val="6A445335"/>
    <w:rsid w:val="6AD818D2"/>
    <w:rsid w:val="6AE81F78"/>
    <w:rsid w:val="6CCD1611"/>
    <w:rsid w:val="6DB30807"/>
    <w:rsid w:val="6E4D0210"/>
    <w:rsid w:val="6F097C9C"/>
    <w:rsid w:val="76987E92"/>
    <w:rsid w:val="7C9E358E"/>
    <w:rsid w:val="7D8C03F9"/>
    <w:rsid w:val="7FBB1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7279</Words>
  <Characters>7464</Characters>
  <Lines>0</Lines>
  <Paragraphs>0</Paragraphs>
  <TotalTime>136</TotalTime>
  <ScaleCrop>false</ScaleCrop>
  <LinksUpToDate>false</LinksUpToDate>
  <CharactersWithSpaces>7916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2025-02-17T07:34:00Z</dcterms:created>
  <dc:creator>雷建军</dc:creator>
  <cp:lastModifiedBy>管勇</cp:lastModifiedBy>
  <cp:lastPrinted>2025-06-04T07:21:00Z</cp:lastPrinted>
  <dcterms:modified xsi:type="dcterms:W3CDTF">2025-06-10T08:16:54Z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845D034CB72C41918450283D0EF55E75_13</vt:lpwstr>
  </property>
  <property fmtid="{D5CDD505-2E9C-101B-9397-08002B2CF9AE}" pid="4" name="KSOTemplateDocerSaveRecord">
    <vt:lpwstr>eyJoZGlkIjoiYjBkNGExNDk1MDZlMTc4MTE0NzY4Mzk5YmYxNzVjY2UiLCJ1c2VySWQiOiI0Nzg2MzQwNjYifQ==</vt:lpwstr>
  </property>
</Properties>
</file>