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陕西锌业有限公司</w:t>
      </w:r>
    </w:p>
    <w:p>
      <w:pPr>
        <w:spacing w:line="52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eastAsia="zh-CN"/>
        </w:rPr>
        <w:t>原料公路运输</w:t>
      </w:r>
      <w:r>
        <w:rPr>
          <w:rFonts w:hint="eastAsia" w:ascii="方正小标宋简体" w:hAnsi="方正小标宋简体" w:eastAsia="方正小标宋简体" w:cs="方正小标宋简体"/>
          <w:b/>
          <w:sz w:val="44"/>
          <w:szCs w:val="44"/>
        </w:rPr>
        <w:t>业务</w:t>
      </w:r>
      <w:r>
        <w:rPr>
          <w:rFonts w:hint="eastAsia" w:ascii="方正小标宋简体" w:hAnsi="方正小标宋简体" w:eastAsia="方正小标宋简体" w:cs="方正小标宋简体"/>
          <w:b/>
          <w:sz w:val="44"/>
          <w:szCs w:val="44"/>
          <w:lang w:val="en-US" w:eastAsia="zh-CN"/>
        </w:rPr>
        <w:t>询比采购文件</w:t>
      </w:r>
    </w:p>
    <w:p>
      <w:pPr>
        <w:spacing w:line="520" w:lineRule="exact"/>
        <w:ind w:left="105" w:leftChars="50"/>
        <w:jc w:val="left"/>
        <w:rPr>
          <w:rFonts w:hint="eastAsia" w:ascii="仿宋" w:hAnsi="仿宋" w:eastAsia="仿宋" w:cs="仿宋"/>
          <w:sz w:val="32"/>
          <w:szCs w:val="32"/>
          <w:lang w:val="en-US" w:eastAsia="zh-CN"/>
        </w:rPr>
      </w:pPr>
      <w:r>
        <w:rPr>
          <w:sz w:val="30"/>
          <w:szCs w:val="30"/>
        </w:rPr>
        <w:t xml:space="preserve">  </w:t>
      </w:r>
      <w:r>
        <w:rPr>
          <w:sz w:val="28"/>
          <w:szCs w:val="28"/>
        </w:rPr>
        <w:t xml:space="preserve">  </w:t>
      </w:r>
      <w:r>
        <w:rPr>
          <w:rFonts w:hint="eastAsia" w:ascii="仿宋" w:hAnsi="仿宋" w:eastAsia="仿宋" w:cs="仿宋"/>
          <w:sz w:val="32"/>
          <w:szCs w:val="32"/>
        </w:rPr>
        <w:t>陕西锌业有限公司（以下称</w:t>
      </w:r>
      <w:r>
        <w:rPr>
          <w:rFonts w:hint="eastAsia" w:ascii="仿宋" w:hAnsi="仿宋" w:eastAsia="仿宋" w:cs="仿宋"/>
          <w:sz w:val="32"/>
          <w:szCs w:val="32"/>
          <w:lang w:val="en-US" w:eastAsia="zh-CN"/>
        </w:rPr>
        <w:t>采购方</w:t>
      </w:r>
      <w:r>
        <w:rPr>
          <w:rFonts w:hint="eastAsia" w:ascii="仿宋" w:hAnsi="仿宋" w:eastAsia="仿宋" w:cs="仿宋"/>
          <w:sz w:val="32"/>
          <w:szCs w:val="32"/>
        </w:rPr>
        <w:t>）</w:t>
      </w:r>
      <w:r>
        <w:rPr>
          <w:rFonts w:hint="eastAsia" w:ascii="仿宋" w:hAnsi="仿宋" w:eastAsia="仿宋" w:cs="仿宋"/>
          <w:sz w:val="32"/>
          <w:szCs w:val="32"/>
          <w:lang w:val="en-US" w:eastAsia="zh-CN"/>
        </w:rPr>
        <w:t>因</w:t>
      </w:r>
      <w:r>
        <w:rPr>
          <w:rFonts w:hint="eastAsia" w:ascii="仿宋" w:hAnsi="仿宋" w:eastAsia="仿宋" w:cs="仿宋"/>
          <w:sz w:val="32"/>
          <w:szCs w:val="32"/>
        </w:rPr>
        <w:t>部分货物拟</w:t>
      </w:r>
      <w:r>
        <w:rPr>
          <w:rFonts w:hint="eastAsia" w:ascii="仿宋" w:hAnsi="仿宋" w:eastAsia="仿宋" w:cs="仿宋"/>
          <w:sz w:val="32"/>
          <w:szCs w:val="32"/>
          <w:lang w:eastAsia="zh-CN"/>
        </w:rPr>
        <w:t>从以下各区域装车通过公路运输回厂</w:t>
      </w:r>
      <w:r>
        <w:rPr>
          <w:rFonts w:hint="eastAsia" w:ascii="仿宋" w:hAnsi="仿宋" w:eastAsia="仿宋" w:cs="仿宋"/>
          <w:sz w:val="32"/>
          <w:szCs w:val="32"/>
        </w:rPr>
        <w:t>，</w:t>
      </w:r>
      <w:r>
        <w:rPr>
          <w:rFonts w:hint="eastAsia" w:ascii="仿宋" w:hAnsi="仿宋" w:eastAsia="仿宋" w:cs="仿宋"/>
          <w:sz w:val="32"/>
          <w:szCs w:val="32"/>
          <w:lang w:val="en-US" w:eastAsia="zh-CN"/>
        </w:rPr>
        <w:t>按照公司相关制度要求，拟通过询比方式选择公路运输物流公司，欢迎具备相应资质及能力的单位参与该项目询比采购，具体内容如下：</w:t>
      </w:r>
    </w:p>
    <w:p>
      <w:pPr>
        <w:spacing w:line="520" w:lineRule="exact"/>
        <w:ind w:left="105" w:leftChars="50" w:firstLine="643" w:firstLineChars="200"/>
        <w:jc w:val="left"/>
        <w:rPr>
          <w:rFonts w:hint="eastAsia" w:ascii="仿宋" w:hAnsi="仿宋" w:eastAsia="仿宋" w:cs="仿宋"/>
          <w:b/>
          <w:bCs/>
          <w:sz w:val="32"/>
          <w:szCs w:val="32"/>
          <w:lang w:val="en-US"/>
        </w:rPr>
      </w:pPr>
      <w:bookmarkStart w:id="0" w:name="_Toc14440"/>
      <w:bookmarkStart w:id="1" w:name="_Toc4593"/>
      <w:bookmarkStart w:id="2" w:name="_Toc33795775"/>
      <w:bookmarkStart w:id="3" w:name="_Toc20230"/>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采购项目</w:t>
      </w:r>
      <w:bookmarkEnd w:id="0"/>
      <w:bookmarkEnd w:id="1"/>
      <w:bookmarkEnd w:id="2"/>
      <w:bookmarkEnd w:id="3"/>
      <w:r>
        <w:rPr>
          <w:rFonts w:hint="eastAsia" w:ascii="仿宋" w:hAnsi="仿宋" w:eastAsia="仿宋" w:cs="仿宋"/>
          <w:b/>
          <w:bCs/>
          <w:sz w:val="32"/>
          <w:szCs w:val="32"/>
          <w:lang w:val="en-US" w:eastAsia="zh-CN"/>
        </w:rPr>
        <w:t>基本要求</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（一）采购人：陕西锌业有限公司</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采购项目</w:t>
      </w:r>
      <w:r>
        <w:rPr>
          <w:rFonts w:hint="eastAsia" w:ascii="仿宋" w:hAnsi="仿宋" w:eastAsia="仿宋" w:cs="仿宋"/>
          <w:sz w:val="32"/>
          <w:szCs w:val="32"/>
        </w:rPr>
        <w:t>名称：</w:t>
      </w:r>
      <w:bookmarkStart w:id="4" w:name="_Toc33795776"/>
      <w:bookmarkStart w:id="5" w:name="_Toc14565"/>
      <w:bookmarkStart w:id="6" w:name="_Toc11471"/>
      <w:bookmarkStart w:id="7" w:name="_Toc7037"/>
      <w:r>
        <w:rPr>
          <w:rFonts w:hint="eastAsia" w:ascii="仿宋" w:hAnsi="仿宋" w:eastAsia="仿宋" w:cs="仿宋"/>
          <w:sz w:val="32"/>
          <w:szCs w:val="32"/>
          <w:lang w:eastAsia="zh-CN"/>
        </w:rPr>
        <w:t>陕西锌业有限公司徽县金徽矿业、凤县、白河区域、旬阳区域、乌拉特后旗等地原料公路运输</w:t>
      </w:r>
      <w:r>
        <w:rPr>
          <w:rFonts w:hint="eastAsia" w:ascii="仿宋" w:hAnsi="仿宋" w:eastAsia="仿宋" w:cs="仿宋"/>
          <w:sz w:val="32"/>
          <w:szCs w:val="32"/>
          <w:lang w:val="en-US" w:eastAsia="zh-CN"/>
        </w:rPr>
        <w:t>项目</w:t>
      </w:r>
      <w:bookmarkEnd w:id="4"/>
      <w:bookmarkEnd w:id="5"/>
      <w:bookmarkEnd w:id="6"/>
      <w:bookmarkEnd w:id="7"/>
      <w:r>
        <w:rPr>
          <w:rFonts w:hint="eastAsia" w:ascii="仿宋" w:hAnsi="仿宋" w:eastAsia="仿宋" w:cs="仿宋"/>
          <w:sz w:val="32"/>
          <w:szCs w:val="32"/>
          <w:lang w:val="en-US" w:eastAsia="zh-CN"/>
        </w:rPr>
        <w:t>。</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代理</w:t>
      </w:r>
      <w:r>
        <w:rPr>
          <w:rFonts w:hint="eastAsia" w:ascii="仿宋" w:hAnsi="仿宋" w:eastAsia="仿宋" w:cs="仿宋"/>
          <w:sz w:val="32"/>
          <w:szCs w:val="32"/>
          <w:lang w:val="en-US" w:eastAsia="zh-CN"/>
        </w:rPr>
        <w:t>业务内容</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1. </w:t>
      </w:r>
      <w:r>
        <w:rPr>
          <w:rFonts w:hint="eastAsia" w:ascii="仿宋" w:hAnsi="仿宋" w:eastAsia="仿宋" w:cs="仿宋"/>
          <w:sz w:val="32"/>
          <w:szCs w:val="32"/>
        </w:rPr>
        <w:t>货物名称：锌精矿或含锌物料；</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项目：</w:t>
      </w:r>
      <w:r>
        <w:rPr>
          <w:rFonts w:hint="eastAsia" w:ascii="仿宋" w:hAnsi="仿宋" w:eastAsia="仿宋" w:cs="仿宋"/>
          <w:sz w:val="32"/>
          <w:szCs w:val="32"/>
          <w:lang w:eastAsia="zh-CN"/>
        </w:rPr>
        <w:t>原料公路运输</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3. </w:t>
      </w:r>
      <w:r>
        <w:rPr>
          <w:rFonts w:hint="eastAsia" w:ascii="仿宋" w:hAnsi="仿宋" w:eastAsia="仿宋" w:cs="仿宋"/>
          <w:sz w:val="32"/>
          <w:szCs w:val="32"/>
        </w:rPr>
        <w:t>数量：</w:t>
      </w:r>
      <w:r>
        <w:rPr>
          <w:rFonts w:hint="eastAsia" w:ascii="仿宋" w:hAnsi="仿宋" w:eastAsia="仿宋" w:cs="仿宋"/>
          <w:sz w:val="32"/>
          <w:szCs w:val="32"/>
          <w:lang w:eastAsia="zh-CN"/>
        </w:rPr>
        <w:t>以当月实际发运数量（</w:t>
      </w:r>
      <w:r>
        <w:rPr>
          <w:rFonts w:hint="eastAsia" w:ascii="仿宋" w:hAnsi="仿宋" w:eastAsia="仿宋" w:cs="仿宋"/>
          <w:sz w:val="32"/>
          <w:szCs w:val="32"/>
        </w:rPr>
        <w:t>实物吨</w:t>
      </w:r>
      <w:r>
        <w:rPr>
          <w:rFonts w:hint="eastAsia" w:ascii="仿宋" w:hAnsi="仿宋" w:eastAsia="仿宋" w:cs="仿宋"/>
          <w:sz w:val="32"/>
          <w:szCs w:val="32"/>
          <w:lang w:eastAsia="zh-CN"/>
        </w:rPr>
        <w:t>）为准</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4. </w:t>
      </w:r>
      <w:r>
        <w:rPr>
          <w:rFonts w:hint="eastAsia" w:ascii="仿宋" w:hAnsi="仿宋" w:eastAsia="仿宋" w:cs="仿宋"/>
          <w:sz w:val="32"/>
          <w:szCs w:val="32"/>
        </w:rPr>
        <w:t>货物装运地点：</w:t>
      </w:r>
      <w:r>
        <w:rPr>
          <w:rFonts w:hint="eastAsia" w:ascii="仿宋" w:hAnsi="仿宋" w:eastAsia="仿宋" w:cs="仿宋"/>
          <w:sz w:val="32"/>
          <w:szCs w:val="32"/>
          <w:lang w:eastAsia="zh-CN"/>
        </w:rPr>
        <w:t>徽县金徽矿业公司、凤县三岔、凤县龙口、旬阳鑫源公司、白河玉红旺、乌拉特后旗选矿厂等堆场</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5. </w:t>
      </w:r>
      <w:r>
        <w:rPr>
          <w:rFonts w:hint="eastAsia" w:ascii="仿宋" w:hAnsi="仿宋" w:eastAsia="仿宋" w:cs="仿宋"/>
          <w:sz w:val="32"/>
          <w:szCs w:val="32"/>
        </w:rPr>
        <w:t>卸货地点：陕西省商洛市沙河子镇陕西锌业公司</w:t>
      </w:r>
      <w:r>
        <w:rPr>
          <w:rFonts w:hint="eastAsia" w:ascii="仿宋" w:hAnsi="仿宋" w:eastAsia="仿宋" w:cs="仿宋"/>
          <w:sz w:val="32"/>
          <w:szCs w:val="32"/>
          <w:lang w:eastAsia="zh-CN"/>
        </w:rPr>
        <w:t>仓库；</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期限：从合同签订之日起至20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日止。</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费用</w:t>
      </w:r>
      <w:r>
        <w:rPr>
          <w:rFonts w:hint="eastAsia" w:ascii="仿宋" w:hAnsi="仿宋" w:eastAsia="仿宋" w:cs="仿宋"/>
          <w:sz w:val="32"/>
          <w:szCs w:val="32"/>
        </w:rPr>
        <w:t>结算方式：</w:t>
      </w:r>
      <w:r>
        <w:rPr>
          <w:rFonts w:hint="eastAsia" w:ascii="仿宋" w:hAnsi="仿宋" w:eastAsia="仿宋" w:cs="仿宋"/>
          <w:sz w:val="32"/>
          <w:szCs w:val="32"/>
          <w:lang w:eastAsia="zh-CN"/>
        </w:rPr>
        <w:t>承运</w:t>
      </w:r>
      <w:r>
        <w:rPr>
          <w:rFonts w:hint="eastAsia" w:ascii="仿宋" w:hAnsi="仿宋" w:eastAsia="仿宋" w:cs="仿宋"/>
          <w:sz w:val="32"/>
          <w:szCs w:val="32"/>
          <w:lang w:val="en-US" w:eastAsia="zh-CN"/>
        </w:rPr>
        <w:t>方</w:t>
      </w:r>
      <w:r>
        <w:rPr>
          <w:rFonts w:hint="eastAsia" w:ascii="仿宋" w:hAnsi="仿宋" w:eastAsia="仿宋" w:cs="仿宋"/>
          <w:sz w:val="32"/>
          <w:szCs w:val="32"/>
        </w:rPr>
        <w:t>提供发票后</w:t>
      </w:r>
      <w:r>
        <w:rPr>
          <w:rFonts w:hint="eastAsia" w:ascii="仿宋" w:hAnsi="仿宋" w:eastAsia="仿宋" w:cs="仿宋"/>
          <w:sz w:val="32"/>
          <w:szCs w:val="32"/>
          <w:lang w:val="en-US" w:eastAsia="zh-CN"/>
        </w:rPr>
        <w:t>委托方</w:t>
      </w:r>
      <w:r>
        <w:rPr>
          <w:rFonts w:hint="eastAsia" w:ascii="仿宋" w:hAnsi="仿宋" w:eastAsia="仿宋" w:cs="仿宋"/>
          <w:sz w:val="32"/>
          <w:szCs w:val="32"/>
        </w:rPr>
        <w:t>一月内付款。</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(六）供应商</w:t>
      </w:r>
      <w:r>
        <w:rPr>
          <w:rFonts w:hint="eastAsia" w:ascii="仿宋" w:hAnsi="仿宋" w:eastAsia="仿宋" w:cs="仿宋"/>
          <w:sz w:val="32"/>
          <w:szCs w:val="32"/>
        </w:rPr>
        <w:t>资质要求：</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 供应商须为中华人民共和国境内的企业法人，</w:t>
      </w:r>
      <w:r>
        <w:rPr>
          <w:rFonts w:hint="eastAsia" w:ascii="仿宋" w:hAnsi="仿宋" w:eastAsia="仿宋" w:cs="仿宋"/>
          <w:sz w:val="32"/>
          <w:szCs w:val="32"/>
        </w:rPr>
        <w:t>具</w:t>
      </w:r>
      <w:r>
        <w:rPr>
          <w:rFonts w:hint="eastAsia" w:ascii="仿宋" w:hAnsi="仿宋" w:eastAsia="仿宋" w:cs="仿宋"/>
          <w:sz w:val="32"/>
          <w:szCs w:val="32"/>
          <w:lang w:val="en-US" w:eastAsia="zh-CN"/>
        </w:rPr>
        <w:t>有</w:t>
      </w:r>
      <w:r>
        <w:rPr>
          <w:rFonts w:hint="eastAsia" w:ascii="仿宋" w:hAnsi="仿宋" w:eastAsia="仿宋" w:cs="仿宋"/>
          <w:sz w:val="32"/>
          <w:szCs w:val="32"/>
        </w:rPr>
        <w:t>货物</w:t>
      </w:r>
      <w:r>
        <w:rPr>
          <w:rFonts w:hint="eastAsia" w:ascii="仿宋" w:hAnsi="仿宋" w:eastAsia="仿宋" w:cs="仿宋"/>
          <w:sz w:val="32"/>
          <w:szCs w:val="32"/>
          <w:lang w:eastAsia="zh-CN"/>
        </w:rPr>
        <w:t>公路运输</w:t>
      </w:r>
      <w:r>
        <w:rPr>
          <w:rFonts w:hint="eastAsia" w:ascii="仿宋" w:hAnsi="仿宋" w:eastAsia="仿宋" w:cs="仿宋"/>
          <w:sz w:val="32"/>
          <w:szCs w:val="32"/>
        </w:rPr>
        <w:t>资格以及相应的经营范围。</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注册资金在</w:t>
      </w:r>
      <w:r>
        <w:rPr>
          <w:rFonts w:hint="eastAsia" w:ascii="仿宋" w:hAnsi="仿宋" w:eastAsia="仿宋" w:cs="仿宋"/>
          <w:sz w:val="32"/>
          <w:szCs w:val="32"/>
          <w:lang w:val="en-US" w:eastAsia="zh-CN"/>
        </w:rPr>
        <w:t>5</w:t>
      </w:r>
      <w:r>
        <w:rPr>
          <w:rFonts w:hint="eastAsia" w:ascii="仿宋" w:hAnsi="仿宋" w:eastAsia="仿宋" w:cs="仿宋"/>
          <w:sz w:val="32"/>
          <w:szCs w:val="32"/>
        </w:rPr>
        <w:t>00万元以上。</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具有良好的银行资信和商业信誉，没有处于被责令停业、财产被接管、冻结、破产状态；</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不得在“信用中国-中国执行信息公开网”被列为失信被执行人；</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业绩要求：2023年5月至今具有类似业绩（提供合同复印件不少于两份，时间以合同签订时间为准）；</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6.联合体响应：本项目不接受联合体响应。</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7.供应商不得存在下列情形之一：</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（1）与采购人存在利害关系可能影响询比采购公正性；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（2）法定代表人（单位负责人）为同一人或者存在控股、管理关系的不同法人或其他组织同时参加询比采购；</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（3）被依法暂停或者取消询比采购资格； </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（4）被暂扣或者吊销许可证、暂扣或者吊销执照；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（5）进入清算程序，或被宣告破产，或其他丧失履约能力的情形；</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（6）在最近三年内发生重大服务质量问题；</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（7）法律法规规定的其他情形。</w:t>
      </w:r>
    </w:p>
    <w:p>
      <w:pPr>
        <w:numPr>
          <w:ilvl w:val="0"/>
          <w:numId w:val="0"/>
        </w:numPr>
        <w:spacing w:line="520" w:lineRule="exact"/>
        <w:ind w:left="105" w:leftChars="5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二、询比采购文件的获取</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询比采购文件在陕西锌业有限公司网络询比信息平台（www.sxxyjjpt.com）发布，符合条件的单位可自行下载采购文件。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20" w:lineRule="exact"/>
        <w:ind w:leftChars="0"/>
        <w:jc w:val="both"/>
        <w:textAlignment w:val="auto"/>
        <w:rPr>
          <w:rFonts w:hint="eastAsia" w:ascii="仿宋" w:hAnsi="仿宋" w:eastAsia="仿宋" w:cs="仿宋"/>
          <w:sz w:val="32"/>
          <w:szCs w:val="32"/>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1.响应文件</w:t>
      </w:r>
      <w:r>
        <w:rPr>
          <w:rFonts w:hint="eastAsia" w:ascii="仿宋" w:hAnsi="仿宋" w:eastAsia="仿宋" w:cs="仿宋"/>
          <w:sz w:val="32"/>
          <w:szCs w:val="32"/>
        </w:rPr>
        <w:t>采用</w:t>
      </w:r>
      <w:r>
        <w:rPr>
          <w:rFonts w:hint="eastAsia" w:ascii="仿宋" w:hAnsi="仿宋" w:eastAsia="仿宋" w:cs="仿宋"/>
          <w:sz w:val="32"/>
          <w:szCs w:val="32"/>
          <w:lang w:eastAsia="zh-CN"/>
        </w:rPr>
        <w:t>电子邮件</w:t>
      </w:r>
      <w:r>
        <w:rPr>
          <w:rFonts w:hint="eastAsia" w:ascii="仿宋" w:hAnsi="仿宋" w:eastAsia="仿宋" w:cs="仿宋"/>
          <w:sz w:val="32"/>
          <w:szCs w:val="32"/>
        </w:rPr>
        <w:t>报价方式，</w:t>
      </w:r>
      <w:r>
        <w:rPr>
          <w:rFonts w:hint="eastAsia" w:ascii="仿宋" w:hAnsi="仿宋" w:eastAsia="仿宋" w:cs="仿宋"/>
          <w:sz w:val="32"/>
          <w:szCs w:val="32"/>
          <w:lang w:eastAsia="zh-CN"/>
        </w:rPr>
        <w:t>邮箱号：</w:t>
      </w:r>
      <w:r>
        <w:rPr>
          <w:rFonts w:hint="eastAsia" w:ascii="仿宋" w:hAnsi="仿宋" w:eastAsia="仿宋" w:cs="仿宋"/>
          <w:sz w:val="32"/>
          <w:szCs w:val="32"/>
          <w:lang w:val="en-US" w:eastAsia="zh-CN"/>
        </w:rPr>
        <w:t>1930635@qq.com，</w:t>
      </w:r>
      <w:r>
        <w:rPr>
          <w:rFonts w:hint="eastAsia" w:ascii="仿宋" w:hAnsi="仿宋" w:eastAsia="仿宋" w:cs="仿宋"/>
          <w:sz w:val="32"/>
          <w:szCs w:val="32"/>
        </w:rPr>
        <w:t>报价为含税价（</w:t>
      </w:r>
      <w:r>
        <w:rPr>
          <w:rFonts w:hint="eastAsia" w:ascii="仿宋" w:hAnsi="仿宋" w:eastAsia="仿宋" w:cs="仿宋"/>
          <w:sz w:val="32"/>
          <w:szCs w:val="32"/>
          <w:lang w:val="en-US" w:eastAsia="zh-CN"/>
        </w:rPr>
        <w:t>9</w:t>
      </w:r>
      <w:r>
        <w:rPr>
          <w:rFonts w:hint="eastAsia" w:ascii="仿宋" w:hAnsi="仿宋" w:eastAsia="仿宋" w:cs="仿宋"/>
          <w:sz w:val="32"/>
          <w:szCs w:val="32"/>
        </w:rPr>
        <w:t>%的增值税发票）。</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响应报价文件应</w:t>
      </w:r>
      <w:r>
        <w:rPr>
          <w:rFonts w:hint="eastAsia" w:ascii="仿宋" w:hAnsi="仿宋" w:eastAsia="仿宋" w:cs="仿宋"/>
          <w:sz w:val="32"/>
          <w:szCs w:val="32"/>
        </w:rPr>
        <w:t>加盖公司公章，公司法定代表人或法人授权委托人</w:t>
      </w:r>
      <w:r>
        <w:rPr>
          <w:rFonts w:hint="eastAsia" w:ascii="仿宋" w:hAnsi="仿宋" w:eastAsia="仿宋" w:cs="仿宋"/>
          <w:sz w:val="32"/>
          <w:szCs w:val="32"/>
          <w:lang w:eastAsia="zh-CN"/>
        </w:rPr>
        <w:t>应</w:t>
      </w:r>
      <w:r>
        <w:rPr>
          <w:rFonts w:hint="eastAsia" w:ascii="仿宋" w:hAnsi="仿宋" w:eastAsia="仿宋" w:cs="仿宋"/>
          <w:sz w:val="32"/>
          <w:szCs w:val="32"/>
        </w:rPr>
        <w:t>签字确认。</w:t>
      </w:r>
    </w:p>
    <w:p>
      <w:pPr>
        <w:pStyle w:val="9"/>
        <w:numPr>
          <w:ilvl w:val="0"/>
          <w:numId w:val="0"/>
        </w:numPr>
        <w:spacing w:line="520" w:lineRule="exact"/>
        <w:ind w:leftChars="5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 </w:t>
      </w:r>
      <w:r>
        <w:rPr>
          <w:rFonts w:hint="eastAsia" w:ascii="仿宋" w:hAnsi="仿宋" w:eastAsia="仿宋" w:cs="仿宋"/>
          <w:color w:val="auto"/>
          <w:spacing w:val="1"/>
          <w:sz w:val="32"/>
          <w:szCs w:val="32"/>
          <w:highlight w:val="none"/>
          <w:lang w:val="en-US" w:eastAsia="zh-CN"/>
        </w:rPr>
        <w:t>响应文件提交截止时间：</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：00时前</w:t>
      </w:r>
      <w:r>
        <w:rPr>
          <w:rFonts w:hint="eastAsia" w:ascii="仿宋" w:hAnsi="仿宋" w:eastAsia="仿宋" w:cs="仿宋"/>
          <w:color w:val="auto"/>
          <w:spacing w:val="1"/>
          <w:sz w:val="32"/>
          <w:szCs w:val="32"/>
          <w:highlight w:val="none"/>
          <w:lang w:val="en-US"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）响应保证金</w:t>
      </w:r>
    </w:p>
    <w:p>
      <w:pPr>
        <w:kinsoku/>
        <w:wordWrap/>
        <w:overflowPunct/>
        <w:topLinePunct w:val="0"/>
        <w:autoSpaceDE/>
        <w:autoSpaceDN/>
        <w:bidi w:val="0"/>
        <w:snapToGrid/>
        <w:spacing w:line="52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保证金：</w:t>
      </w:r>
      <w:r>
        <w:rPr>
          <w:rFonts w:hint="eastAsia" w:ascii="仿宋" w:hAnsi="仿宋" w:eastAsia="仿宋" w:cs="仿宋"/>
          <w:sz w:val="32"/>
          <w:szCs w:val="32"/>
          <w:lang w:val="en-US" w:eastAsia="zh-CN"/>
        </w:rPr>
        <w:t>响应供应商</w:t>
      </w:r>
      <w:r>
        <w:rPr>
          <w:rFonts w:hint="eastAsia" w:ascii="仿宋" w:hAnsi="仿宋" w:eastAsia="仿宋" w:cs="仿宋"/>
          <w:sz w:val="32"/>
          <w:szCs w:val="32"/>
        </w:rPr>
        <w:t>应缴纳</w:t>
      </w:r>
      <w:r>
        <w:rPr>
          <w:rFonts w:hint="eastAsia" w:ascii="仿宋" w:hAnsi="仿宋" w:eastAsia="仿宋" w:cs="仿宋"/>
          <w:sz w:val="32"/>
          <w:szCs w:val="32"/>
          <w:lang w:val="en-US" w:eastAsia="zh-CN"/>
        </w:rPr>
        <w:t>4</w:t>
      </w:r>
      <w:r>
        <w:rPr>
          <w:rFonts w:hint="eastAsia" w:ascii="仿宋" w:hAnsi="仿宋" w:eastAsia="仿宋" w:cs="仿宋"/>
          <w:sz w:val="32"/>
          <w:szCs w:val="32"/>
        </w:rPr>
        <w:t>万元保证金到</w:t>
      </w:r>
      <w:r>
        <w:rPr>
          <w:rFonts w:hint="eastAsia" w:ascii="仿宋" w:hAnsi="仿宋" w:eastAsia="仿宋" w:cs="仿宋"/>
          <w:sz w:val="32"/>
          <w:szCs w:val="32"/>
          <w:lang w:val="en-US" w:eastAsia="zh-CN"/>
        </w:rPr>
        <w:t>采购方</w:t>
      </w:r>
      <w:r>
        <w:rPr>
          <w:rFonts w:hint="eastAsia" w:ascii="仿宋" w:hAnsi="仿宋" w:eastAsia="仿宋" w:cs="仿宋"/>
          <w:sz w:val="32"/>
          <w:szCs w:val="32"/>
        </w:rPr>
        <w:t>指定账户</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保证金支付账户如下：</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收款人：陕西锌业有限公司</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开户银行：中国农业银行商洛商州区支行</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账号：26805701040010332</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lang w:eastAsia="zh-CN"/>
        </w:rPr>
        <w:t>有效期</w:t>
      </w:r>
      <w:r>
        <w:rPr>
          <w:rFonts w:hint="eastAsia" w:ascii="仿宋" w:hAnsi="仿宋" w:eastAsia="仿宋" w:cs="仿宋"/>
          <w:color w:val="auto"/>
          <w:sz w:val="32"/>
          <w:szCs w:val="32"/>
        </w:rPr>
        <w:t>一致。</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8" w:name="_Toc369531533"/>
      <w:bookmarkStart w:id="9" w:name="_Toc361508602"/>
      <w:bookmarkStart w:id="10" w:name="_Toc352691490"/>
      <w:bookmarkStart w:id="11" w:name="_Toc384308227"/>
      <w:bookmarkStart w:id="12"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8"/>
      <w:bookmarkEnd w:id="9"/>
      <w:bookmarkEnd w:id="10"/>
      <w:bookmarkEnd w:id="11"/>
      <w:bookmarkEnd w:id="12"/>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13" w:name="_Toc152042322"/>
      <w:bookmarkStart w:id="14" w:name="_Toc369531534"/>
      <w:bookmarkStart w:id="15" w:name="_Toc300834967"/>
      <w:bookmarkStart w:id="16" w:name="_Toc144974514"/>
      <w:bookmarkStart w:id="17" w:name="_Toc384308228"/>
      <w:bookmarkStart w:id="18" w:name="_Toc14751"/>
      <w:bookmarkStart w:id="19" w:name="_Toc247527571"/>
      <w:bookmarkStart w:id="20" w:name="_Toc352691491"/>
      <w:bookmarkStart w:id="21" w:name="_Toc361508603"/>
      <w:bookmarkStart w:id="22" w:name="_Toc152045546"/>
      <w:bookmarkStart w:id="23"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13"/>
      <w:bookmarkEnd w:id="14"/>
      <w:bookmarkEnd w:id="15"/>
      <w:bookmarkEnd w:id="16"/>
      <w:bookmarkEnd w:id="17"/>
      <w:bookmarkEnd w:id="18"/>
      <w:bookmarkEnd w:id="19"/>
      <w:bookmarkEnd w:id="20"/>
      <w:bookmarkEnd w:id="21"/>
      <w:bookmarkEnd w:id="22"/>
      <w:bookmarkEnd w:id="23"/>
      <w:r>
        <w:rPr>
          <w:rFonts w:hint="eastAsia" w:ascii="仿宋" w:hAnsi="仿宋" w:eastAsia="仿宋" w:cs="仿宋"/>
          <w:color w:val="auto"/>
          <w:sz w:val="32"/>
          <w:szCs w:val="32"/>
        </w:rPr>
        <w:t>内</w:t>
      </w:r>
      <w:bookmarkStart w:id="24" w:name="_Toc247527572"/>
      <w:bookmarkStart w:id="25" w:name="_Toc152045547"/>
      <w:bookmarkStart w:id="26" w:name="_Toc384308229"/>
      <w:bookmarkStart w:id="27" w:name="_Toc352691492"/>
      <w:bookmarkStart w:id="28" w:name="_Toc247513971"/>
      <w:bookmarkStart w:id="29" w:name="_Toc361508604"/>
      <w:bookmarkStart w:id="30" w:name="_Toc152042323"/>
      <w:bookmarkStart w:id="31" w:name="_Toc369531535"/>
      <w:bookmarkStart w:id="32" w:name="_Toc17952"/>
      <w:bookmarkStart w:id="33" w:name="_Toc300834968"/>
      <w:bookmarkStart w:id="34"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24"/>
      <w:bookmarkEnd w:id="25"/>
      <w:bookmarkEnd w:id="26"/>
      <w:bookmarkEnd w:id="27"/>
      <w:bookmarkEnd w:id="28"/>
      <w:bookmarkEnd w:id="29"/>
      <w:bookmarkEnd w:id="30"/>
      <w:bookmarkEnd w:id="31"/>
      <w:bookmarkEnd w:id="32"/>
      <w:bookmarkEnd w:id="33"/>
      <w:bookmarkEnd w:id="3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pPr>
        <w:pStyle w:val="3"/>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35" w:name="_Toc21871"/>
      <w:bookmarkStart w:id="36" w:name="_Toc24514"/>
      <w:bookmarkStart w:id="37" w:name="_Toc33795794"/>
      <w:bookmarkStart w:id="38"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5"/>
      <w:bookmarkEnd w:id="36"/>
      <w:bookmarkEnd w:id="37"/>
      <w:bookmarkEnd w:id="38"/>
    </w:p>
    <w:p>
      <w:pPr>
        <w:pStyle w:val="3"/>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从2023年5月至今的</w:t>
      </w:r>
      <w:r>
        <w:rPr>
          <w:rFonts w:hint="eastAsia" w:ascii="仿宋" w:hAnsi="仿宋" w:eastAsia="仿宋" w:cs="仿宋"/>
          <w:color w:val="auto"/>
          <w:sz w:val="32"/>
          <w:szCs w:val="32"/>
        </w:rPr>
        <w:t>合同复印件，并标明序号。</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2022年5月至今的</w:t>
      </w:r>
      <w:r>
        <w:rPr>
          <w:rFonts w:hint="eastAsia" w:ascii="仿宋" w:hAnsi="仿宋" w:eastAsia="仿宋" w:cs="仿宋"/>
          <w:color w:val="auto"/>
          <w:sz w:val="32"/>
          <w:szCs w:val="32"/>
        </w:rPr>
        <w:t>法院或仲裁机构作出的判决、裁决等有关法律文书复印件。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firstLine="647" w:firstLineChars="200"/>
        <w:jc w:val="both"/>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2025年6月23日10时0分</w:t>
      </w:r>
      <w:r>
        <w:rPr>
          <w:rFonts w:hint="eastAsia" w:ascii="仿宋" w:hAnsi="仿宋" w:eastAsia="仿宋" w:cs="仿宋"/>
          <w:color w:val="auto"/>
          <w:spacing w:val="1"/>
          <w:kern w:val="0"/>
          <w:sz w:val="32"/>
          <w:szCs w:val="32"/>
          <w:highlight w:val="none"/>
          <w:lang w:val="en-US" w:eastAsia="zh-CN" w:bidi="ar-SA"/>
        </w:rPr>
        <w:t>；</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（二）响应文件的开启地点：陕西锌业有限公司办公楼二楼开标办公室</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color w:val="auto"/>
          <w:sz w:val="32"/>
          <w:szCs w:val="32"/>
          <w:lang w:val="en-US" w:eastAsia="zh-CN"/>
        </w:rPr>
      </w:pPr>
      <w:r>
        <w:rPr>
          <w:rStyle w:val="7"/>
          <w:rFonts w:hint="eastAsia" w:ascii="仿宋" w:hAnsi="仿宋" w:eastAsia="仿宋" w:cs="仿宋"/>
          <w:b/>
          <w:i w:val="0"/>
          <w:iCs w:val="0"/>
          <w:caps w:val="0"/>
          <w:color w:val="000000"/>
          <w:spacing w:val="0"/>
          <w:sz w:val="32"/>
          <w:szCs w:val="32"/>
          <w:lang w:val="en-US" w:eastAsia="zh-CN"/>
        </w:rPr>
        <w:t>五</w:t>
      </w:r>
      <w:r>
        <w:rPr>
          <w:rStyle w:val="7"/>
          <w:rFonts w:hint="eastAsia" w:ascii="仿宋" w:hAnsi="仿宋" w:eastAsia="仿宋" w:cs="仿宋"/>
          <w:b/>
          <w:i w:val="0"/>
          <w:iCs w:val="0"/>
          <w:caps w:val="0"/>
          <w:color w:val="000000"/>
          <w:spacing w:val="0"/>
          <w:sz w:val="32"/>
          <w:szCs w:val="32"/>
        </w:rPr>
        <w:t>、</w:t>
      </w:r>
      <w:r>
        <w:rPr>
          <w:rStyle w:val="7"/>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pPr>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 xml:space="preserve">    （一）响应文件评审办法</w:t>
      </w:r>
    </w:p>
    <w:p>
      <w:pPr>
        <w:pStyle w:val="4"/>
        <w:keepNext w:val="0"/>
        <w:keepLines w:val="0"/>
        <w:widowControl/>
        <w:suppressLineNumbers w:val="0"/>
        <w:spacing w:before="0" w:beforeAutospacing="0" w:after="0" w:afterAutospacing="0" w:line="405" w:lineRule="atLeas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审采用最低价法，是在响应文件满足采购文件实质性要求的前提下，按照响应供应商经评审的价格由低到高的顺序确定供应商优先次序的评审方法。</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第一条第六项</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或授权委托人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签字或盖章的；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39" w:name="_Toc144974570"/>
      <w:bookmarkStart w:id="40" w:name="_Toc369531582"/>
      <w:bookmarkStart w:id="41" w:name="_Toc361508651"/>
      <w:bookmarkStart w:id="42" w:name="_Toc152042380"/>
      <w:bookmarkStart w:id="43" w:name="_Toc152045603"/>
      <w:bookmarkStart w:id="44" w:name="_Toc352691538"/>
      <w:bookmarkStart w:id="45" w:name="_Toc247514027"/>
      <w:bookmarkStart w:id="46" w:name="_Toc300835013"/>
      <w:bookmarkStart w:id="47" w:name="_Toc384308277"/>
      <w:bookmarkStart w:id="48" w:name="_Toc247527628"/>
      <w:bookmarkStart w:id="49" w:name="_Toc2907"/>
      <w:r>
        <w:rPr>
          <w:rFonts w:hint="eastAsia" w:ascii="仿宋" w:hAnsi="仿宋" w:eastAsia="仿宋" w:cs="仿宋"/>
          <w:color w:val="auto"/>
          <w:sz w:val="32"/>
          <w:szCs w:val="32"/>
        </w:rPr>
        <w:t>行书面澄清确认。</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50" w:name="_Toc16955"/>
      <w:bookmarkStart w:id="51" w:name="_Toc13563"/>
      <w:bookmarkStart w:id="52" w:name="_Toc29291"/>
      <w:bookmarkStart w:id="53" w:name="_Toc33795835"/>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bookmarkEnd w:id="50"/>
      <w:bookmarkEnd w:id="51"/>
      <w:bookmarkEnd w:id="52"/>
      <w:bookmarkEnd w:id="53"/>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54" w:name="_Toc32669"/>
      <w:bookmarkStart w:id="55" w:name="_Toc3366"/>
      <w:bookmarkStart w:id="56" w:name="_Toc15253"/>
      <w:bookmarkStart w:id="57"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54"/>
      <w:bookmarkEnd w:id="55"/>
      <w:bookmarkEnd w:id="56"/>
      <w:bookmarkEnd w:id="57"/>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58" w:name="_Toc8518"/>
      <w:bookmarkStart w:id="59" w:name="_Toc9481"/>
      <w:bookmarkStart w:id="60"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58"/>
      <w:bookmarkEnd w:id="59"/>
      <w:bookmarkEnd w:id="60"/>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1" w:name="_Toc30852"/>
      <w:bookmarkStart w:id="62" w:name="_Toc33795808"/>
      <w:bookmarkStart w:id="63" w:name="_Toc16094"/>
      <w:bookmarkStart w:id="64"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1"/>
      <w:bookmarkEnd w:id="62"/>
      <w:bookmarkEnd w:id="63"/>
      <w:bookmarkEnd w:id="64"/>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5" w:name="_Toc10372"/>
      <w:bookmarkStart w:id="66" w:name="_Toc33795809"/>
      <w:bookmarkStart w:id="67" w:name="_Toc7018"/>
      <w:bookmarkStart w:id="68"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65"/>
      <w:bookmarkEnd w:id="66"/>
      <w:bookmarkEnd w:id="67"/>
      <w:bookmarkEnd w:id="68"/>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69" w:name="_Toc384308243"/>
      <w:bookmarkStart w:id="70" w:name="_Toc247513985"/>
      <w:bookmarkStart w:id="71" w:name="_Toc369531549"/>
      <w:bookmarkStart w:id="72" w:name="_Toc300834982"/>
      <w:bookmarkStart w:id="73" w:name="_Toc361508618"/>
      <w:bookmarkStart w:id="74" w:name="_Toc152045561"/>
      <w:bookmarkStart w:id="75" w:name="_Toc144974529"/>
      <w:bookmarkStart w:id="76" w:name="_Toc30095"/>
      <w:bookmarkStart w:id="77" w:name="_Toc152042337"/>
      <w:bookmarkStart w:id="78" w:name="_Toc247527586"/>
      <w:bookmarkStart w:id="79" w:name="_Toc352691505"/>
      <w:r>
        <w:rPr>
          <w:rFonts w:hint="eastAsia" w:ascii="仿宋" w:hAnsi="仿宋" w:eastAsia="仿宋" w:cs="仿宋"/>
          <w:color w:val="auto"/>
          <w:sz w:val="32"/>
          <w:szCs w:val="32"/>
        </w:rPr>
        <w:t>害关系人对</w:t>
      </w:r>
      <w:bookmarkEnd w:id="69"/>
      <w:bookmarkEnd w:id="70"/>
      <w:bookmarkEnd w:id="71"/>
      <w:bookmarkEnd w:id="72"/>
      <w:bookmarkEnd w:id="73"/>
      <w:bookmarkEnd w:id="74"/>
      <w:bookmarkEnd w:id="75"/>
      <w:bookmarkEnd w:id="76"/>
      <w:bookmarkEnd w:id="77"/>
      <w:bookmarkEnd w:id="78"/>
      <w:bookmarkEnd w:id="79"/>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0" w:name="_Toc33795810"/>
      <w:bookmarkStart w:id="81" w:name="_Toc21648"/>
      <w:bookmarkStart w:id="82" w:name="_Toc28756"/>
      <w:bookmarkStart w:id="83"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80"/>
      <w:bookmarkEnd w:id="81"/>
      <w:bookmarkEnd w:id="82"/>
      <w:bookmarkEnd w:id="83"/>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84" w:name="_Toc33795811"/>
      <w:bookmarkStart w:id="85" w:name="_Toc19470"/>
      <w:bookmarkStart w:id="86" w:name="_Toc2191"/>
      <w:bookmarkStart w:id="87"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84"/>
      <w:bookmarkEnd w:id="85"/>
      <w:bookmarkEnd w:id="86"/>
      <w:bookmarkEnd w:id="87"/>
      <w:r>
        <w:rPr>
          <w:rFonts w:hint="eastAsia" w:ascii="仿宋" w:hAnsi="仿宋" w:eastAsia="仿宋" w:cs="仿宋"/>
          <w:color w:val="auto"/>
          <w:sz w:val="32"/>
          <w:szCs w:val="32"/>
          <w:lang w:val="en-US" w:eastAsia="zh-CN"/>
        </w:rPr>
        <w:t>确定成交人</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8" w:name="_Toc10813"/>
      <w:bookmarkStart w:id="89" w:name="_Toc31681"/>
      <w:bookmarkStart w:id="90" w:name="_Toc33795812"/>
      <w:bookmarkStart w:id="91"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88"/>
      <w:bookmarkEnd w:id="89"/>
      <w:bookmarkEnd w:id="90"/>
      <w:bookmarkEnd w:id="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2" w:name="_Toc5668"/>
      <w:bookmarkStart w:id="93" w:name="_Toc384308244"/>
      <w:bookmarkStart w:id="94" w:name="_Toc300834983"/>
      <w:bookmarkStart w:id="95" w:name="_Toc361508619"/>
      <w:bookmarkStart w:id="96" w:name="_Toc369531550"/>
      <w:bookmarkStart w:id="97"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92"/>
      <w:bookmarkEnd w:id="93"/>
      <w:bookmarkEnd w:id="94"/>
      <w:bookmarkEnd w:id="95"/>
      <w:bookmarkEnd w:id="96"/>
      <w:bookmarkEnd w:id="97"/>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8" w:name="_Toc33795813"/>
      <w:bookmarkStart w:id="99" w:name="_Toc4342"/>
      <w:bookmarkStart w:id="100" w:name="_Toc30705"/>
      <w:bookmarkStart w:id="101"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98"/>
      <w:bookmarkEnd w:id="99"/>
      <w:bookmarkEnd w:id="100"/>
      <w:bookmarkEnd w:id="10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1.成交后成交人应提供履约担保，之前所交的4万元响应保证金转为合同履约保证金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2" w:name="_Toc33795814"/>
      <w:bookmarkStart w:id="103" w:name="_Toc3671"/>
      <w:bookmarkStart w:id="104" w:name="_Toc14362"/>
      <w:bookmarkStart w:id="105"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02"/>
      <w:bookmarkEnd w:id="103"/>
      <w:bookmarkEnd w:id="104"/>
      <w:bookmarkEnd w:id="105"/>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06" w:name="_Toc384308247"/>
      <w:bookmarkStart w:id="107" w:name="_Toc247513988"/>
      <w:bookmarkStart w:id="108" w:name="_Toc300834986"/>
      <w:bookmarkStart w:id="109" w:name="_Toc152045564"/>
      <w:bookmarkStart w:id="110" w:name="_Toc4656"/>
      <w:bookmarkStart w:id="111" w:name="_Toc144974532"/>
      <w:bookmarkStart w:id="112" w:name="_Toc361508622"/>
      <w:bookmarkStart w:id="113" w:name="_Toc152042340"/>
      <w:bookmarkStart w:id="114" w:name="_Toc247527589"/>
      <w:bookmarkStart w:id="115" w:name="_Toc352691509"/>
      <w:bookmarkStart w:id="116" w:name="_Toc369531553"/>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日内，根据</w:t>
      </w:r>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7" w:name="_Toc352691510"/>
      <w:bookmarkStart w:id="118" w:name="_Toc18247"/>
      <w:bookmarkStart w:id="119" w:name="_Toc152042341"/>
      <w:bookmarkStart w:id="120" w:name="_Toc152045565"/>
      <w:bookmarkStart w:id="121" w:name="_Toc144974533"/>
      <w:bookmarkStart w:id="122" w:name="_Toc300834987"/>
      <w:bookmarkStart w:id="123" w:name="_Toc247527590"/>
      <w:bookmarkStart w:id="124" w:name="_Toc361508623"/>
      <w:bookmarkStart w:id="125" w:name="_Toc369531554"/>
      <w:bookmarkStart w:id="126" w:name="_Toc247513989"/>
      <w:bookmarkStart w:id="127" w:name="_Toc384308248"/>
      <w:r>
        <w:rPr>
          <w:rFonts w:hint="eastAsia" w:ascii="仿宋" w:hAnsi="仿宋" w:eastAsia="仿宋" w:cs="仿宋"/>
          <w:color w:val="auto"/>
          <w:sz w:val="32"/>
          <w:szCs w:val="32"/>
        </w:rPr>
        <w:t>当理由拒签合</w:t>
      </w:r>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28" w:name="_Toc361508627"/>
      <w:bookmarkStart w:id="129" w:name="_Toc24067"/>
      <w:bookmarkStart w:id="130" w:name="_Toc384308252"/>
      <w:bookmarkStart w:id="131" w:name="_Toc247527593"/>
      <w:bookmarkStart w:id="132" w:name="_Toc152042344"/>
      <w:bookmarkStart w:id="133" w:name="_Toc144974536"/>
      <w:bookmarkStart w:id="134" w:name="_Toc247513992"/>
      <w:bookmarkStart w:id="135" w:name="_Toc152045568"/>
      <w:bookmarkStart w:id="136" w:name="_Toc3008349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代理合同签订后，成交方违反合同的，应向采购方支付合同总额20%的违约金，由此给采购方造成经济损失的，成交方还应赔偿采购方实际损失，成交方承担的违约金及损失，采购方可直接从成交方履约保证金中扣收，不足部分从应付费用或其它款项中扣收，采购方继续要求履行合同的，报价方应继续履行。</w:t>
      </w:r>
    </w:p>
    <w:bookmarkEnd w:id="128"/>
    <w:bookmarkEnd w:id="129"/>
    <w:bookmarkEnd w:id="130"/>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37" w:name="_Toc25347"/>
      <w:bookmarkStart w:id="138" w:name="_Toc14752"/>
      <w:bookmarkStart w:id="139"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7"/>
      <w:bookmarkEnd w:id="138"/>
      <w:bookmarkEnd w:id="139"/>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40" w:name="_Toc384308253"/>
      <w:bookmarkStart w:id="141" w:name="_Toc361508628"/>
      <w:bookmarkStart w:id="142" w:name="_Toc352691515"/>
      <w:bookmarkStart w:id="143" w:name="_Toc13644"/>
      <w:bookmarkStart w:id="144" w:name="_Toc369531559"/>
      <w:r>
        <w:rPr>
          <w:rFonts w:hint="eastAsia" w:ascii="仿宋" w:hAnsi="仿宋" w:eastAsia="仿宋" w:cs="仿宋"/>
          <w:color w:val="auto"/>
          <w:sz w:val="32"/>
          <w:szCs w:val="32"/>
        </w:rPr>
        <w:t>和比较、</w:t>
      </w:r>
      <w:bookmarkEnd w:id="131"/>
      <w:bookmarkEnd w:id="132"/>
      <w:bookmarkEnd w:id="133"/>
      <w:bookmarkEnd w:id="134"/>
      <w:bookmarkEnd w:id="135"/>
      <w:bookmarkEnd w:id="136"/>
      <w:bookmarkEnd w:id="140"/>
      <w:bookmarkEnd w:id="141"/>
      <w:bookmarkEnd w:id="142"/>
      <w:bookmarkEnd w:id="143"/>
      <w:bookmarkEnd w:id="144"/>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pPr>
        <w:pStyle w:val="3"/>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45" w:name="_Toc33795820"/>
      <w:bookmarkStart w:id="146" w:name="_Toc24957"/>
      <w:bookmarkStart w:id="147" w:name="_Toc18070"/>
      <w:bookmarkStart w:id="148" w:name="_Toc22294"/>
      <w:r>
        <w:rPr>
          <w:rFonts w:hint="eastAsia" w:ascii="仿宋" w:hAnsi="仿宋" w:eastAsia="仿宋" w:cs="仿宋"/>
          <w:color w:val="auto"/>
          <w:sz w:val="32"/>
          <w:szCs w:val="32"/>
          <w:lang w:val="en-US" w:eastAsia="zh-CN"/>
        </w:rPr>
        <w:t>（三）异议</w:t>
      </w:r>
      <w:bookmarkEnd w:id="145"/>
      <w:bookmarkEnd w:id="146"/>
      <w:bookmarkEnd w:id="147"/>
      <w:bookmarkEnd w:id="148"/>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pPr>
        <w:pStyle w:val="9"/>
        <w:numPr>
          <w:ilvl w:val="0"/>
          <w:numId w:val="0"/>
        </w:numPr>
        <w:spacing w:line="520" w:lineRule="exact"/>
        <w:ind w:leftChars="5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业务联系方式</w:t>
      </w:r>
    </w:p>
    <w:p>
      <w:pPr>
        <w:pStyle w:val="9"/>
        <w:spacing w:line="520" w:lineRule="exact"/>
        <w:ind w:left="105" w:leftChars="50" w:firstLine="56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李锋</w:t>
      </w:r>
    </w:p>
    <w:p>
      <w:pPr>
        <w:pStyle w:val="9"/>
        <w:spacing w:line="520" w:lineRule="exact"/>
        <w:ind w:left="105" w:leftChars="50" w:firstLine="560"/>
        <w:rPr>
          <w:rFonts w:hint="eastAsia"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18909143196</w:t>
      </w:r>
    </w:p>
    <w:p>
      <w:pPr>
        <w:pStyle w:val="9"/>
        <w:spacing w:line="520" w:lineRule="exact"/>
        <w:ind w:left="105" w:leftChars="50" w:firstLine="560"/>
        <w:rPr>
          <w:rFonts w:hint="eastAsia" w:ascii="仿宋" w:hAnsi="仿宋" w:eastAsia="仿宋" w:cs="仿宋"/>
          <w:sz w:val="32"/>
          <w:szCs w:val="32"/>
        </w:rPr>
      </w:pPr>
      <w:r>
        <w:rPr>
          <w:rFonts w:hint="eastAsia" w:ascii="仿宋" w:hAnsi="仿宋" w:eastAsia="仿宋" w:cs="仿宋"/>
          <w:sz w:val="32"/>
          <w:szCs w:val="32"/>
        </w:rPr>
        <w:t>地址：陕西省商洛市商州区沙河子镇陕西锌业公司</w:t>
      </w:r>
      <w:r>
        <w:rPr>
          <w:rFonts w:hint="eastAsia" w:ascii="仿宋" w:hAnsi="仿宋" w:eastAsia="仿宋" w:cs="仿宋"/>
          <w:sz w:val="32"/>
          <w:szCs w:val="32"/>
          <w:lang w:eastAsia="zh-CN"/>
        </w:rPr>
        <w:t>市场营销</w:t>
      </w:r>
      <w:r>
        <w:rPr>
          <w:rFonts w:hint="eastAsia" w:ascii="仿宋" w:hAnsi="仿宋" w:eastAsia="仿宋" w:cs="仿宋"/>
          <w:sz w:val="32"/>
          <w:szCs w:val="32"/>
        </w:rPr>
        <w:t>部</w:t>
      </w:r>
    </w:p>
    <w:p>
      <w:pPr>
        <w:spacing w:line="520" w:lineRule="exact"/>
        <w:ind w:left="105" w:leftChars="50"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1" w:firstLineChars="100"/>
        <w:rPr>
          <w:rFonts w:hint="default" w:ascii="黑体" w:hAnsi="黑体" w:eastAsia="黑体" w:cs="黑体"/>
          <w:b/>
          <w:bCs w:val="0"/>
          <w:color w:val="auto"/>
          <w:sz w:val="36"/>
          <w:szCs w:val="36"/>
          <w:lang w:val="en-US"/>
        </w:rPr>
      </w:pPr>
      <w:r>
        <w:rPr>
          <w:rFonts w:hint="eastAsia" w:ascii="仿宋" w:hAnsi="仿宋" w:eastAsia="仿宋" w:cs="仿宋"/>
          <w:b/>
          <w:bCs/>
          <w:sz w:val="32"/>
          <w:szCs w:val="32"/>
          <w:lang w:val="en-US" w:eastAsia="zh-CN"/>
        </w:rPr>
        <w:t>附：响应文件模版</w:t>
      </w:r>
    </w:p>
    <w:p>
      <w:pPr>
        <w:spacing w:line="540" w:lineRule="exact"/>
        <w:rPr>
          <w:rFonts w:hint="eastAsia" w:ascii="仿宋" w:hAnsi="仿宋" w:eastAsia="仿宋" w:cs="仿宋"/>
          <w:color w:val="auto"/>
          <w:sz w:val="32"/>
          <w:szCs w:val="32"/>
        </w:rPr>
      </w:pP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b w:val="0"/>
          <w:bCs/>
          <w:color w:val="auto"/>
          <w:sz w:val="36"/>
          <w:szCs w:val="36"/>
        </w:rPr>
      </w:pPr>
      <w:bookmarkStart w:id="149" w:name="_Toc16531"/>
      <w:bookmarkStart w:id="150" w:name="_Toc504488768"/>
      <w:r>
        <w:rPr>
          <w:rFonts w:hint="eastAsia" w:ascii="黑体" w:hAnsi="黑体" w:eastAsia="黑体" w:cs="黑体"/>
          <w:b w:val="0"/>
          <w:bCs/>
          <w:color w:val="auto"/>
          <w:sz w:val="36"/>
          <w:szCs w:val="36"/>
        </w:rPr>
        <w:t>一、</w:t>
      </w:r>
      <w:bookmarkEnd w:id="149"/>
      <w:bookmarkEnd w:id="150"/>
      <w:r>
        <w:rPr>
          <w:rFonts w:hint="eastAsia" w:ascii="黑体" w:hAnsi="黑体" w:eastAsia="黑体" w:cs="黑体"/>
          <w:b w:val="0"/>
          <w:bCs/>
          <w:color w:val="auto"/>
          <w:sz w:val="36"/>
          <w:szCs w:val="36"/>
          <w:lang w:eastAsia="zh-CN"/>
        </w:rPr>
        <w:t>响应函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lang w:val="en-US" w:eastAsia="zh-CN"/>
        </w:rPr>
        <w:t>元</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提供服务，质量标准</w:t>
      </w:r>
      <w:r>
        <w:rPr>
          <w:rFonts w:hint="eastAsia" w:ascii="仿宋" w:hAnsi="仿宋" w:eastAsia="仿宋" w:cs="仿宋"/>
          <w:color w:val="auto"/>
          <w:sz w:val="32"/>
          <w:szCs w:val="32"/>
          <w:lang w:val="en-US" w:eastAsia="zh-CN"/>
        </w:rPr>
        <w:t>满足贵司要求</w:t>
      </w:r>
      <w:r>
        <w:rPr>
          <w:rFonts w:hint="eastAsia" w:ascii="仿宋" w:hAnsi="仿宋" w:eastAsia="仿宋" w:cs="仿宋"/>
          <w:color w:val="auto"/>
          <w:sz w:val="32"/>
          <w:szCs w:val="32"/>
        </w:rPr>
        <w:t xml:space="preserve"> ，并按合同约定履行义务。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在签订合同时不向你方提出附加条件；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一条第六款第7</w:t>
      </w:r>
      <w:r>
        <w:rPr>
          <w:rFonts w:hint="eastAsia" w:ascii="仿宋" w:hAnsi="仿宋" w:eastAsia="仿宋" w:cs="仿宋"/>
          <w:color w:val="auto"/>
          <w:sz w:val="32"/>
          <w:szCs w:val="32"/>
        </w:rPr>
        <w:t>项规定的任何一种情形。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1" w:name="_Toc28734"/>
      <w:bookmarkStart w:id="152" w:name="_Toc504488769"/>
    </w:p>
    <w:p>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1"/>
      <w:bookmarkEnd w:id="152"/>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3" w:name="_Toc27897"/>
      <w:bookmarkStart w:id="154" w:name="_Toc369531698"/>
      <w:bookmarkStart w:id="155"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3"/>
      <w:bookmarkEnd w:id="154"/>
      <w:bookmarkEnd w:id="155"/>
      <w:r>
        <w:rPr>
          <w:rFonts w:hint="eastAsia" w:ascii="仿宋" w:hAnsi="仿宋" w:eastAsia="仿宋" w:cs="仿宋"/>
          <w:color w:val="auto"/>
          <w:sz w:val="32"/>
          <w:szCs w:val="32"/>
        </w:rPr>
        <w:t>龄</w:t>
      </w:r>
      <w:bookmarkStart w:id="156" w:name="_Toc300835211"/>
      <w:bookmarkStart w:id="157" w:name="_Toc361508754"/>
      <w:bookmarkStart w:id="158" w:name="_Toc144974858"/>
      <w:bookmarkStart w:id="159" w:name="_Toc247527829"/>
      <w:bookmarkStart w:id="160" w:name="_Toc152042578"/>
      <w:bookmarkStart w:id="161" w:name="_Toc369531699"/>
      <w:bookmarkStart w:id="162" w:name="_Toc15573"/>
      <w:bookmarkStart w:id="163" w:name="_Toc152045789"/>
      <w:bookmarkStart w:id="164" w:name="_Toc352691663"/>
      <w:bookmarkStart w:id="165" w:name="_Toc384308377"/>
      <w:bookmarkStart w:id="166" w:name="_Toc247514248"/>
      <w:r>
        <w:rPr>
          <w:rFonts w:hint="eastAsia" w:ascii="仿宋" w:hAnsi="仿宋" w:eastAsia="仿宋" w:cs="仿宋"/>
          <w:color w:val="auto"/>
          <w:sz w:val="32"/>
          <w:szCs w:val="32"/>
        </w:rPr>
        <w:t>：</w:t>
      </w:r>
      <w:bookmarkEnd w:id="156"/>
      <w:bookmarkEnd w:id="157"/>
      <w:bookmarkEnd w:id="158"/>
      <w:bookmarkEnd w:id="159"/>
      <w:bookmarkEnd w:id="160"/>
      <w:bookmarkEnd w:id="161"/>
      <w:bookmarkEnd w:id="162"/>
      <w:bookmarkEnd w:id="163"/>
      <w:bookmarkEnd w:id="164"/>
      <w:bookmarkEnd w:id="165"/>
      <w:bookmarkEnd w:id="166"/>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color w:val="auto"/>
          <w:sz w:val="36"/>
          <w:szCs w:val="36"/>
        </w:rPr>
      </w:pPr>
      <w:bookmarkStart w:id="167" w:name="_Toc504488770"/>
      <w:bookmarkStart w:id="168" w:name="_Toc2777"/>
      <w:r>
        <w:rPr>
          <w:rFonts w:hint="eastAsia" w:ascii="黑体" w:hAnsi="黑体" w:eastAsia="黑体" w:cs="黑体"/>
          <w:color w:val="auto"/>
          <w:sz w:val="36"/>
          <w:szCs w:val="36"/>
        </w:rPr>
        <w:t>二、授权委托书</w:t>
      </w:r>
      <w:bookmarkEnd w:id="167"/>
      <w:bookmarkEnd w:id="168"/>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spacing w:after="0" w:line="413" w:lineRule="auto"/>
        <w:jc w:val="center"/>
        <w:rPr>
          <w:rFonts w:hint="eastAsia" w:ascii="黑体" w:hAnsi="黑体" w:eastAsia="黑体" w:cs="黑体"/>
          <w:color w:val="auto"/>
          <w:sz w:val="36"/>
          <w:szCs w:val="36"/>
          <w:u w:val="single"/>
          <w:lang w:eastAsia="zh-CN"/>
        </w:rPr>
      </w:pPr>
      <w:bookmarkStart w:id="169" w:name="_Toc7842"/>
      <w:bookmarkStart w:id="170"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69"/>
      <w:bookmarkEnd w:id="170"/>
      <w:r>
        <w:rPr>
          <w:rFonts w:hint="eastAsia" w:ascii="黑体" w:hAnsi="黑体" w:eastAsia="黑体" w:cs="黑体"/>
          <w:color w:val="auto"/>
          <w:sz w:val="36"/>
          <w:szCs w:val="36"/>
          <w:lang w:eastAsia="zh-CN"/>
        </w:rPr>
        <w:t>响应保证金</w:t>
      </w:r>
    </w:p>
    <w:p>
      <w:pPr>
        <w:spacing w:line="440" w:lineRule="exact"/>
        <w:rPr>
          <w:rFonts w:hint="eastAsia" w:ascii="仿宋" w:hAnsi="仿宋" w:eastAsia="仿宋" w:cs="仿宋"/>
          <w:b/>
          <w:bCs/>
          <w:color w:val="auto"/>
          <w:sz w:val="32"/>
          <w:szCs w:val="32"/>
        </w:rPr>
      </w:pPr>
    </w:p>
    <w:p>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pPr>
        <w:spacing w:line="440" w:lineRule="exact"/>
        <w:rPr>
          <w:rFonts w:hint="eastAsia" w:ascii="仿宋" w:hAnsi="仿宋" w:eastAsia="仿宋" w:cs="仿宋"/>
          <w:color w:val="auto"/>
          <w:sz w:val="32"/>
          <w:szCs w:val="32"/>
        </w:rPr>
      </w:pPr>
      <w:r>
        <w:rPr>
          <w:rFonts w:hint="eastAsia" w:ascii="仿宋" w:hAnsi="仿宋" w:eastAsia="仿宋" w:cs="仿宋"/>
          <w:b/>
          <w:bCs/>
          <w:color w:val="auto"/>
          <w:sz w:val="32"/>
          <w:szCs w:val="32"/>
        </w:rPr>
        <w:t>银行开户许可证明材料（复印件）</w:t>
      </w:r>
    </w:p>
    <w:p>
      <w:pPr>
        <w:widowControl/>
        <w:jc w:val="left"/>
        <w:rPr>
          <w:rFonts w:ascii="Times New Roman" w:hAnsi="Times New Roman"/>
          <w:color w:val="auto"/>
          <w:sz w:val="24"/>
          <w:szCs w:val="24"/>
        </w:rPr>
      </w:pPr>
    </w:p>
    <w:p>
      <w:pPr>
        <w:spacing w:line="440" w:lineRule="exact"/>
        <w:jc w:val="center"/>
        <w:rPr>
          <w:rFonts w:ascii="Times New Roman" w:hAnsi="Times New Roman" w:eastAsia="黑体"/>
          <w:color w:val="auto"/>
          <w:sz w:val="27"/>
          <w:szCs w:val="27"/>
        </w:rPr>
      </w:pPr>
    </w:p>
    <w:p>
      <w:pPr>
        <w:spacing w:line="440" w:lineRule="exact"/>
        <w:ind w:firstLine="420" w:firstLineChars="200"/>
        <w:rPr>
          <w:rFonts w:ascii="Times New Roman" w:hAnsi="Times New Roman"/>
          <w:color w:val="auto"/>
          <w:szCs w:val="21"/>
        </w:rPr>
      </w:pPr>
    </w:p>
    <w:p>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pPr>
        <w:pStyle w:val="2"/>
        <w:numPr>
          <w:ilvl w:val="0"/>
          <w:numId w:val="0"/>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171" w:name="_Toc1755"/>
      <w:bookmarkStart w:id="172" w:name="_Toc504488775"/>
      <w:r>
        <w:rPr>
          <w:rFonts w:hint="eastAsia" w:ascii="黑体" w:hAnsi="黑体" w:eastAsia="黑体" w:cs="黑体"/>
          <w:b/>
          <w:bCs/>
          <w:color w:val="auto"/>
          <w:kern w:val="2"/>
          <w:sz w:val="36"/>
          <w:szCs w:val="36"/>
          <w:lang w:val="en-US" w:eastAsia="zh-CN" w:bidi="ar-SA"/>
        </w:rPr>
        <w:t>五、分项报价表</w:t>
      </w:r>
    </w:p>
    <w:tbl>
      <w:tblPr>
        <w:tblStyle w:val="5"/>
        <w:tblpPr w:leftFromText="180" w:rightFromText="180" w:vertAnchor="page" w:horzAnchor="page" w:tblpX="1592" w:tblpY="2612"/>
        <w:tblOverlap w:val="never"/>
        <w:tblW w:w="8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2159"/>
        <w:gridCol w:w="2370"/>
        <w:gridCol w:w="1560"/>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44" w:type="dxa"/>
            <w:tcBorders>
              <w:top w:val="single" w:color="auto" w:sz="6" w:space="0"/>
              <w:left w:val="single" w:color="auto" w:sz="6" w:space="0"/>
              <w:bottom w:val="single" w:color="auto" w:sz="4" w:space="0"/>
              <w:right w:val="single" w:color="auto" w:sz="6" w:space="0"/>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mc:AlternateContent>
                <mc:Choice Requires="wpsCustomData">
                  <wpsCustomData:diagonalParaType/>
                </mc:Choice>
              </mc:AlternateConten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w:t>
            </w:r>
          </w:p>
        </w:tc>
        <w:tc>
          <w:tcPr>
            <w:tcW w:w="2159" w:type="dxa"/>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出发点（装车点）</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p>
        </w:tc>
        <w:tc>
          <w:tcPr>
            <w:tcW w:w="23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到达点（卸车点）</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报价（元</w:t>
            </w:r>
            <w:r>
              <w:rPr>
                <w:rFonts w:hint="eastAsia" w:ascii="宋体" w:hAnsi="宋体" w:eastAsia="宋体" w:cs="宋体"/>
                <w:color w:val="000000"/>
                <w:sz w:val="24"/>
                <w:szCs w:val="24"/>
                <w:lang w:val="en-US" w:eastAsia="zh-CN"/>
              </w:rPr>
              <w:t>/吨</w:t>
            </w:r>
            <w:r>
              <w:rPr>
                <w:rFonts w:hint="eastAsia" w:ascii="宋体" w:hAnsi="宋体" w:eastAsia="宋体" w:cs="宋体"/>
                <w:color w:val="000000"/>
                <w:sz w:val="24"/>
                <w:szCs w:val="24"/>
                <w:lang w:eastAsia="zh-CN"/>
              </w:rPr>
              <w:t>）</w:t>
            </w: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备注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徽县金徽矿业</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陕西锌业有限公司仓库</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旬阳鑫源公司</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陕西锌业有限公司仓库</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白河钰红旺</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陕西锌业有限公司仓库</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凤县龙口</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陕西锌业有限公司仓库</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凤县三岔</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陕西锌业有限公司仓库</w:t>
            </w:r>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乌拉特后旗</w:t>
            </w:r>
          </w:p>
        </w:tc>
        <w:tc>
          <w:tcPr>
            <w:tcW w:w="2370"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陕西锌业有限公司仓库</w:t>
            </w:r>
            <w:bookmarkStart w:id="181" w:name="_GoBack"/>
            <w:bookmarkEnd w:id="181"/>
          </w:p>
        </w:tc>
        <w:tc>
          <w:tcPr>
            <w:tcW w:w="156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37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pPr>
        <w:pStyle w:val="2"/>
        <w:spacing w:after="0"/>
        <w:jc w:val="both"/>
        <w:rPr>
          <w:rFonts w:hint="eastAsia" w:ascii="Times New Roman" w:hAnsi="Times New Roman"/>
          <w:color w:val="auto"/>
          <w:kern w:val="0"/>
        </w:rPr>
      </w:pPr>
    </w:p>
    <w:p>
      <w:pPr>
        <w:bidi w:val="0"/>
        <w:jc w:val="left"/>
        <w:rPr>
          <w:rFonts w:ascii="Times New Roman" w:hAnsi="Times New Roman"/>
          <w:color w:val="auto"/>
        </w:rPr>
      </w:pPr>
      <w:r>
        <w:rPr>
          <w:rFonts w:hint="eastAsia" w:ascii="Times New Roman" w:hAnsi="Times New Roman"/>
          <w:color w:val="auto"/>
          <w:kern w:val="0"/>
          <w:lang w:eastAsia="zh-CN"/>
        </w:rPr>
        <w:t>注：各装车点运输项目可选择</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1"/>
      <w:bookmarkEnd w:id="172"/>
    </w:p>
    <w:p>
      <w:pPr>
        <w:pStyle w:val="3"/>
        <w:spacing w:before="20" w:after="0"/>
        <w:ind w:firstLine="103"/>
        <w:rPr>
          <w:rFonts w:ascii="Times New Roman"/>
          <w:color w:val="auto"/>
          <w:sz w:val="32"/>
          <w:szCs w:val="32"/>
        </w:rPr>
      </w:pPr>
      <w:bookmarkStart w:id="173" w:name="_Toc13906"/>
      <w:bookmarkStart w:id="174" w:name="_Toc504488776"/>
      <w:r>
        <w:rPr>
          <w:rFonts w:hint="eastAsia" w:ascii="Times New Roman"/>
          <w:color w:val="auto"/>
          <w:sz w:val="32"/>
          <w:szCs w:val="32"/>
        </w:rPr>
        <w:t>（一）基本情况表</w:t>
      </w:r>
      <w:bookmarkEnd w:id="173"/>
      <w:bookmarkEnd w:id="174"/>
    </w:p>
    <w:tbl>
      <w:tblPr>
        <w:tblStyle w:val="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0"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响应文件所提供服务项目</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pPr>
        <w:spacing w:line="360" w:lineRule="auto"/>
        <w:rPr>
          <w:rFonts w:hint="eastAsia" w:ascii="宋体" w:hAnsi="宋体" w:eastAsia="宋体" w:cs="宋体"/>
          <w:b w:val="0"/>
          <w:bCs w:val="0"/>
          <w:color w:val="auto"/>
          <w:sz w:val="24"/>
          <w:szCs w:val="24"/>
        </w:rPr>
      </w:pPr>
    </w:p>
    <w:p>
      <w:pPr>
        <w:rPr>
          <w:b/>
          <w:color w:val="auto"/>
          <w:sz w:val="28"/>
          <w:szCs w:val="28"/>
        </w:rPr>
      </w:pPr>
      <w:r>
        <w:rPr>
          <w:rFonts w:hint="eastAsia" w:ascii="宋体" w:hAnsi="宋体" w:eastAsia="宋体" w:cs="宋体"/>
          <w:color w:val="auto"/>
          <w:sz w:val="24"/>
          <w:szCs w:val="24"/>
        </w:rPr>
        <w:br w:type="page"/>
      </w:r>
    </w:p>
    <w:p>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pPr>
        <w:spacing w:line="440" w:lineRule="exact"/>
        <w:ind w:firstLine="643" w:firstLineChars="200"/>
        <w:jc w:val="left"/>
        <w:rPr>
          <w:rFonts w:hint="eastAsia" w:ascii="仿宋" w:hAnsi="仿宋" w:eastAsia="仿宋" w:cs="仿宋"/>
          <w:b/>
          <w:color w:val="auto"/>
          <w:sz w:val="32"/>
          <w:szCs w:val="32"/>
          <w:u w:val="single"/>
        </w:rPr>
      </w:pP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pPr>
        <w:pStyle w:val="3"/>
        <w:ind w:firstLine="103"/>
        <w:rPr>
          <w:rFonts w:ascii="Times New Roman"/>
          <w:color w:val="auto"/>
          <w:sz w:val="32"/>
          <w:szCs w:val="32"/>
        </w:rPr>
      </w:pPr>
      <w:bookmarkStart w:id="175" w:name="_Toc19475"/>
      <w:bookmarkStart w:id="17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5"/>
      <w:bookmarkEnd w:id="176"/>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合同编号</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pPr>
        <w:spacing w:line="440" w:lineRule="exact"/>
        <w:ind w:firstLine="480" w:firstLineChars="200"/>
        <w:rPr>
          <w:color w:val="auto"/>
          <w:sz w:val="24"/>
          <w:szCs w:val="24"/>
        </w:rPr>
      </w:pPr>
    </w:p>
    <w:p>
      <w:pPr>
        <w:spacing w:line="440" w:lineRule="exact"/>
        <w:rPr>
          <w:rFonts w:ascii="Times New Roman" w:hAnsi="Times New Roman"/>
          <w:color w:val="auto"/>
        </w:rPr>
      </w:pPr>
    </w:p>
    <w:p>
      <w:pPr>
        <w:spacing w:line="440" w:lineRule="exact"/>
        <w:rPr>
          <w:rFonts w:ascii="Times New Roman" w:hAnsi="Times New Roman"/>
          <w:color w:val="auto"/>
        </w:rPr>
      </w:pPr>
    </w:p>
    <w:p>
      <w:pPr>
        <w:topLinePunct/>
        <w:spacing w:line="440" w:lineRule="exact"/>
        <w:rPr>
          <w:rFonts w:ascii="Times New Roman" w:hAnsi="Times New Roman"/>
          <w:color w:val="auto"/>
        </w:rPr>
      </w:pPr>
      <w:r>
        <w:rPr>
          <w:rFonts w:ascii="Times New Roman" w:hAnsi="Times New Roman"/>
          <w:color w:val="auto"/>
        </w:rPr>
        <w:br w:type="page"/>
      </w:r>
    </w:p>
    <w:p>
      <w:pPr>
        <w:spacing w:line="440" w:lineRule="exact"/>
        <w:rPr>
          <w:rFonts w:ascii="Times New Roman"/>
          <w:b/>
          <w:bCs/>
          <w:color w:val="auto"/>
          <w:sz w:val="32"/>
          <w:szCs w:val="32"/>
        </w:rPr>
      </w:pPr>
      <w:bookmarkStart w:id="177" w:name="_Toc14234"/>
      <w:bookmarkStart w:id="178"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7"/>
      <w:bookmarkEnd w:id="17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pPr>
        <w:rPr>
          <w:rFonts w:hint="eastAsia" w:ascii="Times New Roman" w:hAnsi="Times New Roman"/>
          <w:color w:val="auto"/>
        </w:rPr>
      </w:pPr>
    </w:p>
    <w:p>
      <w:pPr>
        <w:pStyle w:val="2"/>
        <w:spacing w:line="400" w:lineRule="exact"/>
        <w:jc w:val="both"/>
        <w:rPr>
          <w:rFonts w:hint="eastAsia" w:ascii="仿宋" w:hAnsi="仿宋" w:eastAsia="仿宋" w:cs="仿宋"/>
          <w:color w:val="auto"/>
          <w:sz w:val="32"/>
          <w:szCs w:val="32"/>
          <w:lang w:val="en-US" w:eastAsia="zh-CN"/>
        </w:rPr>
      </w:pPr>
      <w:bookmarkStart w:id="179" w:name="_Toc22199"/>
      <w:bookmarkStart w:id="180" w:name="_Toc504488783"/>
    </w:p>
    <w:p>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79"/>
    <w:bookmarkEnd w:id="180"/>
    <w:p>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pPr>
        <w:rPr>
          <w:rFonts w:hint="eastAsia" w:ascii="Times New Roman" w:hAnsi="Times New Roman" w:eastAsia="黑体" w:cs="Times New Roman"/>
          <w:b/>
          <w:color w:val="auto"/>
          <w:kern w:val="2"/>
          <w:sz w:val="32"/>
          <w:szCs w:val="20"/>
          <w:lang w:val="en-US" w:eastAsia="zh-CN" w:bidi="ar-SA"/>
        </w:rPr>
      </w:pPr>
    </w:p>
    <w:p>
      <w:pPr>
        <w:jc w:val="center"/>
        <w:rPr>
          <w:color w:val="auto"/>
        </w:rPr>
      </w:pPr>
    </w:p>
    <w:p>
      <w:pPr>
        <w:rPr>
          <w:color w:val="auto"/>
        </w:rPr>
      </w:pPr>
    </w:p>
    <w:p>
      <w:pPr>
        <w:pStyle w:val="4"/>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pPr>
        <w:pStyle w:val="4"/>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p>
      <w:pPr>
        <w:spacing w:line="520" w:lineRule="exact"/>
        <w:ind w:left="105" w:leftChars="50"/>
        <w:rPr>
          <w:rFonts w:hint="eastAsia" w:ascii="仿宋" w:hAnsi="仿宋" w:eastAsia="仿宋" w:cs="仿宋"/>
          <w:sz w:val="32"/>
          <w:szCs w:val="32"/>
          <w:lang w:val="en-US" w:eastAsia="zh-CN"/>
        </w:rPr>
      </w:pPr>
    </w:p>
    <w:p>
      <w:pPr>
        <w:spacing w:line="520" w:lineRule="exact"/>
        <w:ind w:left="105" w:leftChars="5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rPr>
          <w:sz w:val="28"/>
          <w:szCs w:val="28"/>
        </w:rPr>
      </w:pPr>
    </w:p>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2Q5YTUyNmQ3YzIzZDIxMDI3ZWY3YmMwYTllNGUifQ=="/>
    <w:docVar w:name="KSO_WPS_MARK_KEY" w:val="955705ff-81e8-48df-a0b7-406e5d7909e7"/>
  </w:docVars>
  <w:rsids>
    <w:rsidRoot w:val="69FD722C"/>
    <w:rsid w:val="005663EC"/>
    <w:rsid w:val="0B68294B"/>
    <w:rsid w:val="27D71703"/>
    <w:rsid w:val="5129433D"/>
    <w:rsid w:val="572643F6"/>
    <w:rsid w:val="69FD722C"/>
    <w:rsid w:val="6DBB6D08"/>
    <w:rsid w:val="6DF70B9F"/>
    <w:rsid w:val="71352CBB"/>
    <w:rsid w:val="72135BAE"/>
    <w:rsid w:val="795E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_8"/>
    <w:qFormat/>
    <w:uiPriority w:val="0"/>
    <w:pPr>
      <w:spacing w:before="120" w:after="240"/>
      <w:jc w:val="both"/>
    </w:pPr>
    <w:rPr>
      <w:rFonts w:ascii="等线" w:hAnsi="等线" w:eastAsia="等线" w:cs="Times New Roman"/>
      <w:sz w:val="22"/>
      <w:szCs w:val="22"/>
      <w:lang w:val="en-US" w:eastAsia="en-US"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5728</Words>
  <Characters>5870</Characters>
  <Lines>0</Lines>
  <Paragraphs>0</Paragraphs>
  <TotalTime>1</TotalTime>
  <ScaleCrop>false</ScaleCrop>
  <LinksUpToDate>false</LinksUpToDate>
  <CharactersWithSpaces>6235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2025-06-10T09:06:00Z</dcterms:created>
  <dc:creator>风清月朗1386306908</dc:creator>
  <cp:lastModifiedBy>风清月朗1386306908</cp:lastModifiedBy>
  <dcterms:modified xsi:type="dcterms:W3CDTF">2025-06-20T09:05:28Z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FB8464A5C57541408863DF327471A085_13</vt:lpwstr>
  </property>
</Properties>
</file>