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XB20250718-02</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2025年7月渣处理化学试剂（硼酸）</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采购项目二次</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七月二十三日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5C59B78B">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27"/>
          <w:szCs w:val="27"/>
        </w:rPr>
      </w:pPr>
      <w:r>
        <w:rPr>
          <w:rStyle w:val="12"/>
          <w:rFonts w:hint="eastAsia" w:ascii="宋体" w:hAnsi="宋体" w:eastAsia="宋体" w:cs="宋体"/>
          <w:i w:val="0"/>
          <w:iCs w:val="0"/>
          <w:caps w:val="0"/>
          <w:color w:val="000000"/>
          <w:spacing w:val="0"/>
          <w:sz w:val="36"/>
          <w:szCs w:val="36"/>
        </w:rPr>
        <w:t>陕西锌业有限公司</w:t>
      </w:r>
    </w:p>
    <w:p w14:paraId="6B88A9D2">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27"/>
          <w:szCs w:val="27"/>
        </w:rPr>
      </w:pPr>
      <w:r>
        <w:rPr>
          <w:rStyle w:val="12"/>
          <w:rFonts w:hint="eastAsia" w:ascii="宋体" w:hAnsi="宋体" w:eastAsia="宋体" w:cs="宋体"/>
          <w:i w:val="0"/>
          <w:iCs w:val="0"/>
          <w:caps w:val="0"/>
          <w:color w:val="000000"/>
          <w:spacing w:val="0"/>
          <w:sz w:val="36"/>
          <w:szCs w:val="36"/>
        </w:rPr>
        <w:t>2025年7月渣处理化学试剂（硼酸）采购项目</w:t>
      </w:r>
      <w:r>
        <w:rPr>
          <w:rStyle w:val="12"/>
          <w:rFonts w:hint="eastAsia" w:ascii="宋体" w:hAnsi="宋体" w:eastAsia="宋体" w:cs="宋体"/>
          <w:i w:val="0"/>
          <w:iCs w:val="0"/>
          <w:caps w:val="0"/>
          <w:color w:val="000000"/>
          <w:spacing w:val="0"/>
          <w:sz w:val="36"/>
          <w:szCs w:val="36"/>
          <w:lang w:val="en-US" w:eastAsia="zh-CN"/>
        </w:rPr>
        <w:t>二次</w:t>
      </w:r>
      <w:r>
        <w:rPr>
          <w:rStyle w:val="12"/>
          <w:rFonts w:hint="eastAsia" w:ascii="宋体" w:hAnsi="宋体" w:eastAsia="宋体" w:cs="宋体"/>
          <w:i w:val="0"/>
          <w:iCs w:val="0"/>
          <w:caps w:val="0"/>
          <w:color w:val="000000"/>
          <w:spacing w:val="0"/>
          <w:sz w:val="36"/>
          <w:szCs w:val="36"/>
        </w:rPr>
        <w:t>询比采购邀请函</w:t>
      </w:r>
    </w:p>
    <w:p w14:paraId="74EECFE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rPr>
          <w:rFonts w:hint="eastAsia" w:ascii="Noto Sans SC" w:hAnsi="Noto Sans SC" w:eastAsia="Noto Sans SC" w:cs="Noto Sans SC"/>
          <w:i w:val="0"/>
          <w:iCs w:val="0"/>
          <w:caps w:val="0"/>
          <w:color w:val="000000"/>
          <w:spacing w:val="0"/>
          <w:sz w:val="27"/>
          <w:szCs w:val="27"/>
        </w:rPr>
      </w:pPr>
      <w:r>
        <w:rPr>
          <w:rFonts w:ascii="仿宋" w:hAnsi="仿宋" w:eastAsia="仿宋" w:cs="仿宋"/>
          <w:i w:val="0"/>
          <w:iCs w:val="0"/>
          <w:caps w:val="0"/>
          <w:color w:val="000000"/>
          <w:spacing w:val="0"/>
          <w:sz w:val="31"/>
          <w:szCs w:val="31"/>
        </w:rPr>
        <w:t> </w:t>
      </w:r>
      <w:r>
        <w:rPr>
          <w:rFonts w:hint="eastAsia" w:ascii="仿宋" w:hAnsi="仿宋" w:eastAsia="仿宋" w:cs="仿宋"/>
          <w:i w:val="0"/>
          <w:iCs w:val="0"/>
          <w:caps w:val="0"/>
          <w:color w:val="000000"/>
          <w:spacing w:val="0"/>
          <w:sz w:val="31"/>
          <w:szCs w:val="31"/>
        </w:rPr>
        <w:t>陕西锌业有限公司因生产造需要，拟采购化学试剂</w:t>
      </w:r>
      <w:r>
        <w:rPr>
          <w:rFonts w:hint="eastAsia" w:ascii="仿宋" w:hAnsi="仿宋" w:eastAsia="仿宋" w:cs="仿宋"/>
          <w:i w:val="0"/>
          <w:iCs w:val="0"/>
          <w:caps w:val="0"/>
          <w:color w:val="000000"/>
          <w:spacing w:val="0"/>
          <w:sz w:val="31"/>
          <w:szCs w:val="31"/>
          <w:lang w:val="en-US" w:eastAsia="zh-CN"/>
        </w:rPr>
        <w:t>硼酸</w:t>
      </w:r>
      <w:r>
        <w:rPr>
          <w:rFonts w:hint="eastAsia" w:ascii="仿宋" w:hAnsi="仿宋" w:eastAsia="仿宋" w:cs="仿宋"/>
          <w:i w:val="0"/>
          <w:iCs w:val="0"/>
          <w:caps w:val="0"/>
          <w:color w:val="000000"/>
          <w:spacing w:val="0"/>
          <w:sz w:val="31"/>
          <w:szCs w:val="31"/>
        </w:rPr>
        <w:t>一批，按照公司有关规定，拟通过询比方式确定供应商，欢迎具备相应资质及能力的单位参与该项目询比采购，具体内容如下：</w:t>
      </w:r>
    </w:p>
    <w:p w14:paraId="1CF6C261">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一、采购项目基本要求</w:t>
      </w:r>
    </w:p>
    <w:p w14:paraId="04AD3549">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（一）采购人：陕西锌业有限公司</w:t>
      </w:r>
    </w:p>
    <w:p w14:paraId="57BACCD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（二）采购项目名称：陕西锌业有限公司</w:t>
      </w:r>
      <w:r>
        <w:rPr>
          <w:rFonts w:hint="eastAsia" w:ascii="仿宋" w:hAnsi="仿宋" w:eastAsia="仿宋" w:cs="仿宋"/>
          <w:i w:val="0"/>
          <w:iCs w:val="0"/>
          <w:caps w:val="0"/>
          <w:color w:val="000000"/>
          <w:spacing w:val="0"/>
          <w:sz w:val="31"/>
          <w:szCs w:val="31"/>
          <w:lang w:val="en-US" w:eastAsia="zh-CN"/>
        </w:rPr>
        <w:t>渣处理</w:t>
      </w:r>
      <w:r>
        <w:rPr>
          <w:rFonts w:hint="eastAsia" w:ascii="仿宋" w:hAnsi="仿宋" w:eastAsia="仿宋" w:cs="仿宋"/>
          <w:i w:val="0"/>
          <w:iCs w:val="0"/>
          <w:caps w:val="0"/>
          <w:color w:val="000000"/>
          <w:spacing w:val="0"/>
          <w:sz w:val="31"/>
          <w:szCs w:val="31"/>
        </w:rPr>
        <w:t>化学试剂</w:t>
      </w:r>
      <w:r>
        <w:rPr>
          <w:rFonts w:hint="eastAsia" w:ascii="仿宋" w:hAnsi="仿宋" w:eastAsia="仿宋" w:cs="仿宋"/>
          <w:i w:val="0"/>
          <w:iCs w:val="0"/>
          <w:caps w:val="0"/>
          <w:color w:val="000000"/>
          <w:spacing w:val="0"/>
          <w:sz w:val="31"/>
          <w:szCs w:val="31"/>
          <w:lang w:val="en-US" w:eastAsia="zh-CN"/>
        </w:rPr>
        <w:t>硼酸</w:t>
      </w:r>
      <w:r>
        <w:rPr>
          <w:rFonts w:hint="eastAsia" w:ascii="仿宋" w:hAnsi="仿宋" w:eastAsia="仿宋" w:cs="仿宋"/>
          <w:i w:val="0"/>
          <w:iCs w:val="0"/>
          <w:caps w:val="0"/>
          <w:color w:val="000000"/>
          <w:spacing w:val="0"/>
          <w:sz w:val="31"/>
          <w:szCs w:val="31"/>
        </w:rPr>
        <w:t>采购项目。</w:t>
      </w:r>
    </w:p>
    <w:p w14:paraId="3B46249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（三）交货时间：合同签订15日内到货。</w:t>
      </w:r>
    </w:p>
    <w:p w14:paraId="0F196C3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（四）交货地点：采购方公司库房。</w:t>
      </w:r>
    </w:p>
    <w:p w14:paraId="3DD3990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（五）采购货物一览表</w:t>
      </w:r>
    </w:p>
    <w:tbl>
      <w:tblPr>
        <w:tblStyle w:val="9"/>
        <w:tblpPr w:leftFromText="180" w:rightFromText="180" w:vertAnchor="text" w:horzAnchor="page" w:tblpX="1462" w:tblpY="475"/>
        <w:tblOverlap w:val="never"/>
        <w:tblW w:w="97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1664"/>
        <w:gridCol w:w="2184"/>
        <w:gridCol w:w="870"/>
        <w:gridCol w:w="945"/>
        <w:gridCol w:w="1316"/>
        <w:gridCol w:w="941"/>
        <w:gridCol w:w="1125"/>
      </w:tblGrid>
      <w:tr w14:paraId="28734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174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textAlignment w:val="baseline"/>
              <w:rPr>
                <w:rFonts w:hint="eastAsia" w:ascii="宋体" w:hAnsi="宋体" w:eastAsia="宋体" w:cs="宋体"/>
                <w:i w:val="0"/>
                <w:iCs w:val="0"/>
                <w:color w:val="000000"/>
                <w:sz w:val="21"/>
                <w:szCs w:val="21"/>
                <w:u w:val="none"/>
              </w:rPr>
            </w:pPr>
            <w:r>
              <w:rPr>
                <w:rFonts w:hint="eastAsia" w:ascii="仿宋" w:hAnsi="仿宋" w:eastAsia="仿宋" w:cs="仿宋"/>
                <w:i w:val="0"/>
                <w:iCs w:val="0"/>
                <w:caps w:val="0"/>
                <w:color w:val="000000"/>
                <w:spacing w:val="0"/>
                <w:sz w:val="31"/>
                <w:szCs w:val="31"/>
                <w:vertAlign w:val="baseline"/>
              </w:rPr>
              <w:t> </w:t>
            </w:r>
            <w:r>
              <w:rPr>
                <w:rFonts w:hint="eastAsia" w:ascii="宋体" w:hAnsi="宋体" w:eastAsia="宋体" w:cs="宋体"/>
                <w:i w:val="0"/>
                <w:iCs w:val="0"/>
                <w:color w:val="000000"/>
                <w:kern w:val="0"/>
                <w:sz w:val="21"/>
                <w:szCs w:val="21"/>
                <w:u w:val="none"/>
                <w:lang w:val="en-US" w:eastAsia="zh-CN" w:bidi="ar"/>
              </w:rPr>
              <w:t>编号</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BA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物资名称</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E6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DA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A5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A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生产厂家</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EE0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送到单价（元）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6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金额(元)</w:t>
            </w:r>
          </w:p>
        </w:tc>
      </w:tr>
      <w:tr w14:paraId="66318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2A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BA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硼酸</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FF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粉末状，净含量500g，分析纯AR,分子式：H3BO3，含量≥99.5%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5C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C0E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瓶</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33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西陇化工</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E846">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5F66">
            <w:pPr>
              <w:rPr>
                <w:rFonts w:hint="eastAsia" w:ascii="宋体" w:hAnsi="宋体" w:eastAsia="宋体" w:cs="宋体"/>
                <w:i w:val="0"/>
                <w:iCs w:val="0"/>
                <w:color w:val="000000"/>
                <w:sz w:val="21"/>
                <w:szCs w:val="21"/>
                <w:u w:val="none"/>
              </w:rPr>
            </w:pPr>
          </w:p>
        </w:tc>
      </w:tr>
      <w:tr w14:paraId="2CD18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CE8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合计</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CA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1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68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57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E7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356FC">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1ED10">
            <w:pPr>
              <w:rPr>
                <w:rFonts w:hint="eastAsia" w:ascii="宋体" w:hAnsi="宋体" w:eastAsia="宋体" w:cs="宋体"/>
                <w:i w:val="0"/>
                <w:iCs w:val="0"/>
                <w:color w:val="000000"/>
                <w:sz w:val="21"/>
                <w:szCs w:val="21"/>
                <w:u w:val="none"/>
              </w:rPr>
            </w:pPr>
          </w:p>
        </w:tc>
      </w:tr>
      <w:tr w14:paraId="6083C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70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FE643">
            <w:pP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备注：按要求报价，否则报价无效。</w:t>
            </w:r>
          </w:p>
        </w:tc>
      </w:tr>
    </w:tbl>
    <w:p w14:paraId="1B23AC3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textAlignment w:val="baseline"/>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vertAlign w:val="baseline"/>
        </w:rPr>
        <w:t>（六）质量要求：</w:t>
      </w:r>
    </w:p>
    <w:p w14:paraId="0B35BA8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1.产品质量符合国标。</w:t>
      </w:r>
    </w:p>
    <w:p w14:paraId="0F12396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2.产品合格证、材质报告等随货同行。</w:t>
      </w:r>
    </w:p>
    <w:p w14:paraId="4D27A5A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3.质量符合国家标准，在质保期内出现质量问题，出卖方免费更换。</w:t>
      </w:r>
    </w:p>
    <w:p w14:paraId="3ED16E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4.在质保期内，因质量问题影响生产，造成损失的，出卖方须赔偿生产损失。费用双方协商解决。</w:t>
      </w:r>
    </w:p>
    <w:p w14:paraId="467A717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（七）付款方式：货到验收合格一个月，付款60%，出卖方开具合同全额13%增值税发票给采购方。采购方收到发票后一个月内付清。</w:t>
      </w:r>
    </w:p>
    <w:p w14:paraId="6642A18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（八）报价为含税、含运费一票制（13%全额增值税专用发票）。</w:t>
      </w:r>
    </w:p>
    <w:p w14:paraId="1C8C156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（九）包装要求：木箱包装。包装物不计价，不回收。</w:t>
      </w:r>
    </w:p>
    <w:p w14:paraId="214CD0C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（十一）运输方式及到达站港和费用负担：汽车运输，运输费用由供方承担，运输车辆应加装符合国家安全管理需要的防火安全设备，如灭火器、防火罩等，否则不得进入采购人厂内。</w:t>
      </w:r>
    </w:p>
    <w:p w14:paraId="11E3A3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（十二）合理损耗及计算方法：无损耗，以采购方计量为准。</w:t>
      </w:r>
    </w:p>
    <w:p w14:paraId="1E172B0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（十三）验收标准、方法：依据本条第六款质量标准验收。</w:t>
      </w:r>
    </w:p>
    <w:p w14:paraId="11C1C62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（十四）供应商资格和履约能力要求：</w:t>
      </w:r>
    </w:p>
    <w:p w14:paraId="56B2C1B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1.资质要求：</w:t>
      </w:r>
    </w:p>
    <w:p w14:paraId="671A1BB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（1）供应商须为中华人民共和国境内依法注册的法人或者其他组织，有能力完成本项目的厂家或经销商，具备合法的营业执照；</w:t>
      </w:r>
    </w:p>
    <w:p w14:paraId="08D8137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（2）供应商已取得陕西锌业有限公司供应商库该类产品入库供应商资格。</w:t>
      </w:r>
    </w:p>
    <w:p w14:paraId="2891F01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w:t>
      </w:r>
      <w:r>
        <w:rPr>
          <w:rStyle w:val="12"/>
          <w:rFonts w:hint="eastAsia" w:ascii="仿宋" w:hAnsi="仿宋" w:eastAsia="仿宋" w:cs="仿宋"/>
          <w:i w:val="0"/>
          <w:iCs w:val="0"/>
          <w:caps w:val="0"/>
          <w:color w:val="000000"/>
          <w:spacing w:val="0"/>
          <w:sz w:val="31"/>
          <w:szCs w:val="31"/>
        </w:rPr>
        <w:t>3）供应商必须有易制毒经营相关手续方可参与，否则报价无效。</w:t>
      </w:r>
    </w:p>
    <w:p w14:paraId="1E8805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2.信用要求：</w:t>
      </w:r>
    </w:p>
    <w:p w14:paraId="172E3B8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（1）供应商具有良好的银行资信和商业信誉，没有处于被责令停业、财产被接管、冻结、破产状态（附承诺书）；</w:t>
      </w:r>
    </w:p>
    <w:p w14:paraId="55F3CF4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（2）供应商不得在“信用中国-中国执行信息公开网”被列为失信被执行人；</w:t>
      </w:r>
    </w:p>
    <w:p w14:paraId="2936E83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3.业绩要求：供应商2022年3月至今具有类似业绩（提供合同复印件，时间以合同签订时间为准）；</w:t>
      </w:r>
    </w:p>
    <w:p w14:paraId="5F22D38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4.联合体响应：本项目不接受联合体响应。</w:t>
      </w:r>
    </w:p>
    <w:p w14:paraId="1053C9C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5.其他要求：</w:t>
      </w:r>
    </w:p>
    <w:p w14:paraId="379130B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供应商不得存在下列情形之一：</w:t>
      </w:r>
    </w:p>
    <w:p w14:paraId="6BF81E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（1）与采购人存在利害关系可能影响询比采购公正性；</w:t>
      </w:r>
    </w:p>
    <w:p w14:paraId="21B8A30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（2）法定代表人（单位负责人）为同一人或者存在控股、管理关系的不同法人或其他组织同时参加询比采购；</w:t>
      </w:r>
    </w:p>
    <w:p w14:paraId="4EBED36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（3）被依法暂停或者取消询比采购资格；</w:t>
      </w:r>
    </w:p>
    <w:p w14:paraId="26B8152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（4）被责令停产停业、暂扣或者吊销许可证、暂扣或者吊销执照；</w:t>
      </w:r>
    </w:p>
    <w:p w14:paraId="044D4ED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（5）进入清算程序，或被宣告破产，或其他丧失履约能力的情形；</w:t>
      </w:r>
    </w:p>
    <w:p w14:paraId="72DD581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（6）在最近三年内发生重大产品质量问题；</w:t>
      </w:r>
    </w:p>
    <w:p w14:paraId="3C566FA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（7）法律法规规定的其他情形。</w:t>
      </w:r>
    </w:p>
    <w:p w14:paraId="52D62A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二、询比采购文件的获取</w:t>
      </w:r>
    </w:p>
    <w:p w14:paraId="2217322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询比采购文件在陕西锌业有限公司网络询比采购平台（www.sxxyjjpt.com）发布，符合条件的供应商可自行下载采购文件。</w:t>
      </w:r>
    </w:p>
    <w:p w14:paraId="6F9769B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三、供应商响应</w:t>
      </w:r>
    </w:p>
    <w:p w14:paraId="2E4F6F3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（一）响应报价</w:t>
      </w:r>
    </w:p>
    <w:p w14:paraId="3C21995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1.供应商应按“响应文件格式”要求在响应函中进行报价并填写响应文件的开启一览表。</w:t>
      </w:r>
    </w:p>
    <w:p w14:paraId="1DC5480D">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2.报价包括商检费、运输费、保险费、税费以及采购人指定地点全包价。该价款不因原料、材料、劳务、能源等市场价格的变动而变动。</w:t>
      </w:r>
    </w:p>
    <w:p w14:paraId="4A375A62">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3.供应商在响应文件递交截止时间前修改响应函中的响应报价总额，应同时修改响应文件“响应文件的开启一览表”、“分项报价表”中的相应报价。</w:t>
      </w:r>
    </w:p>
    <w:p w14:paraId="3738920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4.响应报价为各分项报价金额之和，响应报价与分项报价的合价不一致的，应以各分项合价累计数为准，修正响应报价。</w:t>
      </w:r>
    </w:p>
    <w:p w14:paraId="324E405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5.成交供应商的响应报价是成交、签订合同及合同执行过程中的依据，不得进行实质性变动。</w:t>
      </w:r>
    </w:p>
    <w:p w14:paraId="273FA49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（二）响应有效期</w:t>
      </w:r>
    </w:p>
    <w:p w14:paraId="7EE9FA4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1.响应有效期从提交响应文件截止之日起算30天。</w:t>
      </w:r>
    </w:p>
    <w:p w14:paraId="436C12E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2.在响应有效期内，供应商撤销响应文件的，应承担询比采购文件和法律规定的责任。</w:t>
      </w:r>
    </w:p>
    <w:p w14:paraId="3279759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（三）响应保证金</w:t>
      </w:r>
    </w:p>
    <w:p w14:paraId="1281E28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1.供应商在递交响应文件的同时，应按规定的响应保证金格式递交响应保证金壹仟元，并作为其响应文件的组成部分。</w:t>
      </w:r>
    </w:p>
    <w:p w14:paraId="1CBFB44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保证金支付账户如下：</w:t>
      </w:r>
    </w:p>
    <w:p w14:paraId="38ACC9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收款人：陕西锌业有限公司</w:t>
      </w:r>
    </w:p>
    <w:p w14:paraId="6F63F06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账号：26805701040010332</w:t>
      </w:r>
    </w:p>
    <w:p w14:paraId="541EC7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开户行：中国农业银行商洛商州区支行</w:t>
      </w:r>
    </w:p>
    <w:p w14:paraId="3075D31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2.响应保证金的形式：转账、保函、支票、签订保证金协议等任何一种。供应商以现金或者支票形式提交的响应保证金，应当从其基本账户转出并在响应文件中附上基本账户开户证明。</w:t>
      </w:r>
    </w:p>
    <w:p w14:paraId="6CF2C0D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3.响应保证金必须在响应文件递交截止时间前到达指定帐户。以保函形式缴纳保证金其保函须由银行或具有出具保函资格的单位出具，并于响应文件的开启现场递交保函原件，响应文件中附保函复印件。</w:t>
      </w:r>
    </w:p>
    <w:p w14:paraId="7416F5F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4.响应保证金有效期与响应有效期一致。</w:t>
      </w:r>
    </w:p>
    <w:p w14:paraId="1D8D8BC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5.供应商不按前述要求提交响应保证金的，评审小组将否决其响应文件。</w:t>
      </w:r>
    </w:p>
    <w:p w14:paraId="20CC9CA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6.采购人最迟应当在与成交人签订合同后7日内，向未成交的供应商和成交人无息退还响应保证金。</w:t>
      </w:r>
    </w:p>
    <w:p w14:paraId="1BAB51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7.有下列情形之一的，响应保证金将不予退还：</w:t>
      </w:r>
    </w:p>
    <w:p w14:paraId="2B05F0E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（1）供应商在响应有效期内撤销响应文件；</w:t>
      </w:r>
    </w:p>
    <w:p w14:paraId="32B20A0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成交人在收到成交通知书后，成交人放弃成交项目的，无正当理由不与采购人订立合同的，在签订合同时向采购人提出附加条件或者更改合同实质性内容的，或者拒不按照询比采购文件要求提交履约担保的。</w:t>
      </w:r>
    </w:p>
    <w:p w14:paraId="5AE261F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（四）资格审查资料</w:t>
      </w:r>
    </w:p>
    <w:p w14:paraId="23B48A5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供应商应按下列规定提供相关的证明材料，以证明其满足资质、财务、业绩、信誉要求。</w:t>
      </w:r>
    </w:p>
    <w:p w14:paraId="40019FA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基本情况表”应附供应商资格或者资质证书副本等材料的复印件，供应商为企业的，应提交营业执照复印件；供应商为依法允许经营的事业单位的，应提交事业单位法人证书和组织机构代码证的复印件。</w:t>
      </w:r>
    </w:p>
    <w:p w14:paraId="1BE3858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近年财务状况表”应附近两年来的供应商财务报表或经审计机构审计的财务会计报表，包括资产负债表、现金流量表、利润表和财务情况说明书的复印件，成立的时间不足两年的，应提供成立以来的财务状况。</w:t>
      </w:r>
    </w:p>
    <w:p w14:paraId="3B70E12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3.“近年完成的类似项目情况表”应附从2022年3月至今的合同复印件，每张表格只填写一个项目，并标明序号。</w:t>
      </w:r>
    </w:p>
    <w:p w14:paraId="47FF248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4.“近年发生的诉讼及仲裁情况”应说明相关情况，并附2022年3月至今的法院或仲裁机构作出的判决、裁决等有关法律文书复印件。</w:t>
      </w:r>
    </w:p>
    <w:p w14:paraId="3D6117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（五）响应文件的提交</w:t>
      </w:r>
    </w:p>
    <w:p w14:paraId="7E380A9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 响应文件提交截止时间：2025年</w:t>
      </w:r>
      <w:r>
        <w:rPr>
          <w:rFonts w:hint="eastAsia" w:ascii="仿宋" w:hAnsi="仿宋" w:eastAsia="仿宋" w:cs="仿宋"/>
          <w:i w:val="0"/>
          <w:iCs w:val="0"/>
          <w:caps w:val="0"/>
          <w:color w:val="000000"/>
          <w:spacing w:val="0"/>
          <w:sz w:val="31"/>
          <w:szCs w:val="31"/>
          <w:lang w:val="en-US" w:eastAsia="zh-CN"/>
        </w:rPr>
        <w:t>7</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28</w:t>
      </w:r>
      <w:r>
        <w:rPr>
          <w:rFonts w:hint="eastAsia" w:ascii="仿宋" w:hAnsi="仿宋" w:eastAsia="仿宋" w:cs="仿宋"/>
          <w:i w:val="0"/>
          <w:iCs w:val="0"/>
          <w:caps w:val="0"/>
          <w:color w:val="000000"/>
          <w:spacing w:val="0"/>
          <w:sz w:val="31"/>
          <w:szCs w:val="31"/>
        </w:rPr>
        <w:t>日14时；</w:t>
      </w:r>
    </w:p>
    <w:p w14:paraId="5302CE6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2.提交方法：陕西锌业有限公司网络询比采购平台（www.sxxyjjpt.com）</w:t>
      </w:r>
    </w:p>
    <w:p w14:paraId="6E51B8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联系人：</w:t>
      </w:r>
      <w:r>
        <w:rPr>
          <w:rFonts w:hint="eastAsia" w:ascii="仿宋" w:hAnsi="仿宋" w:eastAsia="仿宋" w:cs="仿宋"/>
          <w:i w:val="0"/>
          <w:iCs w:val="0"/>
          <w:caps w:val="0"/>
          <w:color w:val="000000"/>
          <w:spacing w:val="0"/>
          <w:sz w:val="31"/>
          <w:szCs w:val="31"/>
          <w:lang w:val="en-US" w:eastAsia="zh-CN"/>
        </w:rPr>
        <w:t>张小兵</w:t>
      </w:r>
      <w:r>
        <w:rPr>
          <w:rFonts w:hint="eastAsia" w:ascii="仿宋" w:hAnsi="仿宋" w:eastAsia="仿宋" w:cs="仿宋"/>
          <w:i w:val="0"/>
          <w:iCs w:val="0"/>
          <w:caps w:val="0"/>
          <w:color w:val="000000"/>
          <w:spacing w:val="0"/>
          <w:sz w:val="31"/>
          <w:szCs w:val="31"/>
        </w:rPr>
        <w:t>     电话： 0914-2552484</w:t>
      </w:r>
    </w:p>
    <w:p w14:paraId="03A5E7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四、响应文件开启时间及地点</w:t>
      </w:r>
    </w:p>
    <w:p w14:paraId="3C3193F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（一）响应文件的开启时间：2025年</w:t>
      </w:r>
      <w:r>
        <w:rPr>
          <w:rFonts w:hint="eastAsia" w:ascii="仿宋" w:hAnsi="仿宋" w:eastAsia="仿宋" w:cs="仿宋"/>
          <w:i w:val="0"/>
          <w:iCs w:val="0"/>
          <w:caps w:val="0"/>
          <w:color w:val="000000"/>
          <w:spacing w:val="0"/>
          <w:sz w:val="31"/>
          <w:szCs w:val="31"/>
          <w:lang w:val="en-US" w:eastAsia="zh-CN"/>
        </w:rPr>
        <w:t>7</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28</w:t>
      </w:r>
      <w:r>
        <w:rPr>
          <w:rFonts w:hint="eastAsia" w:ascii="仿宋" w:hAnsi="仿宋" w:eastAsia="仿宋" w:cs="仿宋"/>
          <w:i w:val="0"/>
          <w:iCs w:val="0"/>
          <w:caps w:val="0"/>
          <w:color w:val="000000"/>
          <w:spacing w:val="0"/>
          <w:sz w:val="31"/>
          <w:szCs w:val="31"/>
        </w:rPr>
        <w:t>日14时；</w:t>
      </w:r>
    </w:p>
    <w:p w14:paraId="66E414D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五、响应文件的评审</w:t>
      </w:r>
    </w:p>
    <w:p w14:paraId="7C62156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34D0F1B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（二）响应文件评审程序</w:t>
      </w:r>
    </w:p>
    <w:p w14:paraId="144BAC6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1.评审小组可以要求供应商提交第一条第五款规定的有关证明和证件的原件，评审小组对前述响应文件进行初步评审，有一项不符合评审标准的，评审小组应当否决其响应文件。</w:t>
      </w:r>
    </w:p>
    <w:p w14:paraId="26BB2E5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2.供应商有以下情形之一的，评审小组应当否决其响应：</w:t>
      </w:r>
    </w:p>
    <w:p w14:paraId="0BD03CC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（1）供应商未经过正常途径获取标书或供应商名称或组织结构与询比采购文件不一致且未提供有效证明的；</w:t>
      </w:r>
    </w:p>
    <w:p w14:paraId="11E1B74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（2）响应文件未经响应供应商单位盖章和单位负责人签字或盖章的；</w:t>
      </w:r>
    </w:p>
    <w:p w14:paraId="47402E3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（3）供应商未按询比采购文件要求交纳响应保证金的；</w:t>
      </w:r>
    </w:p>
    <w:p w14:paraId="7F1A67F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（4）供应商不符合询比采购文件规定的资格条件的；</w:t>
      </w:r>
    </w:p>
    <w:p w14:paraId="0C2338A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（5）供应商提交两份或多份内容不同的响应文件，或在同一份响应文件中有两个或多个报价，且未声明哪一个为最终报价的；</w:t>
      </w:r>
    </w:p>
    <w:p w14:paraId="590FFB7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（6）报价明显低于其他响应报价，且供应商不能合理说明或者提供相关证明材料，评审小组认定该供应商以低于成本价竞标的；</w:t>
      </w:r>
    </w:p>
    <w:p w14:paraId="28D3952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（7）响应文件有效期达不到询比采购文件要求的；</w:t>
      </w:r>
    </w:p>
    <w:p w14:paraId="3A8FDC2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（8）供应商方案出现严重漏项，已影响到该项目的实施的；</w:t>
      </w:r>
    </w:p>
    <w:p w14:paraId="7CF1ADB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（9）供应商有串通投标、弄虚作假、行贿等违法行为的。</w:t>
      </w:r>
    </w:p>
    <w:p w14:paraId="4BE5E27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3.响应报价有算术错误的，评审小组按以下原则要求供应商对响应报价进行书面澄清确认。供应商拒不澄清确认的，评审小组应当否决其响应文件：</w:t>
      </w:r>
    </w:p>
    <w:p w14:paraId="444A7F0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（1）响应文件中的大写金额与小写金额不一致的，以大写金额为准；</w:t>
      </w:r>
    </w:p>
    <w:p w14:paraId="084D6EA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（2）总价金额与单价金额不一致的，以单价金额为准，但单价金额小数点有明显错误的除外；</w:t>
      </w:r>
    </w:p>
    <w:p w14:paraId="12067DB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（3）响应报价为各分项报价金额之和，响应报价与分项报价的合价不一致的，应以各分项合价累计数为准，修正响应报价。</w:t>
      </w:r>
    </w:p>
    <w:p w14:paraId="30E72A5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评审小组发现供应商的报价明显低于其他响应报价，使得其响应报价可能低于其个别成本的，应当要求该供应商作出书面说明并提供相应的证明材料。供应商不能合理说明或者不能提供相应证明材料的，评审小组应当认定该供应商以低于成本报价竞标，并否决其响应文件。</w:t>
      </w:r>
    </w:p>
    <w:p w14:paraId="6714827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（四）响应文件的澄清</w:t>
      </w:r>
    </w:p>
    <w:p w14:paraId="2EC5664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在评审过程中，评审小组对响应文件中含义不明确、对同类问题表述不一致或者有明显文字和计算错误的内容可以书面形式要求供应商作必要的澄清、说明或补正。评审小组不接受供应商主动提出的澄清、说明或补正。</w:t>
      </w:r>
    </w:p>
    <w:p w14:paraId="7E42D4E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2.澄清、说明或补正不得超出响应文件的范围且不得改变响应文件的实质性内容，并构成响应文件的组成部分。</w:t>
      </w:r>
    </w:p>
    <w:p w14:paraId="1F34EC8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3.评审小组对供应商提交的澄清、说明或补正有疑问的，可以要求供应商进一步澄清、说明或补正，直至满足评审小组的要求。</w:t>
      </w:r>
    </w:p>
    <w:p w14:paraId="0D3DF06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（五）评审结果</w:t>
      </w:r>
    </w:p>
    <w:p w14:paraId="26C392D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1.评审小组按照评分格由高到低的顺序推荐成交候选人，并标明排序。</w:t>
      </w:r>
    </w:p>
    <w:p w14:paraId="5B673E4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2.评审小组完成评标后，应当向招标办公室提交书面评审报告和成交候选人名单。</w:t>
      </w:r>
    </w:p>
    <w:p w14:paraId="750BC9EA">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六、合同授予</w:t>
      </w:r>
    </w:p>
    <w:p w14:paraId="5B5E679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（一）成交候选人公示</w:t>
      </w:r>
    </w:p>
    <w:p w14:paraId="7CA5130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采购人招标办收到评审报告之日起3日内确定成交人，并在陕西锌业有限公司网络采购平台www.sxxyjjpt.com公示成交候选人，公示期不少于3天。</w:t>
      </w:r>
    </w:p>
    <w:p w14:paraId="4A4A23E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（二）评审结果异议</w:t>
      </w:r>
    </w:p>
    <w:p w14:paraId="7444C88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供应商或者其他利害关系人对评审结果有异议的，应当在成交候选人公示期间提出。采购人在收到异议之日起3日内对异议作出答复；作出答复前，将暂停询比采购活动。</w:t>
      </w:r>
    </w:p>
    <w:p w14:paraId="5F60E1C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（三）成交候选人履约能力审查</w:t>
      </w:r>
    </w:p>
    <w:p w14:paraId="595A536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成交候选人的经营、财务状况发生较大变化或存在违法行为，采购人认为可能影响其履约能力的，采购人招标办公室将在发出成交通知书前提请原评审小组按照询比采购文件规定的标准和方法进行审查和确认。</w:t>
      </w:r>
    </w:p>
    <w:p w14:paraId="139BAC1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（四）确定成交人</w:t>
      </w:r>
    </w:p>
    <w:p w14:paraId="5917709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采购人单位履行内部审批程序，根据评审小组的评审报告及成交人候选人名单确定成交人。</w:t>
      </w:r>
    </w:p>
    <w:p w14:paraId="3FDB8A2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（五）成交通知</w:t>
      </w:r>
    </w:p>
    <w:p w14:paraId="3E7F570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在响应有效期内，采购人采购主责部门以书面形式向成交人发出成交通知书，同时将成交结果通知未成交的供应商。</w:t>
      </w:r>
    </w:p>
    <w:p w14:paraId="7211CF8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（六）履约担保</w:t>
      </w:r>
    </w:p>
    <w:p w14:paraId="71FE52A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1.成交人应按合同金额的10%以担保函或转账形式在收到成交通知后3日内向采购人提交履约担保。</w:t>
      </w:r>
    </w:p>
    <w:p w14:paraId="0D2E845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2.成交人不能按前述要求提交履约担保的，视为放弃成交，其响应保证金不予退还，给采购人造成的损失超出响应保证金数额的，成交人还应当对超出部分予以赔偿。</w:t>
      </w:r>
    </w:p>
    <w:p w14:paraId="367B242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（七）签订合同</w:t>
      </w:r>
    </w:p>
    <w:p w14:paraId="7FC3C8B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采购人和成交供应商应当在响应有效期内，且在自成交通知书发出之日起7日内，根据询比采购文件和成交人的响应文件订立书面合同。成交人无正当理由拒签合同，或者提出其他附加条件的，采购人有权取消其成交资格，其响应保证金不予退还；给采购人造成的损失超出响应保证金数额的，成交供应商还应当对超出部分予以赔偿。</w:t>
      </w:r>
    </w:p>
    <w:p w14:paraId="5BBA296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仿宋" w:hAnsi="仿宋" w:eastAsia="仿宋" w:cs="仿宋"/>
          <w:i w:val="0"/>
          <w:iCs w:val="0"/>
          <w:caps w:val="0"/>
          <w:color w:val="000000"/>
          <w:spacing w:val="0"/>
          <w:sz w:val="31"/>
          <w:szCs w:val="31"/>
        </w:rPr>
      </w:pPr>
      <w:r>
        <w:rPr>
          <w:rFonts w:hint="eastAsia" w:ascii="仿宋" w:hAnsi="仿宋" w:eastAsia="仿宋" w:cs="仿宋"/>
          <w:i w:val="0"/>
          <w:iCs w:val="0"/>
          <w:caps w:val="0"/>
          <w:color w:val="000000"/>
          <w:spacing w:val="0"/>
          <w:sz w:val="31"/>
          <w:szCs w:val="31"/>
        </w:rPr>
        <w:t>2.发出成交通知书后，采购人无正当理由拒签合同的，或者提出其他附加条件的，采购人向成交人退还响应保证金；给成交人造成损失的，还应当赔偿损失。</w:t>
      </w:r>
    </w:p>
    <w:p w14:paraId="5E5D83E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default" w:ascii="仿宋" w:hAnsi="仿宋" w:eastAsia="仿宋" w:cs="仿宋"/>
          <w:i w:val="0"/>
          <w:iCs w:val="0"/>
          <w:caps w:val="0"/>
          <w:color w:val="000000"/>
          <w:spacing w:val="0"/>
          <w:sz w:val="31"/>
          <w:szCs w:val="31"/>
          <w:highlight w:val="yellow"/>
          <w:lang w:val="en-US" w:eastAsia="zh-CN"/>
        </w:rPr>
      </w:pPr>
      <w:r>
        <w:rPr>
          <w:rFonts w:hint="eastAsia" w:ascii="仿宋" w:hAnsi="仿宋" w:eastAsia="仿宋" w:cs="仿宋"/>
          <w:i w:val="0"/>
          <w:iCs w:val="0"/>
          <w:caps w:val="0"/>
          <w:color w:val="000000"/>
          <w:spacing w:val="0"/>
          <w:sz w:val="31"/>
          <w:szCs w:val="31"/>
          <w:highlight w:val="yellow"/>
          <w:lang w:val="en-US" w:eastAsia="zh-CN"/>
        </w:rPr>
        <w:t>3、本次询比入围的单位承接硼酸供货业务至2025年12月31日，有新的硼酸采购计划按本次入围单价发送供货通知后供货。</w:t>
      </w:r>
    </w:p>
    <w:p w14:paraId="5FE4881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七、纪律和监督</w:t>
      </w:r>
    </w:p>
    <w:p w14:paraId="737AD5C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（一）供应商不得相互串通投标或者与采购人串通投标，不得向采购人或者评审小组成员行贿谋取成交，不得以他人名义投标或者以其他方式弄虚作假骗取成交；供应商不得以任何方式干扰、影响评标工作。</w:t>
      </w:r>
    </w:p>
    <w:p w14:paraId="3299ABE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评审小组成员及相关工作人员不得收受他人的财物或者其他好处，不得向他人透露对响应文件的评审和比较、成交候选人的推荐情况以及评标有关的其他情况。在评审活动中，评审小组成员应当客观、公正地履行职责，遵守职业道德，不得擅离职守，影响评审程序正常进行，不得使用“评审办法”没有规定的评审因素和标准进行评审。</w:t>
      </w:r>
    </w:p>
    <w:p w14:paraId="25C96F3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（三）异议</w:t>
      </w:r>
    </w:p>
    <w:p w14:paraId="75F45C3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1.供应商或者其他利害关系人认为采购人采购活动存在不合法或违反民事活动中平等自愿、公平诚信原则情形的，可以直接向采购人单位招标办公室提出提出异议。</w:t>
      </w:r>
    </w:p>
    <w:p w14:paraId="34DAA3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2.招标办收到供应商提出的异议，应当依法、依规、妥善处理异议，并在收到异议之日起三个工作日内，对异议提出人做出答复。答复前，可暂停下一程序的采购活动。</w:t>
      </w:r>
    </w:p>
    <w:p w14:paraId="6842662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3.对响应采购供应商提出的异议，如属异议提出人对相关问题理解有误的，招标办应当详细做出解释；如经核查发现采购活动确实存在违法或违反本办法相关规定的，招标办应及时予以改正或补救。       </w:t>
      </w:r>
    </w:p>
    <w:p w14:paraId="5E456E3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448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w:t>
      </w:r>
    </w:p>
    <w:p w14:paraId="05286B6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448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w:t>
      </w:r>
    </w:p>
    <w:p w14:paraId="2C6F711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480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陕西锌业有限公司</w:t>
      </w:r>
    </w:p>
    <w:p w14:paraId="1051A6D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480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2025年</w:t>
      </w:r>
      <w:r>
        <w:rPr>
          <w:rFonts w:hint="eastAsia" w:ascii="仿宋" w:hAnsi="仿宋" w:eastAsia="仿宋" w:cs="仿宋"/>
          <w:i w:val="0"/>
          <w:iCs w:val="0"/>
          <w:caps w:val="0"/>
          <w:color w:val="000000"/>
          <w:spacing w:val="0"/>
          <w:sz w:val="31"/>
          <w:szCs w:val="31"/>
          <w:lang w:val="en-US" w:eastAsia="zh-CN"/>
        </w:rPr>
        <w:t>7</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23</w:t>
      </w:r>
      <w:r>
        <w:rPr>
          <w:rFonts w:hint="eastAsia" w:ascii="仿宋" w:hAnsi="仿宋" w:eastAsia="仿宋" w:cs="仿宋"/>
          <w:i w:val="0"/>
          <w:iCs w:val="0"/>
          <w:caps w:val="0"/>
          <w:color w:val="000000"/>
          <w:spacing w:val="0"/>
          <w:sz w:val="31"/>
          <w:szCs w:val="31"/>
        </w:rPr>
        <w:t>日</w:t>
      </w:r>
    </w:p>
    <w:p w14:paraId="78528F8F">
      <w:pPr>
        <w:pStyle w:val="2"/>
        <w:keepNext w:val="0"/>
        <w:keepLines w:val="0"/>
        <w:widowControl/>
        <w:suppressLineNumbers w:val="0"/>
        <w:ind w:left="0" w:firstLine="720"/>
        <w:jc w:val="both"/>
        <w:rPr>
          <w:rFonts w:hint="eastAsia" w:ascii="Noto Sans SC" w:hAnsi="Noto Sans SC" w:eastAsia="Noto Sans SC" w:cs="Noto Sans SC"/>
          <w:i w:val="0"/>
          <w:iCs w:val="0"/>
          <w:caps w:val="0"/>
          <w:color w:val="000000"/>
          <w:spacing w:val="0"/>
        </w:rPr>
      </w:pPr>
      <w:r>
        <w:rPr>
          <w:rStyle w:val="12"/>
          <w:rFonts w:hint="eastAsia" w:ascii="宋体" w:hAnsi="宋体" w:eastAsia="宋体" w:cs="宋体"/>
          <w:b/>
          <w:i w:val="0"/>
          <w:iCs w:val="0"/>
          <w:caps w:val="0"/>
          <w:color w:val="000000"/>
          <w:spacing w:val="0"/>
          <w:sz w:val="36"/>
          <w:szCs w:val="36"/>
        </w:rPr>
        <w:t> </w:t>
      </w:r>
    </w:p>
    <w:p w14:paraId="1EB460E6">
      <w:pPr>
        <w:pStyle w:val="2"/>
        <w:keepNext w:val="0"/>
        <w:keepLines w:val="0"/>
        <w:widowControl/>
        <w:suppressLineNumbers w:val="0"/>
        <w:ind w:left="0" w:firstLine="720"/>
        <w:jc w:val="both"/>
        <w:rPr>
          <w:rStyle w:val="12"/>
          <w:rFonts w:hint="eastAsia" w:ascii="宋体" w:hAnsi="宋体" w:eastAsia="宋体" w:cs="宋体"/>
          <w:b/>
          <w:i w:val="0"/>
          <w:iCs w:val="0"/>
          <w:caps w:val="0"/>
          <w:color w:val="000000"/>
          <w:spacing w:val="0"/>
          <w:sz w:val="36"/>
          <w:szCs w:val="36"/>
        </w:rPr>
      </w:pPr>
      <w:r>
        <w:rPr>
          <w:rStyle w:val="12"/>
          <w:rFonts w:hint="eastAsia" w:ascii="宋体" w:hAnsi="宋体" w:eastAsia="宋体" w:cs="宋体"/>
          <w:b/>
          <w:i w:val="0"/>
          <w:iCs w:val="0"/>
          <w:caps w:val="0"/>
          <w:color w:val="000000"/>
          <w:spacing w:val="0"/>
          <w:sz w:val="36"/>
          <w:szCs w:val="36"/>
        </w:rPr>
        <w:t> </w:t>
      </w:r>
    </w:p>
    <w:p w14:paraId="34DC7D3F">
      <w:pPr>
        <w:pStyle w:val="8"/>
        <w:keepNext w:val="0"/>
        <w:keepLines w:val="0"/>
        <w:widowControl/>
        <w:suppressLineNumbers w:val="0"/>
        <w:ind w:left="0" w:firstLine="0"/>
        <w:rPr>
          <w:rFonts w:hint="eastAsia" w:ascii="Noto Sans SC" w:hAnsi="Noto Sans SC" w:eastAsia="Noto Sans SC" w:cs="Noto Sans SC"/>
          <w:i w:val="0"/>
          <w:iCs w:val="0"/>
          <w:caps w:val="0"/>
          <w:color w:val="000000"/>
          <w:spacing w:val="0"/>
          <w:sz w:val="27"/>
          <w:szCs w:val="27"/>
        </w:rPr>
      </w:pPr>
      <w:r>
        <w:rPr>
          <w:rFonts w:hint="eastAsia" w:ascii="宋体" w:hAnsi="宋体" w:eastAsia="宋体" w:cs="宋体"/>
          <w:i w:val="0"/>
          <w:iCs w:val="0"/>
          <w:caps w:val="0"/>
          <w:color w:val="000000"/>
          <w:spacing w:val="0"/>
          <w:sz w:val="36"/>
          <w:szCs w:val="36"/>
        </w:rPr>
        <w:t>附：响应文件格式</w:t>
      </w:r>
    </w:p>
    <w:p w14:paraId="12AD27B2">
      <w:pPr>
        <w:spacing w:line="400" w:lineRule="exac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8"/>
          <w:szCs w:val="28"/>
          <w:highlight w:val="none"/>
        </w:rPr>
        <w:t>项目编号：</w:t>
      </w:r>
      <w:r>
        <w:rPr>
          <w:rFonts w:hint="eastAsia" w:asciiTheme="minorEastAsia" w:hAnsiTheme="minorEastAsia" w:eastAsiaTheme="minorEastAsia" w:cstheme="minorEastAsia"/>
          <w:color w:val="auto"/>
          <w:sz w:val="28"/>
          <w:szCs w:val="28"/>
          <w:highlight w:val="none"/>
          <w:lang w:val="en-US" w:eastAsia="zh-CN"/>
        </w:rPr>
        <w:t>XB20250</w:t>
      </w:r>
      <w:r>
        <w:rPr>
          <w:rFonts w:hint="eastAsia" w:asciiTheme="minorEastAsia" w:hAnsiTheme="minorEastAsia" w:cstheme="minorEastAsia"/>
          <w:color w:val="auto"/>
          <w:sz w:val="28"/>
          <w:szCs w:val="28"/>
          <w:highlight w:val="none"/>
          <w:lang w:val="en-US" w:eastAsia="zh-CN"/>
        </w:rPr>
        <w:t>718-02</w:t>
      </w:r>
    </w:p>
    <w:p w14:paraId="47DAE068">
      <w:pPr>
        <w:spacing w:line="400" w:lineRule="exact"/>
        <w:rPr>
          <w:rFonts w:hint="eastAsia" w:ascii="仿宋" w:hAnsi="仿宋" w:eastAsia="仿宋" w:cs="仿宋"/>
          <w:color w:val="auto"/>
          <w:sz w:val="32"/>
          <w:szCs w:val="32"/>
        </w:rPr>
      </w:pPr>
    </w:p>
    <w:p w14:paraId="4E681E6E">
      <w:pPr>
        <w:spacing w:line="400" w:lineRule="exact"/>
        <w:rPr>
          <w:rFonts w:hint="eastAsia" w:ascii="仿宋" w:hAnsi="仿宋" w:eastAsia="仿宋" w:cs="仿宋"/>
          <w:color w:val="auto"/>
          <w:sz w:val="32"/>
          <w:szCs w:val="32"/>
        </w:rPr>
      </w:pPr>
    </w:p>
    <w:p w14:paraId="7B70CE1F">
      <w:pPr>
        <w:spacing w:line="360" w:lineRule="auto"/>
        <w:jc w:val="center"/>
        <w:rPr>
          <w:rFonts w:hint="eastAsia" w:asciiTheme="minorEastAsia" w:hAnsiTheme="minorEastAsia" w:eastAsiaTheme="minorEastAsia" w:cstheme="minorEastAsia"/>
          <w:b/>
          <w:bCs/>
          <w:color w:val="auto"/>
          <w:sz w:val="44"/>
          <w:szCs w:val="44"/>
          <w:lang w:eastAsia="zh-CN"/>
        </w:rPr>
      </w:pPr>
      <w:r>
        <w:rPr>
          <w:rFonts w:hint="eastAsia" w:asciiTheme="minorEastAsia" w:hAnsiTheme="minorEastAsia" w:eastAsiaTheme="minorEastAsia" w:cstheme="minorEastAsia"/>
          <w:b/>
          <w:bCs/>
          <w:color w:val="auto"/>
          <w:sz w:val="44"/>
          <w:szCs w:val="44"/>
          <w:lang w:eastAsia="zh-CN"/>
        </w:rPr>
        <w:t>陕西锌业有限公司</w:t>
      </w:r>
    </w:p>
    <w:p w14:paraId="56CCC860">
      <w:pPr>
        <w:spacing w:line="360" w:lineRule="auto"/>
        <w:jc w:val="center"/>
        <w:rPr>
          <w:rFonts w:hint="eastAsia" w:asciiTheme="minorEastAsia" w:hAnsiTheme="minorEastAsia" w:eastAsiaTheme="minorEastAsia" w:cstheme="minorEastAsia"/>
          <w:b/>
          <w:bCs/>
          <w:color w:val="auto"/>
          <w:sz w:val="44"/>
          <w:szCs w:val="44"/>
          <w:lang w:val="en-US" w:eastAsia="zh-CN"/>
        </w:rPr>
      </w:pPr>
      <w:r>
        <w:rPr>
          <w:rFonts w:hint="eastAsia" w:asciiTheme="minorEastAsia" w:hAnsiTheme="minorEastAsia" w:eastAsiaTheme="minorEastAsia" w:cstheme="minorEastAsia"/>
          <w:b/>
          <w:bCs/>
          <w:color w:val="auto"/>
          <w:sz w:val="44"/>
          <w:szCs w:val="44"/>
          <w:lang w:val="en-US" w:eastAsia="zh-CN"/>
        </w:rPr>
        <w:t>2025年4月化学试剂等采购项目</w:t>
      </w:r>
      <w:r>
        <w:rPr>
          <w:rFonts w:hint="eastAsia" w:asciiTheme="minorEastAsia" w:hAnsiTheme="minorEastAsia" w:cstheme="minorEastAsia"/>
          <w:b/>
          <w:bCs/>
          <w:color w:val="auto"/>
          <w:sz w:val="44"/>
          <w:szCs w:val="44"/>
          <w:lang w:val="en-US" w:eastAsia="zh-CN"/>
        </w:rPr>
        <w:t>二次</w:t>
      </w:r>
      <w:r>
        <w:rPr>
          <w:rFonts w:hint="eastAsia" w:asciiTheme="minorEastAsia" w:hAnsiTheme="minorEastAsia" w:eastAsiaTheme="minorEastAsia" w:cstheme="minorEastAsia"/>
          <w:b/>
          <w:bCs/>
          <w:color w:val="auto"/>
          <w:sz w:val="44"/>
          <w:szCs w:val="44"/>
          <w:lang w:val="en-US" w:eastAsia="zh-CN"/>
        </w:rPr>
        <w:t>询比</w:t>
      </w:r>
      <w:r>
        <w:rPr>
          <w:rFonts w:hint="eastAsia" w:asciiTheme="minorEastAsia" w:hAnsiTheme="minorEastAsia" w:eastAsiaTheme="minorEastAsia" w:cstheme="minorEastAsia"/>
          <w:b/>
          <w:bCs/>
          <w:color w:val="auto"/>
          <w:sz w:val="44"/>
          <w:szCs w:val="44"/>
          <w:lang w:eastAsia="zh-CN"/>
        </w:rPr>
        <w:t>采购</w:t>
      </w:r>
    </w:p>
    <w:p w14:paraId="348EF0DF">
      <w:pPr>
        <w:rPr>
          <w:rFonts w:hint="eastAsia" w:asciiTheme="minorEastAsia" w:hAnsiTheme="minorEastAsia" w:eastAsiaTheme="minorEastAsia" w:cstheme="minorEastAsia"/>
          <w:b/>
          <w:bCs/>
          <w:color w:val="auto"/>
          <w:sz w:val="44"/>
          <w:szCs w:val="44"/>
        </w:rPr>
      </w:pPr>
    </w:p>
    <w:p w14:paraId="47203CAC">
      <w:pPr>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color w:val="auto"/>
          <w:sz w:val="44"/>
          <w:szCs w:val="44"/>
          <w:lang w:val="en-US" w:eastAsia="zh-CN"/>
        </w:rPr>
        <w:t>响 应</w:t>
      </w:r>
      <w:r>
        <w:rPr>
          <w:rFonts w:hint="eastAsia" w:asciiTheme="minorEastAsia" w:hAnsiTheme="minorEastAsia" w:eastAsiaTheme="minorEastAsia" w:cstheme="minorEastAsia"/>
          <w:b/>
          <w:bCs/>
          <w:color w:val="auto"/>
          <w:sz w:val="44"/>
          <w:szCs w:val="44"/>
        </w:rPr>
        <w:t xml:space="preserve"> 文 件</w:t>
      </w:r>
    </w:p>
    <w:p w14:paraId="1040E039">
      <w:pPr>
        <w:jc w:val="center"/>
        <w:rPr>
          <w:rFonts w:hint="eastAsia" w:asciiTheme="minorEastAsia" w:hAnsiTheme="minorEastAsia" w:eastAsiaTheme="minorEastAsia" w:cstheme="minorEastAsia"/>
          <w:b/>
          <w:bCs/>
          <w:color w:val="auto"/>
          <w:sz w:val="44"/>
          <w:szCs w:val="44"/>
        </w:rPr>
      </w:pPr>
    </w:p>
    <w:p w14:paraId="701CDFDB">
      <w:pPr>
        <w:rPr>
          <w:rFonts w:hint="eastAsia" w:asciiTheme="minorEastAsia" w:hAnsiTheme="minorEastAsia" w:eastAsiaTheme="minorEastAsia" w:cstheme="minorEastAsia"/>
          <w:color w:val="auto"/>
          <w:sz w:val="32"/>
          <w:szCs w:val="32"/>
        </w:rPr>
      </w:pPr>
    </w:p>
    <w:p w14:paraId="4D19A991">
      <w:pPr>
        <w:rPr>
          <w:rFonts w:hint="eastAsia" w:asciiTheme="minorEastAsia" w:hAnsiTheme="minorEastAsia" w:eastAsiaTheme="minorEastAsia" w:cstheme="minorEastAsia"/>
          <w:color w:val="auto"/>
          <w:sz w:val="32"/>
          <w:szCs w:val="32"/>
        </w:rPr>
      </w:pPr>
    </w:p>
    <w:p w14:paraId="17D04BD7">
      <w:pPr>
        <w:rPr>
          <w:rFonts w:hint="eastAsia" w:asciiTheme="minorEastAsia" w:hAnsiTheme="minorEastAsia" w:eastAsiaTheme="minorEastAsia" w:cstheme="minorEastAsia"/>
          <w:color w:val="auto"/>
          <w:sz w:val="32"/>
          <w:szCs w:val="32"/>
        </w:rPr>
      </w:pPr>
    </w:p>
    <w:p w14:paraId="316A74FF">
      <w:pPr>
        <w:rPr>
          <w:rFonts w:hint="eastAsia" w:asciiTheme="minorEastAsia" w:hAnsiTheme="minorEastAsia" w:eastAsiaTheme="minorEastAsia" w:cstheme="minorEastAsia"/>
          <w:color w:val="auto"/>
          <w:sz w:val="32"/>
          <w:szCs w:val="32"/>
        </w:rPr>
      </w:pPr>
    </w:p>
    <w:p w14:paraId="037F410D">
      <w:pPr>
        <w:rPr>
          <w:rFonts w:hint="eastAsia" w:asciiTheme="minorEastAsia" w:hAnsiTheme="minorEastAsia" w:eastAsiaTheme="minorEastAsia" w:cstheme="minorEastAsia"/>
          <w:color w:val="auto"/>
          <w:sz w:val="32"/>
          <w:szCs w:val="32"/>
        </w:rPr>
      </w:pPr>
    </w:p>
    <w:p w14:paraId="6FD94963">
      <w:pPr>
        <w:rPr>
          <w:rFonts w:hint="eastAsia" w:asciiTheme="minorEastAsia" w:hAnsiTheme="minorEastAsia" w:eastAsiaTheme="minorEastAsia" w:cstheme="minorEastAsia"/>
          <w:color w:val="auto"/>
          <w:sz w:val="32"/>
          <w:szCs w:val="32"/>
        </w:rPr>
      </w:pPr>
    </w:p>
    <w:p w14:paraId="7E836B21">
      <w:pPr>
        <w:rPr>
          <w:rFonts w:hint="eastAsia" w:ascii="仿宋" w:hAnsi="仿宋" w:eastAsia="仿宋" w:cs="仿宋"/>
          <w:color w:val="auto"/>
          <w:sz w:val="32"/>
          <w:szCs w:val="32"/>
        </w:rPr>
      </w:pPr>
    </w:p>
    <w:p w14:paraId="7F388BC0">
      <w:pPr>
        <w:rPr>
          <w:rFonts w:hint="eastAsia" w:ascii="仿宋" w:hAnsi="仿宋" w:eastAsia="仿宋" w:cs="仿宋"/>
          <w:color w:val="auto"/>
          <w:sz w:val="32"/>
          <w:szCs w:val="32"/>
        </w:rPr>
      </w:pPr>
    </w:p>
    <w:p w14:paraId="26962B84">
      <w:pPr>
        <w:spacing w:line="360" w:lineRule="auto"/>
        <w:rPr>
          <w:rFonts w:hint="eastAsia" w:ascii="仿宋" w:hAnsi="仿宋" w:eastAsia="仿宋" w:cs="仿宋"/>
          <w:color w:val="auto"/>
          <w:sz w:val="32"/>
          <w:szCs w:val="32"/>
        </w:rPr>
      </w:pPr>
    </w:p>
    <w:p w14:paraId="01A07917">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05A9AA0C">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57ABEB42">
      <w:pPr>
        <w:jc w:val="center"/>
        <w:rPr>
          <w:rFonts w:hint="eastAsia" w:ascii="宋体" w:hAnsi="宋体" w:eastAsia="宋体" w:cs="宋体"/>
          <w:b/>
          <w:bCs/>
          <w:color w:val="auto"/>
          <w:sz w:val="32"/>
          <w:szCs w:val="32"/>
        </w:rPr>
      </w:pPr>
    </w:p>
    <w:p w14:paraId="1AEE9FA3">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48D77D89">
      <w:pPr>
        <w:pStyle w:val="3"/>
        <w:jc w:val="center"/>
        <w:rPr>
          <w:rFonts w:hint="eastAsia" w:ascii="黑体" w:hAnsi="黑体" w:eastAsia="黑体" w:cs="黑体"/>
          <w:b/>
          <w:bCs w:val="0"/>
          <w:color w:val="auto"/>
          <w:sz w:val="36"/>
          <w:szCs w:val="36"/>
        </w:rPr>
      </w:pPr>
      <w:bookmarkStart w:id="0" w:name="_Toc3885"/>
      <w:bookmarkStart w:id="1"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0"/>
      <w:bookmarkEnd w:id="1"/>
    </w:p>
    <w:p w14:paraId="7FAFE262">
      <w:pPr>
        <w:spacing w:line="540" w:lineRule="exact"/>
        <w:rPr>
          <w:rFonts w:hint="eastAsia" w:ascii="仿宋" w:hAnsi="仿宋" w:eastAsia="仿宋" w:cs="仿宋"/>
          <w:color w:val="auto"/>
          <w:sz w:val="32"/>
          <w:szCs w:val="32"/>
        </w:rPr>
      </w:pPr>
    </w:p>
    <w:p w14:paraId="7BB2C25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658D1A3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4E4E435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0DFDA56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D738AEC">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4C07FA39">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2CDC58D2">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124D4634">
      <w:pPr>
        <w:pStyle w:val="3"/>
        <w:jc w:val="center"/>
        <w:rPr>
          <w:rFonts w:hint="eastAsia" w:ascii="黑体" w:hAnsi="黑体" w:eastAsia="黑体" w:cs="黑体"/>
          <w:b w:val="0"/>
          <w:bCs/>
          <w:color w:val="auto"/>
          <w:sz w:val="36"/>
          <w:szCs w:val="36"/>
        </w:rPr>
      </w:pPr>
      <w:bookmarkStart w:id="2" w:name="_Toc504488768"/>
      <w:bookmarkStart w:id="3" w:name="_Toc16531"/>
      <w:r>
        <w:rPr>
          <w:rFonts w:hint="eastAsia" w:ascii="黑体" w:hAnsi="黑体" w:eastAsia="黑体" w:cs="黑体"/>
          <w:b w:val="0"/>
          <w:bCs/>
          <w:color w:val="auto"/>
          <w:sz w:val="36"/>
          <w:szCs w:val="36"/>
        </w:rPr>
        <w:t>一、</w:t>
      </w:r>
      <w:bookmarkEnd w:id="2"/>
      <w:bookmarkEnd w:id="3"/>
      <w:r>
        <w:rPr>
          <w:rFonts w:hint="eastAsia" w:ascii="黑体" w:hAnsi="黑体" w:eastAsia="黑体" w:cs="黑体"/>
          <w:b w:val="0"/>
          <w:bCs/>
          <w:color w:val="auto"/>
          <w:sz w:val="36"/>
          <w:szCs w:val="36"/>
          <w:lang w:eastAsia="zh-CN"/>
        </w:rPr>
        <w:t>响应函</w:t>
      </w:r>
    </w:p>
    <w:p w14:paraId="3ADEA5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04B5E6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，并按合同约定履行义务。</w:t>
      </w:r>
    </w:p>
    <w:p w14:paraId="3FA4913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527EF4C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756FD125">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1B0C146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10B1EC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163FF054">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14D1AF53">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5CB0063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2424E4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7BFA1E3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E00B440">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6B604009">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46BFFEB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35509D06">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2EF670C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及有关资料内容完整、真实和准确，且不存在第二章“</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一条第九款第五</w:t>
      </w:r>
      <w:r>
        <w:rPr>
          <w:rFonts w:hint="eastAsia" w:ascii="仿宋" w:hAnsi="仿宋" w:eastAsia="仿宋" w:cs="仿宋"/>
          <w:color w:val="auto"/>
          <w:sz w:val="32"/>
          <w:szCs w:val="32"/>
        </w:rPr>
        <w:t>项规定的任何一种情形。</w:t>
      </w:r>
    </w:p>
    <w:p w14:paraId="6D04031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2A303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0B28DA2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3B2124A6">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6AFE17A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4414589">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273E895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76DABB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D00181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2926CA46">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172F14F">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770C5208">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EBBC88F">
      <w:pPr>
        <w:spacing w:line="440" w:lineRule="exact"/>
        <w:rPr>
          <w:rFonts w:hint="eastAsia" w:ascii="仿宋" w:hAnsi="仿宋" w:eastAsia="仿宋" w:cs="仿宋"/>
          <w:color w:val="auto"/>
          <w:sz w:val="32"/>
          <w:szCs w:val="32"/>
        </w:rPr>
      </w:pPr>
    </w:p>
    <w:p w14:paraId="0B26C1B3">
      <w:pPr>
        <w:spacing w:line="440" w:lineRule="exact"/>
        <w:rPr>
          <w:rFonts w:hint="eastAsia" w:ascii="仿宋" w:hAnsi="仿宋" w:eastAsia="仿宋" w:cs="仿宋"/>
          <w:color w:val="auto"/>
          <w:sz w:val="32"/>
          <w:szCs w:val="32"/>
        </w:rPr>
      </w:pPr>
    </w:p>
    <w:p w14:paraId="765B7916">
      <w:pPr>
        <w:spacing w:line="440" w:lineRule="exact"/>
        <w:rPr>
          <w:rFonts w:hint="eastAsia" w:ascii="仿宋" w:hAnsi="仿宋" w:eastAsia="仿宋" w:cs="仿宋"/>
          <w:color w:val="auto"/>
          <w:sz w:val="32"/>
          <w:szCs w:val="32"/>
        </w:rPr>
      </w:pPr>
    </w:p>
    <w:p w14:paraId="1450B9B0">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4" w:name="_Toc28734"/>
      <w:bookmarkStart w:id="5" w:name="_Toc504488769"/>
    </w:p>
    <w:p w14:paraId="5E48616F">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4"/>
      <w:bookmarkEnd w:id="5"/>
    </w:p>
    <w:p w14:paraId="3F3C3E91">
      <w:pPr>
        <w:spacing w:line="440" w:lineRule="exact"/>
        <w:rPr>
          <w:rFonts w:hint="eastAsia" w:ascii="仿宋" w:hAnsi="仿宋" w:eastAsia="仿宋" w:cs="仿宋"/>
          <w:color w:val="auto"/>
          <w:sz w:val="32"/>
          <w:szCs w:val="32"/>
        </w:rPr>
      </w:pPr>
    </w:p>
    <w:p w14:paraId="0CB80CD8">
      <w:pPr>
        <w:spacing w:line="440" w:lineRule="exact"/>
        <w:rPr>
          <w:rFonts w:hint="eastAsia" w:ascii="仿宋" w:hAnsi="仿宋" w:eastAsia="仿宋" w:cs="仿宋"/>
          <w:color w:val="auto"/>
          <w:sz w:val="32"/>
          <w:szCs w:val="32"/>
        </w:rPr>
      </w:pPr>
    </w:p>
    <w:p w14:paraId="3ADB02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E0E6F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6" w:name="_Toc369531698"/>
      <w:bookmarkStart w:id="7" w:name="_Toc27897"/>
      <w:bookmarkStart w:id="8"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6"/>
      <w:bookmarkEnd w:id="7"/>
      <w:bookmarkEnd w:id="8"/>
      <w:r>
        <w:rPr>
          <w:rFonts w:hint="eastAsia" w:ascii="仿宋" w:hAnsi="仿宋" w:eastAsia="仿宋" w:cs="仿宋"/>
          <w:color w:val="auto"/>
          <w:sz w:val="32"/>
          <w:szCs w:val="32"/>
        </w:rPr>
        <w:t>龄</w:t>
      </w:r>
      <w:bookmarkStart w:id="9" w:name="_Toc247527829"/>
      <w:bookmarkStart w:id="10" w:name="_Toc300835211"/>
      <w:bookmarkStart w:id="11" w:name="_Toc361508754"/>
      <w:bookmarkStart w:id="12" w:name="_Toc152042578"/>
      <w:bookmarkStart w:id="13" w:name="_Toc247514248"/>
      <w:bookmarkStart w:id="14" w:name="_Toc152045789"/>
      <w:bookmarkStart w:id="15" w:name="_Toc15573"/>
      <w:bookmarkStart w:id="16" w:name="_Toc144974858"/>
      <w:bookmarkStart w:id="17" w:name="_Toc384308377"/>
      <w:bookmarkStart w:id="18" w:name="_Toc369531699"/>
      <w:bookmarkStart w:id="19" w:name="_Toc352691663"/>
      <w:r>
        <w:rPr>
          <w:rFonts w:hint="eastAsia" w:ascii="仿宋" w:hAnsi="仿宋" w:eastAsia="仿宋" w:cs="仿宋"/>
          <w:color w:val="auto"/>
          <w:sz w:val="32"/>
          <w:szCs w:val="32"/>
        </w:rPr>
        <w:t>：</w:t>
      </w:r>
      <w:bookmarkEnd w:id="9"/>
      <w:bookmarkEnd w:id="10"/>
      <w:bookmarkEnd w:id="11"/>
      <w:bookmarkEnd w:id="12"/>
      <w:bookmarkEnd w:id="13"/>
      <w:bookmarkEnd w:id="14"/>
      <w:bookmarkEnd w:id="15"/>
      <w:bookmarkEnd w:id="16"/>
      <w:bookmarkEnd w:id="17"/>
      <w:bookmarkEnd w:id="18"/>
      <w:bookmarkEnd w:id="19"/>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727E1F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76BA0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229AB0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A81B2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513F800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C79BE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05140B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3E019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25896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22A98D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160D1FA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231C5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05A0ECA">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7A9B0588">
      <w:pPr>
        <w:pStyle w:val="3"/>
        <w:jc w:val="center"/>
        <w:rPr>
          <w:rFonts w:hint="eastAsia" w:ascii="黑体" w:hAnsi="黑体" w:eastAsia="黑体" w:cs="黑体"/>
          <w:color w:val="auto"/>
          <w:sz w:val="36"/>
          <w:szCs w:val="36"/>
        </w:rPr>
      </w:pPr>
      <w:bookmarkStart w:id="20" w:name="_Toc504488770"/>
      <w:bookmarkStart w:id="21" w:name="_Toc2777"/>
      <w:r>
        <w:rPr>
          <w:rFonts w:hint="eastAsia" w:ascii="黑体" w:hAnsi="黑体" w:eastAsia="黑体" w:cs="黑体"/>
          <w:color w:val="auto"/>
          <w:sz w:val="36"/>
          <w:szCs w:val="36"/>
        </w:rPr>
        <w:t>二、授权委托书</w:t>
      </w:r>
      <w:bookmarkEnd w:id="20"/>
      <w:bookmarkEnd w:id="21"/>
    </w:p>
    <w:p w14:paraId="1FB29867">
      <w:pPr>
        <w:spacing w:line="440" w:lineRule="exact"/>
        <w:rPr>
          <w:rFonts w:hint="eastAsia" w:ascii="仿宋" w:hAnsi="仿宋" w:eastAsia="仿宋" w:cs="仿宋"/>
          <w:color w:val="auto"/>
          <w:sz w:val="32"/>
          <w:szCs w:val="32"/>
        </w:rPr>
      </w:pPr>
    </w:p>
    <w:p w14:paraId="77672415">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62A8EBD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5829108C">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4237FCFA">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10F2AD8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29F04250">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C44908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5D2A2521">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142873B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5CA06CB5">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0A9B860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A63A096">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4AFACA6B">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75D94B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3668D27">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526EE6A8">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34728D20">
      <w:pPr>
        <w:pStyle w:val="3"/>
        <w:spacing w:after="0" w:line="413" w:lineRule="auto"/>
        <w:jc w:val="center"/>
        <w:rPr>
          <w:rFonts w:hint="eastAsia" w:ascii="黑体" w:hAnsi="黑体" w:eastAsia="黑体" w:cs="黑体"/>
          <w:color w:val="auto"/>
          <w:sz w:val="36"/>
          <w:szCs w:val="36"/>
          <w:u w:val="single"/>
          <w:lang w:eastAsia="zh-CN"/>
        </w:rPr>
      </w:pPr>
      <w:bookmarkStart w:id="22" w:name="_Toc504488772"/>
      <w:bookmarkStart w:id="23"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22"/>
      <w:bookmarkEnd w:id="23"/>
      <w:r>
        <w:rPr>
          <w:rFonts w:hint="eastAsia" w:ascii="黑体" w:hAnsi="黑体" w:eastAsia="黑体" w:cs="黑体"/>
          <w:color w:val="auto"/>
          <w:sz w:val="36"/>
          <w:szCs w:val="36"/>
          <w:lang w:eastAsia="zh-CN"/>
        </w:rPr>
        <w:t>响应保证金</w:t>
      </w:r>
    </w:p>
    <w:p w14:paraId="75E14C83">
      <w:pPr>
        <w:spacing w:line="440" w:lineRule="exact"/>
        <w:rPr>
          <w:rFonts w:hint="eastAsia" w:ascii="仿宋" w:hAnsi="仿宋" w:eastAsia="仿宋" w:cs="仿宋"/>
          <w:b/>
          <w:bCs/>
          <w:color w:val="auto"/>
          <w:sz w:val="32"/>
          <w:szCs w:val="32"/>
        </w:rPr>
      </w:pPr>
    </w:p>
    <w:p w14:paraId="4C5D9A9B">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2383DE00">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63C576C">
      <w:pPr>
        <w:spacing w:line="440" w:lineRule="exact"/>
        <w:rPr>
          <w:rFonts w:hint="eastAsia" w:ascii="仿宋" w:hAnsi="仿宋" w:eastAsia="仿宋" w:cs="仿宋"/>
          <w:color w:val="auto"/>
          <w:sz w:val="32"/>
          <w:szCs w:val="32"/>
          <w:u w:val="single"/>
        </w:rPr>
      </w:pPr>
    </w:p>
    <w:p w14:paraId="1E5D1F53">
      <w:pPr>
        <w:spacing w:line="440" w:lineRule="exact"/>
        <w:rPr>
          <w:rFonts w:hint="eastAsia" w:ascii="仿宋" w:hAnsi="仿宋" w:eastAsia="仿宋" w:cs="仿宋"/>
          <w:color w:val="auto"/>
          <w:sz w:val="32"/>
          <w:szCs w:val="32"/>
          <w:u w:val="single"/>
        </w:rPr>
      </w:pPr>
    </w:p>
    <w:p w14:paraId="066466DF">
      <w:pPr>
        <w:pStyle w:val="3"/>
        <w:pageBreakBefore/>
        <w:snapToGrid w:val="0"/>
        <w:spacing w:before="0" w:after="0" w:line="288" w:lineRule="auto"/>
        <w:rPr>
          <w:rFonts w:hint="eastAsia" w:ascii="仿宋" w:hAnsi="仿宋" w:eastAsia="仿宋" w:cs="仿宋"/>
          <w:color w:val="auto"/>
          <w:sz w:val="32"/>
          <w:szCs w:val="32"/>
        </w:rPr>
      </w:pPr>
      <w:bookmarkStart w:id="24"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4"/>
    </w:p>
    <w:p w14:paraId="22A347A6">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47DC541">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F3D87E1">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24C02FF8">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50D85536">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6464F15C">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1AD8B465">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74192458">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29B603C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41B6B359">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435B25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00ED14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059AC7C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537D944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3BA1E59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352144A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483BB9D1">
      <w:pPr>
        <w:snapToGrid w:val="0"/>
        <w:spacing w:line="312" w:lineRule="auto"/>
        <w:rPr>
          <w:rFonts w:hint="eastAsia" w:ascii="仿宋" w:hAnsi="仿宋" w:eastAsia="仿宋" w:cs="仿宋"/>
          <w:color w:val="auto"/>
          <w:sz w:val="32"/>
          <w:szCs w:val="32"/>
        </w:rPr>
      </w:pPr>
    </w:p>
    <w:p w14:paraId="79210290">
      <w:pPr>
        <w:snapToGrid w:val="0"/>
        <w:spacing w:line="312" w:lineRule="auto"/>
        <w:rPr>
          <w:rFonts w:hint="eastAsia" w:ascii="仿宋" w:hAnsi="仿宋" w:eastAsia="仿宋" w:cs="仿宋"/>
          <w:color w:val="auto"/>
          <w:sz w:val="32"/>
          <w:szCs w:val="32"/>
        </w:rPr>
      </w:pPr>
    </w:p>
    <w:p w14:paraId="76DC750B">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2B8FD0A4">
      <w:pPr>
        <w:snapToGrid w:val="0"/>
        <w:spacing w:line="312" w:lineRule="auto"/>
        <w:rPr>
          <w:rFonts w:hint="eastAsia" w:ascii="仿宋" w:hAnsi="仿宋" w:eastAsia="仿宋" w:cs="仿宋"/>
          <w:color w:val="auto"/>
          <w:sz w:val="32"/>
          <w:szCs w:val="32"/>
        </w:rPr>
      </w:pPr>
    </w:p>
    <w:p w14:paraId="1718DB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1C6D1514">
      <w:pPr>
        <w:snapToGrid w:val="0"/>
        <w:spacing w:line="312" w:lineRule="auto"/>
        <w:rPr>
          <w:rFonts w:hint="eastAsia" w:ascii="仿宋" w:hAnsi="仿宋" w:eastAsia="仿宋" w:cs="仿宋"/>
          <w:color w:val="auto"/>
          <w:sz w:val="32"/>
          <w:szCs w:val="32"/>
        </w:rPr>
      </w:pPr>
    </w:p>
    <w:p w14:paraId="66BFB8D3">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3C8805D4">
      <w:pPr>
        <w:snapToGrid w:val="0"/>
        <w:spacing w:line="312" w:lineRule="auto"/>
        <w:ind w:firstLine="1280" w:firstLineChars="400"/>
        <w:rPr>
          <w:rFonts w:hint="eastAsia" w:ascii="仿宋" w:hAnsi="仿宋" w:eastAsia="仿宋" w:cs="仿宋"/>
          <w:color w:val="auto"/>
          <w:sz w:val="32"/>
          <w:szCs w:val="32"/>
        </w:rPr>
      </w:pPr>
    </w:p>
    <w:p w14:paraId="404F3980">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0530853">
      <w:pPr>
        <w:pStyle w:val="8"/>
        <w:snapToGrid w:val="0"/>
        <w:spacing w:after="120"/>
        <w:ind w:firstLine="0" w:firstLineChars="0"/>
        <w:jc w:val="both"/>
        <w:rPr>
          <w:rFonts w:hint="eastAsia" w:ascii="仿宋" w:hAnsi="仿宋" w:eastAsia="仿宋" w:cs="仿宋"/>
          <w:color w:val="auto"/>
          <w:sz w:val="32"/>
          <w:szCs w:val="32"/>
        </w:rPr>
      </w:pPr>
    </w:p>
    <w:p w14:paraId="4BEAA704">
      <w:pPr>
        <w:pStyle w:val="8"/>
        <w:snapToGrid w:val="0"/>
        <w:spacing w:after="120"/>
        <w:ind w:firstLine="0" w:firstLineChars="0"/>
        <w:jc w:val="both"/>
        <w:rPr>
          <w:rFonts w:hint="eastAsia" w:ascii="仿宋" w:hAnsi="仿宋" w:eastAsia="仿宋" w:cs="仿宋"/>
          <w:color w:val="auto"/>
          <w:sz w:val="32"/>
          <w:szCs w:val="32"/>
        </w:rPr>
      </w:pPr>
    </w:p>
    <w:p w14:paraId="2518B5B0">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4EB3BAA6">
      <w:pPr>
        <w:widowControl/>
        <w:jc w:val="left"/>
        <w:rPr>
          <w:rFonts w:ascii="Times New Roman" w:hAnsi="Times New Roman"/>
          <w:color w:val="auto"/>
          <w:sz w:val="24"/>
          <w:szCs w:val="24"/>
        </w:rPr>
      </w:pPr>
    </w:p>
    <w:p w14:paraId="72152E25">
      <w:pPr>
        <w:spacing w:line="440" w:lineRule="exact"/>
        <w:jc w:val="center"/>
        <w:rPr>
          <w:rFonts w:ascii="Times New Roman" w:hAnsi="Times New Roman" w:eastAsia="黑体"/>
          <w:color w:val="auto"/>
          <w:sz w:val="27"/>
          <w:szCs w:val="27"/>
        </w:rPr>
      </w:pPr>
    </w:p>
    <w:p w14:paraId="5338BF59">
      <w:pPr>
        <w:spacing w:line="440" w:lineRule="exact"/>
        <w:ind w:firstLine="420" w:firstLineChars="200"/>
        <w:rPr>
          <w:rFonts w:ascii="Times New Roman" w:hAnsi="Times New Roman"/>
          <w:color w:val="auto"/>
          <w:szCs w:val="21"/>
        </w:rPr>
      </w:pPr>
    </w:p>
    <w:p w14:paraId="3E10EB64">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2E98455F">
      <w:pPr>
        <w:pStyle w:val="3"/>
        <w:numPr>
          <w:ilvl w:val="0"/>
          <w:numId w:val="1"/>
        </w:numPr>
        <w:ind w:left="0" w:leftChars="0" w:firstLine="723" w:firstLineChars="200"/>
        <w:jc w:val="left"/>
        <w:rPr>
          <w:rFonts w:hint="eastAsia" w:ascii="黑体" w:hAnsi="黑体" w:eastAsia="黑体" w:cs="黑体"/>
          <w:b/>
          <w:bCs/>
          <w:color w:val="auto"/>
          <w:kern w:val="2"/>
          <w:sz w:val="36"/>
          <w:szCs w:val="36"/>
          <w:lang w:val="en-US" w:eastAsia="zh-CN" w:bidi="ar-SA"/>
        </w:rPr>
      </w:pPr>
      <w:bookmarkStart w:id="25" w:name="_Toc504488775"/>
      <w:bookmarkStart w:id="26" w:name="_Toc1755"/>
      <w:r>
        <w:rPr>
          <w:rFonts w:hint="eastAsia" w:ascii="黑体" w:hAnsi="黑体" w:eastAsia="黑体" w:cs="黑体"/>
          <w:b/>
          <w:bCs/>
          <w:color w:val="auto"/>
          <w:kern w:val="2"/>
          <w:sz w:val="36"/>
          <w:szCs w:val="36"/>
          <w:lang w:val="en-US" w:eastAsia="zh-CN" w:bidi="ar-SA"/>
        </w:rPr>
        <w:t>分项报价表</w:t>
      </w:r>
    </w:p>
    <w:tbl>
      <w:tblPr>
        <w:tblStyle w:val="9"/>
        <w:tblpPr w:leftFromText="180" w:rightFromText="180" w:vertAnchor="text" w:horzAnchor="page" w:tblpX="782" w:tblpY="999"/>
        <w:tblOverlap w:val="never"/>
        <w:tblW w:w="10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1664"/>
        <w:gridCol w:w="2184"/>
        <w:gridCol w:w="870"/>
        <w:gridCol w:w="945"/>
        <w:gridCol w:w="1316"/>
        <w:gridCol w:w="941"/>
        <w:gridCol w:w="1125"/>
        <w:gridCol w:w="1125"/>
      </w:tblGrid>
      <w:tr w14:paraId="2C854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D0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D7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物资名称</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E7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E4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85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87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生产厂家</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5C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送到单价（元）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AF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金额(元)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0D6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备注</w:t>
            </w:r>
          </w:p>
        </w:tc>
      </w:tr>
      <w:tr w14:paraId="19AE3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6E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6B3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硼酸</w:t>
            </w: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0E3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粉末状，净含量500g，分析纯AR,分子式：H3BO3，含量≥99.5%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A9A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F81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瓶</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BA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西陇化工</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D3A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C4C9">
            <w:pP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1895">
            <w:pP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按要求报价，否则报价无效。</w:t>
            </w:r>
          </w:p>
        </w:tc>
      </w:tr>
      <w:tr w14:paraId="01A23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646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合计</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BD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25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B4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6C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A6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5907">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93EB9">
            <w:pP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E3E8">
            <w:pPr>
              <w:rPr>
                <w:rFonts w:hint="eastAsia" w:ascii="宋体" w:hAnsi="宋体" w:eastAsia="宋体" w:cs="宋体"/>
                <w:i w:val="0"/>
                <w:iCs w:val="0"/>
                <w:color w:val="000000"/>
                <w:sz w:val="21"/>
                <w:szCs w:val="21"/>
                <w:u w:val="none"/>
              </w:rPr>
            </w:pPr>
          </w:p>
        </w:tc>
      </w:tr>
    </w:tbl>
    <w:p w14:paraId="4394B0C2">
      <w:pPr>
        <w:pStyle w:val="3"/>
        <w:spacing w:after="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（7月渣处理化学试剂（硼酸）采购项目二次</w:t>
      </w:r>
      <w:r>
        <w:rPr>
          <w:rFonts w:hint="eastAsia" w:ascii="宋体" w:hAnsi="宋体" w:eastAsia="宋体" w:cs="宋体"/>
          <w:color w:val="auto"/>
          <w:sz w:val="28"/>
          <w:szCs w:val="28"/>
          <w:lang w:eastAsia="zh-CN"/>
        </w:rPr>
        <w:t>询比</w:t>
      </w:r>
      <w:r>
        <w:rPr>
          <w:rFonts w:hint="eastAsia" w:ascii="宋体" w:hAnsi="宋体" w:eastAsia="宋体" w:cs="宋体"/>
          <w:color w:val="auto"/>
          <w:sz w:val="28"/>
          <w:szCs w:val="28"/>
          <w:highlight w:val="none"/>
          <w:lang w:val="en-US" w:eastAsia="zh-CN"/>
        </w:rPr>
        <w:t xml:space="preserve">）  </w:t>
      </w:r>
      <w:bookmarkStart w:id="35" w:name="_GoBack"/>
      <w:bookmarkEnd w:id="35"/>
      <w:r>
        <w:rPr>
          <w:rFonts w:hint="eastAsia" w:ascii="宋体" w:hAnsi="宋体" w:eastAsia="宋体" w:cs="宋体"/>
          <w:color w:val="auto"/>
          <w:sz w:val="28"/>
          <w:szCs w:val="28"/>
          <w:highlight w:val="none"/>
          <w:lang w:val="en-US" w:eastAsia="zh-CN"/>
        </w:rPr>
        <w:t xml:space="preserve">                 </w:t>
      </w:r>
    </w:p>
    <w:p w14:paraId="42E91420">
      <w:pPr>
        <w:pStyle w:val="3"/>
        <w:spacing w:after="0"/>
        <w:ind w:firstLine="3092" w:firstLineChars="1100"/>
        <w:jc w:val="both"/>
        <w:rPr>
          <w:rFonts w:hint="eastAsia" w:ascii="宋体" w:hAnsi="宋体" w:eastAsia="宋体" w:cs="宋体"/>
          <w:color w:val="auto"/>
          <w:sz w:val="28"/>
          <w:szCs w:val="28"/>
          <w:highlight w:val="none"/>
          <w:lang w:val="en-US" w:eastAsia="zh-CN"/>
        </w:rPr>
      </w:pPr>
    </w:p>
    <w:p w14:paraId="4933965D">
      <w:pPr>
        <w:pStyle w:val="3"/>
        <w:spacing w:after="0"/>
        <w:ind w:firstLine="3313" w:firstLineChars="1100"/>
        <w:jc w:val="both"/>
        <w:rPr>
          <w:rFonts w:hint="eastAsia" w:ascii="宋体" w:hAnsi="宋体" w:eastAsia="宋体" w:cs="宋体"/>
          <w:b/>
          <w:bCs w:val="0"/>
          <w:color w:val="auto"/>
          <w:kern w:val="0"/>
          <w:sz w:val="30"/>
          <w:szCs w:val="30"/>
          <w:lang w:val="en-US" w:eastAsia="zh-CN"/>
        </w:rPr>
      </w:pPr>
    </w:p>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7D732114">
      <w:pPr>
        <w:ind w:firstLine="4216" w:firstLineChars="1400"/>
        <w:rPr>
          <w:rFonts w:hint="eastAsia" w:ascii="宋体" w:hAnsi="宋体" w:eastAsia="宋体" w:cs="宋体"/>
          <w:b/>
          <w:bCs w:val="0"/>
          <w:color w:val="auto"/>
          <w:kern w:val="0"/>
          <w:sz w:val="30"/>
          <w:szCs w:val="30"/>
          <w:lang w:val="en-US" w:eastAsia="zh-CN"/>
        </w:rPr>
      </w:pP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仿宋" w:hAnsi="仿宋" w:eastAsia="仿宋" w:cs="仿宋"/>
          <w:color w:val="auto"/>
          <w:sz w:val="32"/>
          <w:szCs w:val="32"/>
          <w:lang w:val="en-US" w:eastAsia="zh-CN"/>
        </w:rPr>
      </w:pPr>
      <w:r>
        <w:rPr>
          <w:rFonts w:hint="eastAsia" w:ascii="宋体" w:hAnsi="宋体" w:eastAsia="宋体" w:cs="宋体"/>
          <w:b/>
          <w:bCs w:val="0"/>
          <w:color w:val="auto"/>
          <w:kern w:val="0"/>
          <w:sz w:val="30"/>
          <w:szCs w:val="30"/>
          <w:lang w:val="en-US" w:eastAsia="zh-CN"/>
        </w:rPr>
        <w:t>报价日期：   年   月   日</w:t>
      </w:r>
    </w:p>
    <w:p w14:paraId="201A002C">
      <w:pPr>
        <w:spacing w:line="360" w:lineRule="auto"/>
        <w:jc w:val="both"/>
        <w:rPr>
          <w:rFonts w:ascii="Times New Roman" w:hAnsi="Times New Roman"/>
          <w:color w:val="auto"/>
        </w:rPr>
      </w:pPr>
      <w:r>
        <w:rPr>
          <w:rFonts w:hint="eastAsia" w:ascii="宋体" w:hAnsi="宋体" w:eastAsia="宋体" w:cs="宋体"/>
          <w:color w:val="auto"/>
          <w:kern w:val="0"/>
          <w:sz w:val="28"/>
          <w:szCs w:val="28"/>
        </w:rPr>
        <w:br w:type="page"/>
      </w: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25"/>
      <w:bookmarkEnd w:id="26"/>
    </w:p>
    <w:p w14:paraId="17B24FC5">
      <w:pPr>
        <w:pStyle w:val="4"/>
        <w:spacing w:before="20" w:after="0"/>
        <w:ind w:firstLine="103"/>
        <w:rPr>
          <w:rFonts w:ascii="Times New Roman"/>
          <w:color w:val="auto"/>
          <w:sz w:val="32"/>
          <w:szCs w:val="32"/>
        </w:rPr>
      </w:pPr>
      <w:bookmarkStart w:id="27" w:name="_Toc504488776"/>
      <w:bookmarkStart w:id="28" w:name="_Toc13906"/>
      <w:r>
        <w:rPr>
          <w:rFonts w:hint="eastAsia" w:ascii="Times New Roman"/>
          <w:color w:val="auto"/>
          <w:sz w:val="32"/>
          <w:szCs w:val="32"/>
        </w:rPr>
        <w:t>（一）基本情况表</w:t>
      </w:r>
      <w:bookmarkEnd w:id="27"/>
      <w:bookmarkEnd w:id="28"/>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02832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54CDC3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6307" w:type="dxa"/>
            <w:gridSpan w:val="4"/>
            <w:tcBorders>
              <w:top w:val="single" w:color="auto" w:sz="4" w:space="0"/>
              <w:left w:val="single" w:color="auto" w:sz="4" w:space="0"/>
              <w:bottom w:val="single" w:color="auto" w:sz="4" w:space="0"/>
            </w:tcBorders>
            <w:noWrap w:val="0"/>
            <w:vAlign w:val="center"/>
          </w:tcPr>
          <w:p w14:paraId="1D4C62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20C1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095034B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5A29CF4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348434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958" w:type="dxa"/>
            <w:tcBorders>
              <w:top w:val="single" w:color="auto" w:sz="4" w:space="0"/>
              <w:left w:val="single" w:color="auto" w:sz="4" w:space="0"/>
              <w:bottom w:val="single" w:color="auto" w:sz="4" w:space="0"/>
            </w:tcBorders>
            <w:noWrap w:val="0"/>
            <w:vAlign w:val="center"/>
          </w:tcPr>
          <w:p w14:paraId="50235CF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19F7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D701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6307" w:type="dxa"/>
            <w:gridSpan w:val="4"/>
            <w:tcBorders>
              <w:top w:val="single" w:color="auto" w:sz="4" w:space="0"/>
              <w:left w:val="single" w:color="auto" w:sz="4" w:space="0"/>
              <w:bottom w:val="single" w:color="auto" w:sz="4" w:space="0"/>
            </w:tcBorders>
            <w:noWrap w:val="0"/>
            <w:vAlign w:val="center"/>
          </w:tcPr>
          <w:p w14:paraId="3075EC3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7F5BF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790426C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341557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8ABBD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员工总数</w:t>
            </w:r>
          </w:p>
        </w:tc>
        <w:tc>
          <w:tcPr>
            <w:tcW w:w="1958" w:type="dxa"/>
            <w:tcBorders>
              <w:top w:val="single" w:color="auto" w:sz="4" w:space="0"/>
              <w:left w:val="single" w:color="auto" w:sz="4" w:space="0"/>
              <w:bottom w:val="single" w:color="auto" w:sz="4" w:space="0"/>
            </w:tcBorders>
            <w:noWrap w:val="0"/>
            <w:vAlign w:val="center"/>
          </w:tcPr>
          <w:p w14:paraId="6302DF0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596B8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C23FB1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06276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87E965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4E939E7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01D1FDE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C5CE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3B243F53">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4"/>
                <w:szCs w:val="24"/>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FCD33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F5356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96F572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1958" w:type="dxa"/>
            <w:tcBorders>
              <w:top w:val="single" w:color="auto" w:sz="4" w:space="0"/>
              <w:left w:val="single" w:color="auto" w:sz="4" w:space="0"/>
              <w:bottom w:val="single" w:color="auto" w:sz="4" w:space="0"/>
            </w:tcBorders>
            <w:noWrap w:val="0"/>
            <w:vAlign w:val="center"/>
          </w:tcPr>
          <w:p w14:paraId="2F39EDB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E812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9839A0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2F6984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BB8697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CBBAA9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0EC27C6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486B22D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2267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exact"/>
        </w:trPr>
        <w:tc>
          <w:tcPr>
            <w:tcW w:w="2210" w:type="dxa"/>
            <w:tcBorders>
              <w:top w:val="single" w:color="auto" w:sz="4" w:space="0"/>
              <w:bottom w:val="single" w:color="auto" w:sz="4" w:space="0"/>
              <w:right w:val="single" w:color="auto" w:sz="4" w:space="0"/>
            </w:tcBorders>
            <w:noWrap w:val="0"/>
            <w:vAlign w:val="center"/>
          </w:tcPr>
          <w:p w14:paraId="0DF268F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8EF5178">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等级：</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证书号：</w:t>
            </w:r>
          </w:p>
        </w:tc>
      </w:tr>
      <w:tr w14:paraId="549E3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19F20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6307" w:type="dxa"/>
            <w:gridSpan w:val="4"/>
            <w:tcBorders>
              <w:top w:val="single" w:color="auto" w:sz="4" w:space="0"/>
              <w:left w:val="single" w:color="auto" w:sz="4" w:space="0"/>
              <w:bottom w:val="single" w:color="auto" w:sz="4" w:space="0"/>
            </w:tcBorders>
            <w:noWrap w:val="0"/>
            <w:vAlign w:val="center"/>
          </w:tcPr>
          <w:p w14:paraId="6C024C3E">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p>
        </w:tc>
      </w:tr>
      <w:tr w14:paraId="1ABF5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31D63E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6307" w:type="dxa"/>
            <w:gridSpan w:val="4"/>
            <w:tcBorders>
              <w:top w:val="single" w:color="auto" w:sz="4" w:space="0"/>
              <w:left w:val="single" w:color="auto" w:sz="4" w:space="0"/>
            </w:tcBorders>
            <w:noWrap w:val="0"/>
            <w:vAlign w:val="center"/>
          </w:tcPr>
          <w:p w14:paraId="3F30B1C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15C15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6C1D01B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近三年营业额</w:t>
            </w:r>
          </w:p>
        </w:tc>
        <w:tc>
          <w:tcPr>
            <w:tcW w:w="6307" w:type="dxa"/>
            <w:gridSpan w:val="4"/>
            <w:tcBorders>
              <w:top w:val="single" w:color="auto" w:sz="4" w:space="0"/>
              <w:left w:val="single" w:color="auto" w:sz="4" w:space="0"/>
            </w:tcBorders>
            <w:noWrap w:val="0"/>
            <w:vAlign w:val="center"/>
          </w:tcPr>
          <w:p w14:paraId="0D5CAFC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149E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exact"/>
        </w:trPr>
        <w:tc>
          <w:tcPr>
            <w:tcW w:w="2210" w:type="dxa"/>
            <w:tcBorders>
              <w:top w:val="single" w:color="auto" w:sz="4" w:space="0"/>
              <w:right w:val="single" w:color="auto" w:sz="4" w:space="0"/>
            </w:tcBorders>
            <w:noWrap w:val="0"/>
            <w:vAlign w:val="center"/>
          </w:tcPr>
          <w:p w14:paraId="599D3E7B">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关联企业情况（包括但不限于与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法定代表人（单位负责人）为同一人或者存在控股、管理关系的不同单位）</w:t>
            </w:r>
          </w:p>
        </w:tc>
        <w:tc>
          <w:tcPr>
            <w:tcW w:w="6307" w:type="dxa"/>
            <w:gridSpan w:val="4"/>
            <w:tcBorders>
              <w:top w:val="single" w:color="auto" w:sz="4" w:space="0"/>
              <w:left w:val="single" w:color="auto" w:sz="4" w:space="0"/>
            </w:tcBorders>
            <w:noWrap w:val="0"/>
            <w:vAlign w:val="center"/>
          </w:tcPr>
          <w:p w14:paraId="6869E707">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736AB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34493E0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响应文件所供</w:t>
            </w:r>
            <w:r>
              <w:rPr>
                <w:rFonts w:hint="eastAsia" w:ascii="宋体" w:hAnsi="宋体" w:eastAsia="宋体" w:cs="宋体"/>
                <w:color w:val="auto"/>
                <w:sz w:val="24"/>
                <w:szCs w:val="24"/>
              </w:rPr>
              <w:t>产品制造商名称</w:t>
            </w:r>
          </w:p>
        </w:tc>
        <w:tc>
          <w:tcPr>
            <w:tcW w:w="6307" w:type="dxa"/>
            <w:gridSpan w:val="4"/>
            <w:tcBorders>
              <w:top w:val="single" w:color="auto" w:sz="4" w:space="0"/>
              <w:left w:val="single" w:color="auto" w:sz="4" w:space="0"/>
            </w:tcBorders>
            <w:noWrap w:val="0"/>
            <w:vAlign w:val="center"/>
          </w:tcPr>
          <w:p w14:paraId="7049DF00">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2EC5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5092A3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307" w:type="dxa"/>
            <w:gridSpan w:val="4"/>
            <w:tcBorders>
              <w:top w:val="single" w:color="auto" w:sz="4" w:space="0"/>
              <w:left w:val="single" w:color="auto" w:sz="4" w:space="0"/>
              <w:bottom w:val="single" w:color="auto" w:sz="4" w:space="0"/>
            </w:tcBorders>
            <w:noWrap w:val="0"/>
            <w:vAlign w:val="center"/>
          </w:tcPr>
          <w:p w14:paraId="04BF656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bl>
    <w:p w14:paraId="354FC6B8">
      <w:pPr>
        <w:spacing w:line="360" w:lineRule="auto"/>
        <w:ind w:firstLine="480" w:firstLineChars="200"/>
        <w:rPr>
          <w:rFonts w:hint="eastAsia" w:ascii="宋体" w:hAnsi="宋体" w:eastAsia="宋体" w:cs="宋体"/>
          <w:color w:val="auto"/>
          <w:sz w:val="24"/>
          <w:szCs w:val="24"/>
        </w:rPr>
      </w:pPr>
    </w:p>
    <w:p w14:paraId="1C6BC9E4">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应根据</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须知第</w:t>
      </w:r>
      <w:r>
        <w:rPr>
          <w:rFonts w:hint="eastAsia" w:ascii="宋体" w:hAnsi="宋体" w:eastAsia="宋体" w:cs="宋体"/>
          <w:b w:val="0"/>
          <w:bCs w:val="0"/>
          <w:color w:val="auto"/>
          <w:sz w:val="24"/>
          <w:szCs w:val="24"/>
          <w:lang w:val="en-US" w:eastAsia="zh-CN"/>
        </w:rPr>
        <w:t>三条第5款第1</w:t>
      </w:r>
      <w:r>
        <w:rPr>
          <w:rFonts w:hint="eastAsia" w:ascii="宋体" w:hAnsi="宋体" w:eastAsia="宋体" w:cs="宋体"/>
          <w:b w:val="0"/>
          <w:bCs w:val="0"/>
          <w:color w:val="auto"/>
          <w:sz w:val="24"/>
          <w:szCs w:val="24"/>
        </w:rPr>
        <w:t>项的要求在本表后附相关证明材料。境内</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以现金（电汇）或者支票形式提交</w:t>
      </w:r>
      <w:r>
        <w:rPr>
          <w:rFonts w:hint="eastAsia" w:ascii="宋体" w:hAnsi="宋体" w:eastAsia="宋体" w:cs="宋体"/>
          <w:b w:val="0"/>
          <w:bCs w:val="0"/>
          <w:color w:val="auto"/>
          <w:sz w:val="24"/>
          <w:szCs w:val="24"/>
          <w:lang w:eastAsia="zh-CN"/>
        </w:rPr>
        <w:t>响应保证金</w:t>
      </w:r>
      <w:r>
        <w:rPr>
          <w:rFonts w:hint="eastAsia" w:ascii="宋体" w:hAnsi="宋体" w:eastAsia="宋体" w:cs="宋体"/>
          <w:b w:val="0"/>
          <w:bCs w:val="0"/>
          <w:color w:val="auto"/>
          <w:sz w:val="24"/>
          <w:szCs w:val="24"/>
        </w:rPr>
        <w:t>的，还应附基本账户开户许可证复印件。</w:t>
      </w:r>
    </w:p>
    <w:p w14:paraId="2A624231">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附营业执照复印件、财务状况承诺、</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07B59F5">
      <w:pPr>
        <w:rPr>
          <w:b/>
          <w:color w:val="auto"/>
          <w:sz w:val="28"/>
          <w:szCs w:val="28"/>
        </w:rPr>
      </w:pPr>
      <w:r>
        <w:rPr>
          <w:rFonts w:hint="eastAsia" w:ascii="宋体" w:hAnsi="宋体" w:eastAsia="宋体" w:cs="宋体"/>
          <w:color w:val="auto"/>
          <w:sz w:val="24"/>
          <w:szCs w:val="24"/>
        </w:rPr>
        <w:br w:type="page"/>
      </w:r>
    </w:p>
    <w:p w14:paraId="1179FBAA">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1977C54">
      <w:pPr>
        <w:spacing w:line="440" w:lineRule="exact"/>
        <w:ind w:firstLine="643" w:firstLineChars="200"/>
        <w:jc w:val="left"/>
        <w:rPr>
          <w:rFonts w:hint="eastAsia" w:ascii="仿宋" w:hAnsi="仿宋" w:eastAsia="仿宋" w:cs="仿宋"/>
          <w:b/>
          <w:color w:val="auto"/>
          <w:sz w:val="32"/>
          <w:szCs w:val="32"/>
          <w:u w:val="single"/>
        </w:rPr>
      </w:pPr>
    </w:p>
    <w:p w14:paraId="73C103A9">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0D88311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242298A2">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0A52CB5A">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2B86B521">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5A299DD">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CD28C8A">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5C7AE380">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FEFDB2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D2206A7">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7B732824">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11BDDD21">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A09E4A8">
      <w:pPr>
        <w:pStyle w:val="4"/>
        <w:ind w:firstLine="103"/>
        <w:rPr>
          <w:rFonts w:ascii="Times New Roman"/>
          <w:color w:val="auto"/>
          <w:sz w:val="32"/>
          <w:szCs w:val="32"/>
        </w:rPr>
      </w:pPr>
      <w:bookmarkStart w:id="29" w:name="_Toc504488778"/>
      <w:bookmarkStart w:id="30"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近年完成的类似项目情况表</w:t>
      </w:r>
      <w:bookmarkEnd w:id="29"/>
      <w:bookmarkEnd w:id="30"/>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3583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69" w:type="dxa"/>
            <w:noWrap w:val="0"/>
            <w:vAlign w:val="center"/>
          </w:tcPr>
          <w:p w14:paraId="1EE3045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项目名称</w:t>
            </w:r>
          </w:p>
        </w:tc>
        <w:tc>
          <w:tcPr>
            <w:tcW w:w="6253" w:type="dxa"/>
            <w:noWrap w:val="0"/>
            <w:vAlign w:val="top"/>
          </w:tcPr>
          <w:p w14:paraId="30BD0B3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A9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69" w:type="dxa"/>
            <w:noWrap w:val="0"/>
            <w:vAlign w:val="center"/>
          </w:tcPr>
          <w:p w14:paraId="5F5F62D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买方名称</w:t>
            </w:r>
          </w:p>
        </w:tc>
        <w:tc>
          <w:tcPr>
            <w:tcW w:w="6253" w:type="dxa"/>
            <w:noWrap w:val="0"/>
            <w:vAlign w:val="top"/>
          </w:tcPr>
          <w:p w14:paraId="377E3D4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575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269" w:type="dxa"/>
            <w:noWrap w:val="0"/>
            <w:vAlign w:val="center"/>
          </w:tcPr>
          <w:p w14:paraId="3778DE8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买方联系人及电话</w:t>
            </w:r>
          </w:p>
        </w:tc>
        <w:tc>
          <w:tcPr>
            <w:tcW w:w="6253" w:type="dxa"/>
            <w:noWrap w:val="0"/>
            <w:vAlign w:val="top"/>
          </w:tcPr>
          <w:p w14:paraId="42A2B52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F9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269" w:type="dxa"/>
            <w:noWrap w:val="0"/>
            <w:vAlign w:val="center"/>
          </w:tcPr>
          <w:p w14:paraId="1F0D5B7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合同价格</w:t>
            </w:r>
          </w:p>
        </w:tc>
        <w:tc>
          <w:tcPr>
            <w:tcW w:w="6253" w:type="dxa"/>
            <w:noWrap w:val="0"/>
            <w:vAlign w:val="top"/>
          </w:tcPr>
          <w:p w14:paraId="4BF82528">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C77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519B872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项目概况及</w:t>
            </w:r>
            <w:r>
              <w:rPr>
                <w:rFonts w:hint="eastAsia" w:ascii="Times New Roman" w:hAnsi="Times New Roman"/>
                <w:color w:val="auto"/>
                <w:sz w:val="24"/>
                <w:szCs w:val="24"/>
                <w:lang w:eastAsia="zh-CN"/>
              </w:rPr>
              <w:t>供应商</w:t>
            </w:r>
            <w:r>
              <w:rPr>
                <w:rFonts w:hint="eastAsia" w:ascii="Times New Roman" w:hAnsi="Times New Roman"/>
                <w:color w:val="auto"/>
                <w:sz w:val="24"/>
                <w:szCs w:val="24"/>
              </w:rPr>
              <w:t>履约情况</w:t>
            </w:r>
          </w:p>
        </w:tc>
        <w:tc>
          <w:tcPr>
            <w:tcW w:w="6253" w:type="dxa"/>
            <w:noWrap w:val="0"/>
            <w:vAlign w:val="top"/>
          </w:tcPr>
          <w:p w14:paraId="7249D77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062A420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23B864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727BA9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1D7ABA6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BD243B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4DCDDDC">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276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2549A0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6253" w:type="dxa"/>
            <w:noWrap w:val="0"/>
            <w:vAlign w:val="top"/>
          </w:tcPr>
          <w:p w14:paraId="4580F8A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25988950">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时间以合同签订时间为准。</w:t>
      </w:r>
    </w:p>
    <w:p w14:paraId="276A01E2">
      <w:pPr>
        <w:spacing w:line="440" w:lineRule="exact"/>
        <w:ind w:firstLine="480" w:firstLineChars="200"/>
        <w:rPr>
          <w:color w:val="auto"/>
          <w:sz w:val="24"/>
          <w:szCs w:val="24"/>
        </w:rPr>
      </w:pPr>
    </w:p>
    <w:p w14:paraId="6CC8E8A1">
      <w:pPr>
        <w:spacing w:line="440" w:lineRule="exact"/>
        <w:rPr>
          <w:rFonts w:ascii="Times New Roman" w:hAnsi="Times New Roman"/>
          <w:color w:val="auto"/>
        </w:rPr>
      </w:pPr>
    </w:p>
    <w:p w14:paraId="3FD0BB8C">
      <w:pPr>
        <w:spacing w:line="440" w:lineRule="exact"/>
        <w:rPr>
          <w:rFonts w:ascii="Times New Roman" w:hAnsi="Times New Roman"/>
          <w:color w:val="auto"/>
        </w:rPr>
      </w:pPr>
    </w:p>
    <w:p w14:paraId="2A3C21A3">
      <w:pPr>
        <w:topLinePunct/>
        <w:spacing w:line="440" w:lineRule="exact"/>
        <w:rPr>
          <w:rFonts w:ascii="Times New Roman" w:hAnsi="Times New Roman"/>
          <w:color w:val="auto"/>
        </w:rPr>
      </w:pPr>
      <w:r>
        <w:rPr>
          <w:rFonts w:ascii="Times New Roman" w:hAnsi="Times New Roman"/>
          <w:color w:val="auto"/>
        </w:rPr>
        <w:br w:type="page"/>
      </w:r>
    </w:p>
    <w:p w14:paraId="7FCC6FAC">
      <w:pPr>
        <w:spacing w:line="440" w:lineRule="exact"/>
        <w:rPr>
          <w:rFonts w:ascii="Times New Roman"/>
          <w:b/>
          <w:bCs/>
          <w:color w:val="auto"/>
          <w:sz w:val="32"/>
          <w:szCs w:val="32"/>
        </w:rPr>
      </w:pPr>
      <w:bookmarkStart w:id="31" w:name="_Toc504488780"/>
      <w:bookmarkStart w:id="32" w:name="_Toc14234"/>
      <w:r>
        <w:rPr>
          <w:rFonts w:hint="eastAsia" w:ascii="Times New Roman"/>
          <w:b/>
          <w:bCs/>
          <w:color w:val="auto"/>
          <w:sz w:val="32"/>
          <w:szCs w:val="32"/>
        </w:rPr>
        <w:t>（</w:t>
      </w:r>
      <w:r>
        <w:rPr>
          <w:rFonts w:hint="eastAsia" w:ascii="Times New Roman"/>
          <w:b/>
          <w:bCs/>
          <w:color w:val="auto"/>
          <w:sz w:val="32"/>
          <w:szCs w:val="32"/>
          <w:lang w:val="en-US" w:eastAsia="zh-CN"/>
        </w:rPr>
        <w:t>三</w:t>
      </w:r>
      <w:r>
        <w:rPr>
          <w:rFonts w:hint="eastAsia" w:ascii="Times New Roman"/>
          <w:b/>
          <w:bCs/>
          <w:color w:val="auto"/>
          <w:sz w:val="32"/>
          <w:szCs w:val="32"/>
        </w:rPr>
        <w:t>）近</w:t>
      </w:r>
      <w:r>
        <w:rPr>
          <w:rFonts w:hint="eastAsia" w:ascii="Times New Roman"/>
          <w:b/>
          <w:bCs/>
          <w:color w:val="auto"/>
          <w:sz w:val="32"/>
          <w:szCs w:val="32"/>
          <w:lang w:val="en-US" w:eastAsia="zh-CN"/>
        </w:rPr>
        <w:t>三</w:t>
      </w:r>
      <w:r>
        <w:rPr>
          <w:rFonts w:hint="eastAsia" w:ascii="Times New Roman"/>
          <w:b/>
          <w:bCs/>
          <w:color w:val="auto"/>
          <w:sz w:val="32"/>
          <w:szCs w:val="32"/>
        </w:rPr>
        <w:t>年发生的诉讼及仲裁情况</w:t>
      </w:r>
      <w:bookmarkEnd w:id="31"/>
      <w:bookmarkEnd w:id="32"/>
    </w:p>
    <w:p w14:paraId="18E51C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598889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w:t>
      </w:r>
    </w:p>
    <w:p w14:paraId="0E89DA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应根据</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三条第五款第五</w:t>
      </w:r>
      <w:r>
        <w:rPr>
          <w:rFonts w:hint="eastAsia" w:ascii="仿宋" w:hAnsi="仿宋" w:eastAsia="仿宋" w:cs="仿宋"/>
          <w:color w:val="auto"/>
          <w:sz w:val="32"/>
          <w:szCs w:val="32"/>
        </w:rPr>
        <w:t>项的要求附相关证明材料；</w:t>
      </w:r>
    </w:p>
    <w:p w14:paraId="447674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如没有发生诉讼和仲裁的情况，需提供相关承诺，格式自拟。（</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不得虚假承诺，否则后果自负）</w:t>
      </w:r>
    </w:p>
    <w:p w14:paraId="355EBA68">
      <w:pPr>
        <w:rPr>
          <w:rFonts w:hint="eastAsia" w:ascii="Times New Roman" w:hAnsi="Times New Roman"/>
          <w:color w:val="auto"/>
        </w:rPr>
      </w:pPr>
    </w:p>
    <w:p w14:paraId="72BC3BBA">
      <w:pPr>
        <w:pStyle w:val="3"/>
        <w:spacing w:line="400" w:lineRule="exact"/>
        <w:jc w:val="both"/>
        <w:rPr>
          <w:rFonts w:hint="eastAsia" w:ascii="仿宋" w:hAnsi="仿宋" w:eastAsia="仿宋" w:cs="仿宋"/>
          <w:color w:val="auto"/>
          <w:sz w:val="32"/>
          <w:szCs w:val="32"/>
          <w:lang w:val="en-US" w:eastAsia="zh-CN"/>
        </w:rPr>
      </w:pPr>
      <w:bookmarkStart w:id="33" w:name="_Toc504488783"/>
      <w:bookmarkStart w:id="34" w:name="_Toc22199"/>
    </w:p>
    <w:p w14:paraId="7D18AA25">
      <w:pPr>
        <w:topLinePunct/>
        <w:spacing w:line="440" w:lineRule="exact"/>
        <w:ind w:firstLine="643" w:firstLineChars="200"/>
        <w:jc w:val="center"/>
        <w:rPr>
          <w:rFonts w:hint="eastAsia" w:ascii="Times New Roman" w:hAnsi="Times New Roman" w:eastAsia="黑体" w:cs="Times New Roman"/>
          <w:b/>
          <w:color w:val="auto"/>
          <w:kern w:val="2"/>
          <w:sz w:val="32"/>
          <w:szCs w:val="20"/>
          <w:lang w:val="en-US" w:eastAsia="zh-CN" w:bidi="ar-SA"/>
        </w:rPr>
      </w:pPr>
    </w:p>
    <w:bookmarkEnd w:id="33"/>
    <w:bookmarkEnd w:id="34"/>
    <w:p w14:paraId="667F07D5">
      <w:pPr>
        <w:topLinePunct/>
        <w:spacing w:line="440" w:lineRule="exact"/>
        <w:jc w:val="both"/>
        <w:rPr>
          <w:rFonts w:hint="eastAsia" w:ascii="Times New Roman" w:hAnsi="Times New Roman" w:eastAsia="黑体" w:cs="Times New Roman"/>
          <w:b/>
          <w:color w:val="auto"/>
          <w:kern w:val="2"/>
          <w:sz w:val="32"/>
          <w:szCs w:val="20"/>
          <w:lang w:val="en-US" w:eastAsia="zh-CN" w:bidi="ar-SA"/>
        </w:rPr>
      </w:pPr>
    </w:p>
    <w:p w14:paraId="497C9C52">
      <w:pPr>
        <w:rPr>
          <w:rFonts w:hint="eastAsia" w:ascii="Times New Roman" w:hAnsi="Times New Roman" w:eastAsia="黑体" w:cs="Times New Roman"/>
          <w:b/>
          <w:color w:val="auto"/>
          <w:kern w:val="2"/>
          <w:sz w:val="32"/>
          <w:szCs w:val="20"/>
          <w:lang w:val="en-US" w:eastAsia="zh-CN" w:bidi="ar-SA"/>
        </w:rPr>
      </w:pPr>
    </w:p>
    <w:p w14:paraId="1CE5E3A8">
      <w:pPr>
        <w:jc w:val="center"/>
        <w:rPr>
          <w:color w:val="auto"/>
        </w:rPr>
      </w:pPr>
    </w:p>
    <w:p w14:paraId="4B102116">
      <w:pPr>
        <w:rPr>
          <w:color w:val="auto"/>
        </w:rPr>
      </w:pPr>
    </w:p>
    <w:p w14:paraId="51F2EE5B">
      <w:pPr>
        <w:pStyle w:val="8"/>
        <w:keepNext w:val="0"/>
        <w:keepLines w:val="0"/>
        <w:widowControl/>
        <w:suppressLineNumbers w:val="0"/>
        <w:spacing w:before="0" w:beforeAutospacing="0" w:after="0" w:afterAutospacing="0" w:line="405" w:lineRule="atLeast"/>
        <w:ind w:left="0" w:firstLine="0"/>
        <w:jc w:val="center"/>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28"/>
          <w:szCs w:val="28"/>
        </w:rPr>
        <w:t> </w:t>
      </w:r>
    </w:p>
    <w:p w14:paraId="77FCB23A">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Fonts w:hint="eastAsia" w:ascii="仿宋" w:hAnsi="仿宋" w:eastAsia="仿宋" w:cs="仿宋"/>
          <w:i w:val="0"/>
          <w:iCs w:val="0"/>
          <w:caps w:val="0"/>
          <w:color w:val="000000"/>
          <w:spacing w:val="0"/>
          <w:sz w:val="28"/>
          <w:szCs w:val="28"/>
        </w:rPr>
        <w:t>                                         </w:t>
      </w:r>
      <w:r>
        <w:rPr>
          <w:rFonts w:hint="eastAsia" w:ascii="宋体" w:hAnsi="宋体" w:eastAsia="宋体" w:cs="宋体"/>
          <w:i w:val="0"/>
          <w:iCs w:val="0"/>
          <w:caps w:val="0"/>
          <w:color w:val="000000"/>
          <w:spacing w:val="0"/>
          <w:sz w:val="32"/>
          <w:szCs w:val="32"/>
        </w:rPr>
        <w:t> </w:t>
      </w:r>
    </w:p>
    <w:p w14:paraId="529EDBFF">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宋体" w:hAnsi="宋体" w:eastAsia="宋体" w:cs="宋体"/>
          <w:i w:val="0"/>
          <w:iCs w:val="0"/>
          <w:caps w:val="0"/>
          <w:color w:val="000000"/>
          <w:spacing w:val="0"/>
          <w:sz w:val="32"/>
          <w:szCs w:val="32"/>
          <w:lang w:val="en-US" w:eastAsia="zh-CN"/>
        </w:rPr>
        <w:t xml:space="preserve">                  </w:t>
      </w:r>
    </w:p>
    <w:p w14:paraId="668CCB30">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lang w:val="en-US" w:eastAsia="zh-CN"/>
        </w:rPr>
        <w:t xml:space="preserve">       </w:t>
      </w:r>
    </w:p>
    <w:p w14:paraId="1CF78088"/>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B940CA1-565E-4390-8002-6D88559F77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Noto Sans SC">
    <w:panose1 w:val="020B0200000000000000"/>
    <w:charset w:val="86"/>
    <w:family w:val="auto"/>
    <w:pitch w:val="default"/>
    <w:sig w:usb0="20000083" w:usb1="2ADF3C10" w:usb2="00000016" w:usb3="00000000" w:csb0="60060107" w:csb1="00000000"/>
    <w:embedRegular r:id="rId2" w:fontKey="{9606B947-AF0C-4F08-BF2C-F9C07E4FA770}"/>
  </w:font>
  <w:font w:name="仿宋">
    <w:panose1 w:val="02010609060101010101"/>
    <w:charset w:val="86"/>
    <w:family w:val="auto"/>
    <w:pitch w:val="default"/>
    <w:sig w:usb0="800002BF" w:usb1="38CF7CFA" w:usb2="00000016" w:usb3="00000000" w:csb0="00040001" w:csb1="00000000"/>
    <w:embedRegular r:id="rId3" w:fontKey="{69CB1D88-88CF-4142-948B-72707CF28A35}"/>
  </w:font>
  <w:font w:name="微软雅黑">
    <w:panose1 w:val="020B0503020204020204"/>
    <w:charset w:val="86"/>
    <w:family w:val="auto"/>
    <w:pitch w:val="default"/>
    <w:sig w:usb0="80000287" w:usb1="2ACF3C50" w:usb2="00000016" w:usb3="00000000" w:csb0="0004001F" w:csb1="00000000"/>
    <w:embedRegular r:id="rId4" w:fontKey="{9D93A9F0-60F0-4F0F-AF55-1BB96AC01D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6E97D">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6CF3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86CF3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6071">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C9ED51"/>
    <w:multiLevelType w:val="singleLevel"/>
    <w:tmpl w:val="FBC9ED5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1213882"/>
    <w:rsid w:val="023E2922"/>
    <w:rsid w:val="05243941"/>
    <w:rsid w:val="05BE40FB"/>
    <w:rsid w:val="07B70A9C"/>
    <w:rsid w:val="08607386"/>
    <w:rsid w:val="08F10DED"/>
    <w:rsid w:val="08F9370D"/>
    <w:rsid w:val="0DEB14A0"/>
    <w:rsid w:val="0F091448"/>
    <w:rsid w:val="0F5A6277"/>
    <w:rsid w:val="102F1EF5"/>
    <w:rsid w:val="11405FA6"/>
    <w:rsid w:val="11A35C3E"/>
    <w:rsid w:val="14E32ED1"/>
    <w:rsid w:val="15350822"/>
    <w:rsid w:val="17567773"/>
    <w:rsid w:val="19BF0744"/>
    <w:rsid w:val="19BF485E"/>
    <w:rsid w:val="19EF056A"/>
    <w:rsid w:val="1BC57E3D"/>
    <w:rsid w:val="1DB27CC5"/>
    <w:rsid w:val="1DFD647E"/>
    <w:rsid w:val="1E34479D"/>
    <w:rsid w:val="1FB042F7"/>
    <w:rsid w:val="21834158"/>
    <w:rsid w:val="22AE0FC2"/>
    <w:rsid w:val="241430A6"/>
    <w:rsid w:val="290E4486"/>
    <w:rsid w:val="297D7484"/>
    <w:rsid w:val="2A2E0C3A"/>
    <w:rsid w:val="2A32072A"/>
    <w:rsid w:val="300A6EDE"/>
    <w:rsid w:val="317B29B7"/>
    <w:rsid w:val="31832E12"/>
    <w:rsid w:val="333C7F24"/>
    <w:rsid w:val="333D3C9C"/>
    <w:rsid w:val="339B5162"/>
    <w:rsid w:val="350727B3"/>
    <w:rsid w:val="3A561988"/>
    <w:rsid w:val="3BFF184D"/>
    <w:rsid w:val="3C411172"/>
    <w:rsid w:val="3CB63F34"/>
    <w:rsid w:val="3FA7706D"/>
    <w:rsid w:val="405A4224"/>
    <w:rsid w:val="41382CD2"/>
    <w:rsid w:val="427A5715"/>
    <w:rsid w:val="427E23AB"/>
    <w:rsid w:val="433C5D1E"/>
    <w:rsid w:val="43CA332A"/>
    <w:rsid w:val="44920CB0"/>
    <w:rsid w:val="45726E52"/>
    <w:rsid w:val="460F14C8"/>
    <w:rsid w:val="4884619D"/>
    <w:rsid w:val="4B896DF6"/>
    <w:rsid w:val="4B99000F"/>
    <w:rsid w:val="4CB27A82"/>
    <w:rsid w:val="4D66647C"/>
    <w:rsid w:val="50805A18"/>
    <w:rsid w:val="509B2FD7"/>
    <w:rsid w:val="523676EA"/>
    <w:rsid w:val="524F1A19"/>
    <w:rsid w:val="55EF7BB3"/>
    <w:rsid w:val="56F815DC"/>
    <w:rsid w:val="57711FE2"/>
    <w:rsid w:val="59695D97"/>
    <w:rsid w:val="59907EED"/>
    <w:rsid w:val="5B97061C"/>
    <w:rsid w:val="5C2B04AE"/>
    <w:rsid w:val="5F213A10"/>
    <w:rsid w:val="5F67211C"/>
    <w:rsid w:val="5F8C5DB5"/>
    <w:rsid w:val="5FAD16DE"/>
    <w:rsid w:val="5FFB68ED"/>
    <w:rsid w:val="61137C66"/>
    <w:rsid w:val="61483E9A"/>
    <w:rsid w:val="66452F0C"/>
    <w:rsid w:val="69E314DA"/>
    <w:rsid w:val="69F446AA"/>
    <w:rsid w:val="6A445335"/>
    <w:rsid w:val="6AE81F78"/>
    <w:rsid w:val="6CCD1611"/>
    <w:rsid w:val="6D763A57"/>
    <w:rsid w:val="6DB30807"/>
    <w:rsid w:val="6DF861CE"/>
    <w:rsid w:val="6E4D0210"/>
    <w:rsid w:val="70131A31"/>
    <w:rsid w:val="71EC2DAA"/>
    <w:rsid w:val="75711A3B"/>
    <w:rsid w:val="76987E92"/>
    <w:rsid w:val="78E63D5F"/>
    <w:rsid w:val="7E547D47"/>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6593</Words>
  <Characters>6795</Characters>
  <Lines>0</Lines>
  <Paragraphs>0</Paragraphs>
  <TotalTime>5</TotalTime>
  <ScaleCrop>false</ScaleCrop>
  <LinksUpToDate>false</LinksUpToDate>
  <CharactersWithSpaces>7063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郭保平</cp:lastModifiedBy>
  <cp:lastPrinted>2025-03-11T02:34:00Z</cp:lastPrinted>
  <dcterms:modified xsi:type="dcterms:W3CDTF">2025-07-23T01:20:34Z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00C03101A2E54A98AEEDBACBDBA1BABE_13</vt:lpwstr>
  </property>
  <property fmtid="{D5CDD505-2E9C-101B-9397-08002B2CF9AE}" pid="4" name="KSOTemplateDocerSaveRecord">
    <vt:lpwstr>eyJoZGlkIjoiYjVjZDVhYWVmMTBiNTBjNzdjNjhhM2FmZTAyYmQ1ZTgifQ==</vt:lpwstr>
  </property>
</Properties>
</file>