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E2535">
      <w:pPr>
        <w:pStyle w:val="8"/>
        <w:keepNext w:val="0"/>
        <w:keepLines w:val="0"/>
        <w:widowControl/>
        <w:suppressLineNumbers w:val="0"/>
        <w:spacing w:before="0" w:beforeAutospacing="0" w:after="0" w:afterAutospacing="0" w:line="405" w:lineRule="atLeast"/>
        <w:ind w:left="0" w:firstLine="0"/>
        <w:jc w:val="center"/>
        <w:rPr>
          <w:rStyle w:val="11"/>
          <w:rFonts w:hint="eastAsia" w:ascii="方正粗黑宋简体" w:hAnsi="方正粗黑宋简体" w:eastAsia="方正粗黑宋简体" w:cs="方正粗黑宋简体"/>
          <w:i w:val="0"/>
          <w:iCs w:val="0"/>
          <w:caps w:val="0"/>
          <w:color w:val="000000"/>
          <w:spacing w:val="0"/>
          <w:sz w:val="32"/>
          <w:szCs w:val="32"/>
        </w:rPr>
      </w:pPr>
      <w:r>
        <w:rPr>
          <w:rStyle w:val="11"/>
          <w:rFonts w:hint="eastAsia" w:ascii="方正粗黑宋简体" w:hAnsi="方正粗黑宋简体" w:eastAsia="方正粗黑宋简体" w:cs="方正粗黑宋简体"/>
          <w:i w:val="0"/>
          <w:iCs w:val="0"/>
          <w:caps w:val="0"/>
          <w:color w:val="000000"/>
          <w:spacing w:val="0"/>
          <w:sz w:val="32"/>
          <w:szCs w:val="32"/>
        </w:rPr>
        <w:t>陕西锌业有限公司</w:t>
      </w:r>
    </w:p>
    <w:p w14:paraId="00A7A40E">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2"/>
          <w:szCs w:val="32"/>
          <w:lang w:val="en-US" w:eastAsia="zh-CN"/>
        </w:rPr>
      </w:pP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2025年8月份煤粉采购项目</w:t>
      </w:r>
      <w:r>
        <w:rPr>
          <w:rStyle w:val="11"/>
          <w:rFonts w:hint="eastAsia" w:ascii="方正粗黑宋简体" w:hAnsi="方正粗黑宋简体" w:eastAsia="方正粗黑宋简体" w:cs="方正粗黑宋简体"/>
          <w:i w:val="0"/>
          <w:iCs w:val="0"/>
          <w:caps w:val="0"/>
          <w:color w:val="000000"/>
          <w:spacing w:val="0"/>
          <w:sz w:val="32"/>
          <w:szCs w:val="32"/>
        </w:rPr>
        <w:t>询比采购</w:t>
      </w: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邀请函</w:t>
      </w:r>
    </w:p>
    <w:p w14:paraId="1EC36912">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608C3DBF">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陕西锌业有限公司</w:t>
      </w:r>
      <w:r>
        <w:rPr>
          <w:rFonts w:hint="eastAsia" w:ascii="仿宋" w:hAnsi="仿宋" w:eastAsia="仿宋" w:cs="仿宋"/>
          <w:i w:val="0"/>
          <w:iCs w:val="0"/>
          <w:caps w:val="0"/>
          <w:color w:val="000000"/>
          <w:spacing w:val="0"/>
          <w:sz w:val="28"/>
          <w:szCs w:val="28"/>
          <w:lang w:val="en-US" w:eastAsia="zh-CN"/>
        </w:rPr>
        <w:t>因生产需要，</w:t>
      </w:r>
      <w:r>
        <w:rPr>
          <w:rFonts w:hint="eastAsia" w:ascii="仿宋" w:hAnsi="仿宋" w:eastAsia="仿宋" w:cs="仿宋"/>
          <w:i w:val="0"/>
          <w:iCs w:val="0"/>
          <w:caps w:val="0"/>
          <w:color w:val="000000"/>
          <w:spacing w:val="0"/>
          <w:sz w:val="28"/>
          <w:szCs w:val="28"/>
        </w:rPr>
        <w:t>拟</w:t>
      </w:r>
      <w:r>
        <w:rPr>
          <w:rFonts w:hint="eastAsia" w:ascii="仿宋" w:hAnsi="仿宋" w:eastAsia="仿宋" w:cs="仿宋"/>
          <w:i w:val="0"/>
          <w:iCs w:val="0"/>
          <w:caps w:val="0"/>
          <w:color w:val="000000"/>
          <w:spacing w:val="0"/>
          <w:sz w:val="28"/>
          <w:szCs w:val="28"/>
          <w:lang w:val="en-US" w:eastAsia="zh-CN"/>
        </w:rPr>
        <w:t>采购煤粉1500吨</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按照公司有关规定，拟通过</w:t>
      </w:r>
      <w:r>
        <w:rPr>
          <w:rFonts w:hint="eastAsia" w:ascii="仿宋" w:hAnsi="仿宋" w:eastAsia="仿宋" w:cs="仿宋"/>
          <w:i w:val="0"/>
          <w:iCs w:val="0"/>
          <w:caps w:val="0"/>
          <w:color w:val="000000"/>
          <w:spacing w:val="0"/>
          <w:sz w:val="28"/>
          <w:szCs w:val="28"/>
        </w:rPr>
        <w:t>询比</w:t>
      </w:r>
      <w:r>
        <w:rPr>
          <w:rFonts w:hint="eastAsia" w:ascii="仿宋" w:hAnsi="仿宋" w:eastAsia="仿宋" w:cs="仿宋"/>
          <w:i w:val="0"/>
          <w:iCs w:val="0"/>
          <w:caps w:val="0"/>
          <w:color w:val="000000"/>
          <w:spacing w:val="0"/>
          <w:sz w:val="28"/>
          <w:szCs w:val="28"/>
          <w:lang w:val="en-US" w:eastAsia="zh-CN"/>
        </w:rPr>
        <w:t>方式确定供应商，欢迎</w:t>
      </w:r>
      <w:r>
        <w:rPr>
          <w:rFonts w:hint="eastAsia" w:ascii="仿宋" w:hAnsi="仿宋" w:eastAsia="仿宋" w:cs="仿宋"/>
          <w:i w:val="0"/>
          <w:iCs w:val="0"/>
          <w:caps w:val="0"/>
          <w:color w:val="000000"/>
          <w:spacing w:val="0"/>
          <w:sz w:val="28"/>
          <w:szCs w:val="28"/>
        </w:rPr>
        <w:t>具备相应资质</w:t>
      </w:r>
      <w:r>
        <w:rPr>
          <w:rFonts w:hint="eastAsia" w:ascii="仿宋" w:hAnsi="仿宋" w:eastAsia="仿宋" w:cs="仿宋"/>
          <w:i w:val="0"/>
          <w:iCs w:val="0"/>
          <w:caps w:val="0"/>
          <w:color w:val="000000"/>
          <w:spacing w:val="0"/>
          <w:sz w:val="28"/>
          <w:szCs w:val="28"/>
          <w:lang w:val="en-US" w:eastAsia="zh-CN"/>
        </w:rPr>
        <w:t>及能力</w:t>
      </w:r>
      <w:r>
        <w:rPr>
          <w:rFonts w:hint="eastAsia" w:ascii="仿宋" w:hAnsi="仿宋" w:eastAsia="仿宋" w:cs="仿宋"/>
          <w:i w:val="0"/>
          <w:iCs w:val="0"/>
          <w:caps w:val="0"/>
          <w:color w:val="000000"/>
          <w:spacing w:val="0"/>
          <w:sz w:val="28"/>
          <w:szCs w:val="28"/>
        </w:rPr>
        <w:t>的单位</w:t>
      </w:r>
      <w:r>
        <w:rPr>
          <w:rFonts w:hint="eastAsia" w:ascii="仿宋" w:hAnsi="仿宋" w:eastAsia="仿宋" w:cs="仿宋"/>
          <w:i w:val="0"/>
          <w:iCs w:val="0"/>
          <w:caps w:val="0"/>
          <w:color w:val="000000"/>
          <w:spacing w:val="0"/>
          <w:sz w:val="28"/>
          <w:szCs w:val="28"/>
          <w:lang w:val="en-US" w:eastAsia="zh-CN"/>
        </w:rPr>
        <w:t>参与该项目询比采购</w:t>
      </w:r>
      <w:r>
        <w:rPr>
          <w:rFonts w:hint="eastAsia" w:ascii="仿宋" w:hAnsi="仿宋" w:eastAsia="仿宋" w:cs="仿宋"/>
          <w:i w:val="0"/>
          <w:iCs w:val="0"/>
          <w:caps w:val="0"/>
          <w:color w:val="000000"/>
          <w:spacing w:val="0"/>
          <w:sz w:val="28"/>
          <w:szCs w:val="28"/>
        </w:rPr>
        <w:t>，具体内容如下：</w:t>
      </w:r>
    </w:p>
    <w:p w14:paraId="20336658">
      <w:pPr>
        <w:pStyle w:val="2"/>
        <w:pageBreakBefore w:val="0"/>
        <w:numPr>
          <w:ilvl w:val="0"/>
          <w:numId w:val="0"/>
        </w:numPr>
        <w:kinsoku/>
        <w:wordWrap/>
        <w:overflowPunct/>
        <w:topLinePunct w:val="0"/>
        <w:autoSpaceDE/>
        <w:autoSpaceDN/>
        <w:bidi w:val="0"/>
        <w:snapToGrid/>
        <w:spacing w:before="0" w:after="0" w:line="480" w:lineRule="exact"/>
        <w:ind w:firstLine="562" w:firstLineChars="200"/>
        <w:jc w:val="both"/>
        <w:rPr>
          <w:rFonts w:hint="eastAsia" w:ascii="仿宋" w:hAnsi="仿宋" w:eastAsia="仿宋" w:cs="仿宋"/>
          <w:b/>
          <w:bCs/>
          <w:color w:val="auto"/>
          <w:sz w:val="28"/>
          <w:szCs w:val="28"/>
          <w:lang w:val="en-US"/>
        </w:rPr>
      </w:pPr>
      <w:bookmarkStart w:id="0" w:name="_Toc20230"/>
      <w:bookmarkStart w:id="1" w:name="_Toc4593"/>
      <w:bookmarkStart w:id="2" w:name="_Toc33795775"/>
      <w:bookmarkStart w:id="3" w:name="_Toc14440"/>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采购项目</w:t>
      </w:r>
      <w:bookmarkEnd w:id="0"/>
      <w:bookmarkEnd w:id="1"/>
      <w:bookmarkEnd w:id="2"/>
      <w:bookmarkEnd w:id="3"/>
      <w:r>
        <w:rPr>
          <w:rFonts w:hint="eastAsia" w:ascii="仿宋" w:hAnsi="仿宋" w:eastAsia="仿宋" w:cs="仿宋"/>
          <w:b/>
          <w:bCs/>
          <w:color w:val="auto"/>
          <w:sz w:val="28"/>
          <w:szCs w:val="28"/>
          <w:lang w:val="en-US" w:eastAsia="zh-CN"/>
        </w:rPr>
        <w:t>基本要求</w:t>
      </w:r>
    </w:p>
    <w:p w14:paraId="4F6BD7C7">
      <w:pPr>
        <w:pStyle w:val="2"/>
        <w:pageBreakBefore w:val="0"/>
        <w:numPr>
          <w:ilvl w:val="0"/>
          <w:numId w:val="0"/>
        </w:numPr>
        <w:kinsoku/>
        <w:wordWrap/>
        <w:overflowPunct/>
        <w:topLinePunct w:val="0"/>
        <w:autoSpaceDE/>
        <w:autoSpaceDN/>
        <w:bidi w:val="0"/>
        <w:snapToGrid/>
        <w:spacing w:before="0" w:after="0" w:line="480" w:lineRule="exact"/>
        <w:ind w:firstLine="280" w:firstLineChars="100"/>
        <w:jc w:val="both"/>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（一）采购人：陕西锌业有限公司</w:t>
      </w:r>
    </w:p>
    <w:p w14:paraId="29D945B0">
      <w:pPr>
        <w:pageBreakBefore w:val="0"/>
        <w:kinsoku/>
        <w:wordWrap/>
        <w:overflowPunct/>
        <w:topLinePunct w:val="0"/>
        <w:autoSpaceDE/>
        <w:autoSpaceDN/>
        <w:bidi w:val="0"/>
        <w:snapToGrid/>
        <w:spacing w:line="48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采购项目</w:t>
      </w:r>
      <w:r>
        <w:rPr>
          <w:rFonts w:hint="eastAsia" w:ascii="仿宋" w:hAnsi="仿宋" w:eastAsia="仿宋" w:cs="仿宋"/>
          <w:color w:val="auto"/>
          <w:sz w:val="28"/>
          <w:szCs w:val="28"/>
        </w:rPr>
        <w:t>名称：</w:t>
      </w:r>
      <w:bookmarkStart w:id="4" w:name="_Toc33795776"/>
      <w:bookmarkStart w:id="5" w:name="_Toc14565"/>
      <w:bookmarkStart w:id="6" w:name="_Toc11471"/>
      <w:bookmarkStart w:id="7" w:name="_Toc7037"/>
      <w:r>
        <w:rPr>
          <w:rFonts w:hint="eastAsia" w:ascii="仿宋" w:hAnsi="仿宋" w:eastAsia="仿宋" w:cs="仿宋"/>
          <w:color w:val="auto"/>
          <w:sz w:val="28"/>
          <w:szCs w:val="28"/>
          <w:lang w:eastAsia="zh-CN"/>
        </w:rPr>
        <w:t>陕西锌业有限公司</w:t>
      </w:r>
      <w:r>
        <w:rPr>
          <w:rFonts w:hint="eastAsia" w:ascii="仿宋" w:hAnsi="仿宋" w:eastAsia="仿宋" w:cs="仿宋"/>
          <w:color w:val="auto"/>
          <w:sz w:val="28"/>
          <w:szCs w:val="28"/>
          <w:lang w:val="en-US" w:eastAsia="zh-CN"/>
        </w:rPr>
        <w:t>煤粉采购项目</w:t>
      </w:r>
      <w:bookmarkEnd w:id="4"/>
      <w:bookmarkEnd w:id="5"/>
      <w:bookmarkEnd w:id="6"/>
      <w:bookmarkEnd w:id="7"/>
      <w:r>
        <w:rPr>
          <w:rFonts w:hint="eastAsia" w:ascii="仿宋" w:hAnsi="仿宋" w:eastAsia="仿宋" w:cs="仿宋"/>
          <w:color w:val="auto"/>
          <w:sz w:val="28"/>
          <w:szCs w:val="28"/>
          <w:lang w:val="en-US" w:eastAsia="zh-CN"/>
        </w:rPr>
        <w:t>。</w:t>
      </w:r>
    </w:p>
    <w:p w14:paraId="11214224">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交货时间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1500吨煤粉送完为止。在此期间，如遇采购人检修、减产、生产工艺调整等，采购人根据实际情况适时调整采购量。</w:t>
      </w:r>
    </w:p>
    <w:p w14:paraId="774E62B6">
      <w:pPr>
        <w:pageBreakBefore w:val="0"/>
        <w:kinsoku/>
        <w:wordWrap/>
        <w:overflowPunct/>
        <w:topLinePunct w:val="0"/>
        <w:autoSpaceDE/>
        <w:autoSpaceDN/>
        <w:bidi w:val="0"/>
        <w:snapToGrid/>
        <w:spacing w:line="48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（四）交货地点：采购方公司辅材库房（带磅码单、质检单、合格证）。</w:t>
      </w:r>
    </w:p>
    <w:p w14:paraId="389EDD44">
      <w:pPr>
        <w:keepNext w:val="0"/>
        <w:keepLines w:val="0"/>
        <w:pageBreakBefore w:val="0"/>
        <w:numPr>
          <w:ilvl w:val="0"/>
          <w:numId w:val="0"/>
        </w:numPr>
        <w:kinsoku/>
        <w:wordWrap/>
        <w:overflowPunct/>
        <w:topLinePunct w:val="0"/>
        <w:autoSpaceDE/>
        <w:autoSpaceDN/>
        <w:bidi w:val="0"/>
        <w:adjustRightInd/>
        <w:snapToGrid/>
        <w:spacing w:line="480" w:lineRule="exact"/>
        <w:ind w:firstLine="280"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（五）数量：1500吨。</w:t>
      </w:r>
    </w:p>
    <w:p w14:paraId="70B87450">
      <w:pPr>
        <w:keepNext w:val="0"/>
        <w:keepLines w:val="0"/>
        <w:pageBreakBefore w:val="0"/>
        <w:widowControl w:val="0"/>
        <w:kinsoku/>
        <w:wordWrap/>
        <w:overflowPunct/>
        <w:topLinePunct w:val="0"/>
        <w:autoSpaceDE/>
        <w:autoSpaceDN/>
        <w:bidi w:val="0"/>
        <w:adjustRightInd w:val="0"/>
        <w:snapToGrid/>
        <w:spacing w:line="480" w:lineRule="exact"/>
        <w:ind w:left="0" w:firstLine="280" w:firstLineChars="100"/>
        <w:jc w:val="both"/>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质量</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rPr>
        <w:t>：</w:t>
      </w:r>
    </w:p>
    <w:p w14:paraId="05D399DB">
      <w:pPr>
        <w:keepNext w:val="0"/>
        <w:keepLines w:val="0"/>
        <w:pageBreakBefore w:val="0"/>
        <w:widowControl w:val="0"/>
        <w:kinsoku/>
        <w:wordWrap/>
        <w:overflowPunct/>
        <w:topLinePunct w:val="0"/>
        <w:autoSpaceDE/>
        <w:autoSpaceDN/>
        <w:bidi w:val="0"/>
        <w:adjustRightInd w:val="0"/>
        <w:snapToGrid/>
        <w:spacing w:line="480" w:lineRule="exact"/>
        <w:ind w:left="0" w:firstLine="560" w:firstLineChars="200"/>
        <w:jc w:val="both"/>
        <w:textAlignment w:val="baseline"/>
        <w:rPr>
          <w:rFonts w:hint="eastAsia" w:ascii="仿宋" w:hAnsi="仿宋" w:eastAsia="仿宋" w:cs="仿宋"/>
          <w:bCs/>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质量要求：</w:t>
      </w:r>
      <w:r>
        <w:rPr>
          <w:rFonts w:hint="eastAsia" w:ascii="仿宋" w:hAnsi="仿宋" w:eastAsia="仿宋" w:cs="仿宋"/>
          <w:sz w:val="28"/>
          <w:szCs w:val="28"/>
        </w:rPr>
        <w:t>粒度-</w:t>
      </w:r>
      <w:r>
        <w:rPr>
          <w:rFonts w:hint="eastAsia" w:ascii="仿宋" w:hAnsi="仿宋" w:eastAsia="仿宋" w:cs="仿宋"/>
          <w:sz w:val="28"/>
          <w:szCs w:val="28"/>
          <w:lang w:val="en-US" w:eastAsia="zh-CN"/>
        </w:rPr>
        <w:t>20</w:t>
      </w:r>
      <w:r>
        <w:rPr>
          <w:rFonts w:hint="eastAsia" w:ascii="仿宋" w:hAnsi="仿宋" w:eastAsia="仿宋" w:cs="仿宋"/>
          <w:sz w:val="28"/>
          <w:szCs w:val="28"/>
        </w:rPr>
        <w:t>0</w:t>
      </w:r>
      <w:r>
        <w:rPr>
          <w:rFonts w:hint="eastAsia" w:ascii="仿宋" w:hAnsi="仿宋" w:eastAsia="仿宋" w:cs="仿宋"/>
          <w:sz w:val="28"/>
          <w:szCs w:val="28"/>
          <w:lang w:val="en-US" w:eastAsia="zh-CN"/>
        </w:rPr>
        <w:t>目≧80%，</w:t>
      </w:r>
      <w:r>
        <w:rPr>
          <w:rFonts w:hint="eastAsia" w:ascii="仿宋" w:hAnsi="仿宋" w:eastAsia="仿宋" w:cs="仿宋"/>
          <w:sz w:val="28"/>
          <w:szCs w:val="28"/>
        </w:rPr>
        <w:t>水份</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外水</w:t>
      </w:r>
      <w:r>
        <w:rPr>
          <w:rFonts w:hint="eastAsia" w:ascii="仿宋" w:hAnsi="仿宋" w:eastAsia="仿宋" w:cs="仿宋"/>
          <w:sz w:val="28"/>
          <w:szCs w:val="28"/>
          <w:lang w:eastAsia="zh-CN"/>
        </w:rPr>
        <w:t>）</w:t>
      </w:r>
      <w:r>
        <w:rPr>
          <w:rFonts w:hint="eastAsia" w:ascii="仿宋" w:hAnsi="仿宋" w:eastAsia="仿宋" w:cs="仿宋"/>
          <w:sz w:val="28"/>
          <w:szCs w:val="28"/>
        </w:rPr>
        <w:t>&lt;</w:t>
      </w:r>
      <w:r>
        <w:rPr>
          <w:rFonts w:hint="eastAsia" w:ascii="仿宋" w:hAnsi="仿宋" w:eastAsia="仿宋" w:cs="仿宋"/>
          <w:sz w:val="28"/>
          <w:szCs w:val="28"/>
          <w:lang w:val="en-US" w:eastAsia="zh-CN"/>
        </w:rPr>
        <w:t>2</w:t>
      </w:r>
      <w:r>
        <w:rPr>
          <w:rFonts w:hint="eastAsia" w:ascii="仿宋" w:hAnsi="仿宋" w:eastAsia="仿宋" w:cs="仿宋"/>
          <w:sz w:val="28"/>
          <w:szCs w:val="28"/>
        </w:rPr>
        <w:t>%、固定</w:t>
      </w:r>
      <w:r>
        <w:rPr>
          <w:rFonts w:hint="eastAsia" w:ascii="仿宋" w:hAnsi="仿宋" w:eastAsia="仿宋" w:cs="仿宋"/>
          <w:sz w:val="28"/>
          <w:szCs w:val="28"/>
          <w:lang w:val="en-US" w:eastAsia="zh-CN"/>
        </w:rPr>
        <w:t>碳≧</w:t>
      </w:r>
      <w:r>
        <w:rPr>
          <w:rFonts w:hint="eastAsia" w:ascii="仿宋" w:hAnsi="仿宋" w:eastAsia="仿宋" w:cs="仿宋"/>
          <w:sz w:val="28"/>
          <w:szCs w:val="28"/>
        </w:rPr>
        <w:t>60%、挥发份16-20%、灰分&lt;10%、硫&lt;1%。</w:t>
      </w:r>
    </w:p>
    <w:p w14:paraId="0B4DFD63">
      <w:pPr>
        <w:keepNext w:val="0"/>
        <w:keepLines w:val="0"/>
        <w:pageBreakBefore w:val="0"/>
        <w:widowControl w:val="0"/>
        <w:kinsoku/>
        <w:wordWrap/>
        <w:overflowPunct/>
        <w:topLinePunct w:val="0"/>
        <w:autoSpaceDE/>
        <w:autoSpaceDN/>
        <w:bidi w:val="0"/>
        <w:adjustRightInd w:val="0"/>
        <w:snapToGrid/>
        <w:spacing w:line="480" w:lineRule="exact"/>
        <w:ind w:left="0" w:firstLine="560" w:firstLineChars="2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如发生质量问题，</w:t>
      </w:r>
      <w:r>
        <w:rPr>
          <w:rFonts w:hint="eastAsia" w:ascii="仿宋" w:hAnsi="仿宋" w:eastAsia="仿宋" w:cs="仿宋"/>
          <w:color w:val="auto"/>
          <w:sz w:val="28"/>
          <w:szCs w:val="28"/>
        </w:rPr>
        <w:t>供</w:t>
      </w:r>
      <w:r>
        <w:rPr>
          <w:rFonts w:hint="eastAsia" w:ascii="仿宋" w:hAnsi="仿宋" w:eastAsia="仿宋" w:cs="仿宋"/>
          <w:color w:val="auto"/>
          <w:sz w:val="28"/>
          <w:szCs w:val="28"/>
          <w:lang w:val="en-US" w:eastAsia="zh-CN"/>
        </w:rPr>
        <w:t>货</w:t>
      </w:r>
      <w:r>
        <w:rPr>
          <w:rFonts w:hint="eastAsia" w:ascii="仿宋" w:hAnsi="仿宋" w:eastAsia="仿宋" w:cs="仿宋"/>
          <w:color w:val="auto"/>
          <w:sz w:val="28"/>
          <w:szCs w:val="28"/>
        </w:rPr>
        <w:t>方</w:t>
      </w:r>
      <w:r>
        <w:rPr>
          <w:rFonts w:hint="eastAsia" w:ascii="仿宋" w:hAnsi="仿宋" w:eastAsia="仿宋" w:cs="仿宋"/>
          <w:bCs/>
          <w:color w:val="auto"/>
          <w:sz w:val="28"/>
          <w:szCs w:val="28"/>
        </w:rPr>
        <w:t>包退、包换，确保</w:t>
      </w:r>
      <w:r>
        <w:rPr>
          <w:rFonts w:hint="eastAsia" w:ascii="仿宋" w:hAnsi="仿宋" w:eastAsia="仿宋" w:cs="仿宋"/>
          <w:bCs/>
          <w:color w:val="auto"/>
          <w:sz w:val="28"/>
          <w:szCs w:val="28"/>
          <w:lang w:val="en-US" w:eastAsia="zh-CN"/>
        </w:rPr>
        <w:t>货物</w:t>
      </w:r>
      <w:r>
        <w:rPr>
          <w:rFonts w:hint="eastAsia" w:ascii="仿宋" w:hAnsi="仿宋" w:eastAsia="仿宋" w:cs="仿宋"/>
          <w:bCs/>
          <w:color w:val="auto"/>
          <w:sz w:val="28"/>
          <w:szCs w:val="28"/>
        </w:rPr>
        <w:t>质量合格率100%</w:t>
      </w:r>
      <w:r>
        <w:rPr>
          <w:rFonts w:hint="eastAsia" w:ascii="仿宋" w:hAnsi="仿宋" w:eastAsia="仿宋" w:cs="仿宋"/>
          <w:bCs/>
          <w:color w:val="auto"/>
          <w:sz w:val="28"/>
          <w:szCs w:val="28"/>
          <w:lang w:eastAsia="zh-CN"/>
        </w:rPr>
        <w:t>。</w:t>
      </w:r>
      <w:bookmarkStart w:id="8" w:name="_Toc14196"/>
      <w:bookmarkStart w:id="9" w:name="_Toc29895"/>
      <w:bookmarkStart w:id="10" w:name="_Toc14688"/>
      <w:bookmarkStart w:id="11" w:name="_Toc33795778"/>
    </w:p>
    <w:p w14:paraId="748C8C7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80" w:firstLineChars="100"/>
        <w:jc w:val="lef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七</w:t>
      </w:r>
      <w:r>
        <w:rPr>
          <w:rFonts w:hint="eastAsia" w:ascii="仿宋" w:hAnsi="仿宋" w:eastAsia="仿宋" w:cs="仿宋"/>
          <w:bCs/>
          <w:color w:val="auto"/>
          <w:sz w:val="28"/>
          <w:szCs w:val="28"/>
          <w:lang w:eastAsia="zh-CN"/>
        </w:rPr>
        <w:t>）运输方式及到达站港和费用负担：汽车运输，</w:t>
      </w:r>
      <w:r>
        <w:rPr>
          <w:rFonts w:hint="eastAsia" w:ascii="仿宋" w:hAnsi="仿宋" w:eastAsia="仿宋" w:cs="仿宋"/>
          <w:b w:val="0"/>
          <w:bCs w:val="0"/>
          <w:sz w:val="28"/>
          <w:szCs w:val="28"/>
          <w:highlight w:val="none"/>
        </w:rPr>
        <w:t>运输费用由</w:t>
      </w:r>
      <w:r>
        <w:rPr>
          <w:rFonts w:hint="eastAsia" w:ascii="仿宋" w:hAnsi="仿宋" w:eastAsia="仿宋" w:cs="仿宋"/>
          <w:b w:val="0"/>
          <w:bCs w:val="0"/>
          <w:sz w:val="28"/>
          <w:szCs w:val="28"/>
          <w:highlight w:val="none"/>
          <w:lang w:val="en-US" w:eastAsia="zh-CN"/>
        </w:rPr>
        <w:t>报</w:t>
      </w:r>
      <w:r>
        <w:rPr>
          <w:rFonts w:hint="eastAsia" w:ascii="仿宋" w:hAnsi="仿宋" w:eastAsia="仿宋" w:cs="仿宋"/>
          <w:b w:val="0"/>
          <w:bCs w:val="0"/>
          <w:sz w:val="28"/>
          <w:szCs w:val="28"/>
          <w:highlight w:val="none"/>
        </w:rPr>
        <w:t>价方承担，运输车辆必须符合国家安全</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环保</w:t>
      </w:r>
      <w:r>
        <w:rPr>
          <w:rFonts w:hint="eastAsia" w:ascii="仿宋" w:hAnsi="仿宋" w:eastAsia="仿宋" w:cs="仿宋"/>
          <w:b w:val="0"/>
          <w:bCs w:val="0"/>
          <w:sz w:val="28"/>
          <w:szCs w:val="28"/>
          <w:highlight w:val="none"/>
        </w:rPr>
        <w:t>管理需要，否则不允许进入</w:t>
      </w:r>
      <w:r>
        <w:rPr>
          <w:rFonts w:hint="eastAsia" w:ascii="仿宋" w:hAnsi="仿宋" w:eastAsia="仿宋" w:cs="仿宋"/>
          <w:b w:val="0"/>
          <w:bCs w:val="0"/>
          <w:sz w:val="28"/>
          <w:szCs w:val="28"/>
          <w:highlight w:val="none"/>
          <w:lang w:eastAsia="zh-CN"/>
        </w:rPr>
        <w:t>采</w:t>
      </w:r>
      <w:r>
        <w:rPr>
          <w:rFonts w:hint="eastAsia" w:ascii="仿宋" w:hAnsi="仿宋" w:eastAsia="仿宋" w:cs="仿宋"/>
          <w:b w:val="0"/>
          <w:bCs w:val="0"/>
          <w:sz w:val="28"/>
          <w:szCs w:val="28"/>
          <w:highlight w:val="none"/>
        </w:rPr>
        <w:t>购方厂内</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运输安全责任由报价方承担，采购方不负任何责任。</w:t>
      </w:r>
    </w:p>
    <w:p w14:paraId="24BAC03C">
      <w:pPr>
        <w:keepNext w:val="0"/>
        <w:keepLines w:val="0"/>
        <w:pageBreakBefore w:val="0"/>
        <w:widowControl w:val="0"/>
        <w:kinsoku/>
        <w:wordWrap/>
        <w:overflowPunct/>
        <w:topLinePunct w:val="0"/>
        <w:autoSpaceDE/>
        <w:autoSpaceDN/>
        <w:bidi w:val="0"/>
        <w:adjustRightInd w:val="0"/>
        <w:snapToGrid/>
        <w:spacing w:line="48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八</w:t>
      </w:r>
      <w:r>
        <w:rPr>
          <w:rFonts w:hint="eastAsia" w:ascii="仿宋" w:hAnsi="仿宋" w:eastAsia="仿宋" w:cs="仿宋"/>
          <w:bCs/>
          <w:color w:val="auto"/>
          <w:sz w:val="28"/>
          <w:szCs w:val="28"/>
          <w:lang w:eastAsia="zh-CN"/>
        </w:rPr>
        <w:t>）合理损耗及计算方法：无损耗，以采购方计量为准。</w:t>
      </w:r>
    </w:p>
    <w:p w14:paraId="54A46891">
      <w:pPr>
        <w:keepNext w:val="0"/>
        <w:keepLines w:val="0"/>
        <w:pageBreakBefore w:val="0"/>
        <w:widowControl w:val="0"/>
        <w:kinsoku/>
        <w:wordWrap/>
        <w:overflowPunct/>
        <w:topLinePunct w:val="0"/>
        <w:autoSpaceDE/>
        <w:autoSpaceDN/>
        <w:bidi w:val="0"/>
        <w:adjustRightInd/>
        <w:snapToGrid/>
        <w:spacing w:line="480" w:lineRule="exact"/>
        <w:ind w:firstLine="280" w:firstLineChars="100"/>
        <w:jc w:val="left"/>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九</w:t>
      </w:r>
      <w:r>
        <w:rPr>
          <w:rFonts w:hint="eastAsia" w:ascii="仿宋" w:hAnsi="仿宋" w:eastAsia="仿宋" w:cs="仿宋"/>
          <w:bCs/>
          <w:color w:val="auto"/>
          <w:sz w:val="28"/>
          <w:szCs w:val="28"/>
          <w:lang w:eastAsia="zh-CN"/>
        </w:rPr>
        <w:t>）包装标准，包装物的供应及回收：</w:t>
      </w:r>
      <w:r>
        <w:rPr>
          <w:rFonts w:hint="eastAsia" w:ascii="仿宋" w:hAnsi="仿宋" w:eastAsia="仿宋" w:cs="仿宋"/>
          <w:bCs/>
          <w:color w:val="auto"/>
          <w:sz w:val="28"/>
          <w:szCs w:val="28"/>
          <w:lang w:val="en-US" w:eastAsia="zh-CN"/>
        </w:rPr>
        <w:t>散装、罐车运输。</w:t>
      </w:r>
    </w:p>
    <w:p w14:paraId="66177F4C">
      <w:pPr>
        <w:keepNext w:val="0"/>
        <w:keepLines w:val="0"/>
        <w:pageBreakBefore w:val="0"/>
        <w:widowControl w:val="0"/>
        <w:kinsoku/>
        <w:wordWrap/>
        <w:overflowPunct/>
        <w:topLinePunct w:val="0"/>
        <w:autoSpaceDE/>
        <w:autoSpaceDN/>
        <w:bidi w:val="0"/>
        <w:adjustRightInd w:val="0"/>
        <w:snapToGrid/>
        <w:spacing w:line="48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w:t>
      </w:r>
      <w:r>
        <w:rPr>
          <w:rFonts w:hint="eastAsia" w:ascii="仿宋" w:hAnsi="仿宋" w:eastAsia="仿宋" w:cs="仿宋"/>
          <w:bCs/>
          <w:color w:val="auto"/>
          <w:sz w:val="28"/>
          <w:szCs w:val="28"/>
          <w:lang w:eastAsia="zh-CN"/>
        </w:rPr>
        <w:t>）验收标准、方法：依据本</w:t>
      </w:r>
      <w:r>
        <w:rPr>
          <w:rFonts w:hint="eastAsia" w:ascii="仿宋" w:hAnsi="仿宋" w:eastAsia="仿宋" w:cs="仿宋"/>
          <w:bCs/>
          <w:color w:val="auto"/>
          <w:sz w:val="28"/>
          <w:szCs w:val="28"/>
          <w:lang w:val="en-US" w:eastAsia="zh-CN"/>
        </w:rPr>
        <w:t>条</w:t>
      </w:r>
      <w:r>
        <w:rPr>
          <w:rFonts w:hint="eastAsia" w:ascii="仿宋" w:hAnsi="仿宋" w:eastAsia="仿宋" w:cs="仿宋"/>
          <w:bCs/>
          <w:color w:val="auto"/>
          <w:sz w:val="28"/>
          <w:szCs w:val="28"/>
          <w:lang w:eastAsia="zh-CN"/>
        </w:rPr>
        <w:t>第</w:t>
      </w:r>
      <w:r>
        <w:rPr>
          <w:rFonts w:hint="eastAsia" w:ascii="仿宋" w:hAnsi="仿宋" w:eastAsia="仿宋" w:cs="仿宋"/>
          <w:bCs/>
          <w:color w:val="auto"/>
          <w:sz w:val="28"/>
          <w:szCs w:val="28"/>
          <w:lang w:val="en-US" w:eastAsia="zh-CN"/>
        </w:rPr>
        <w:t>六款质量标准</w:t>
      </w:r>
      <w:r>
        <w:rPr>
          <w:rFonts w:hint="eastAsia" w:ascii="仿宋" w:hAnsi="仿宋" w:eastAsia="仿宋" w:cs="仿宋"/>
          <w:bCs/>
          <w:color w:val="auto"/>
          <w:sz w:val="28"/>
          <w:szCs w:val="28"/>
          <w:lang w:eastAsia="zh-CN"/>
        </w:rPr>
        <w:t>验收，双方共同采样，样品一式三份，双方各持一份，留仲裁样一份，以采购方化验为准结算，如一方对质量有异议，可在交货之日起7</w:t>
      </w:r>
      <w:r>
        <w:rPr>
          <w:rFonts w:hint="eastAsia" w:ascii="仿宋" w:hAnsi="仿宋" w:eastAsia="仿宋" w:cs="仿宋"/>
          <w:bCs/>
          <w:color w:val="auto"/>
          <w:sz w:val="28"/>
          <w:szCs w:val="28"/>
          <w:lang w:val="en-US" w:eastAsia="zh-CN"/>
        </w:rPr>
        <w:t>日</w:t>
      </w:r>
      <w:r>
        <w:rPr>
          <w:rFonts w:hint="eastAsia" w:ascii="仿宋" w:hAnsi="仿宋" w:eastAsia="仿宋" w:cs="仿宋"/>
          <w:bCs/>
          <w:color w:val="auto"/>
          <w:sz w:val="28"/>
          <w:szCs w:val="28"/>
          <w:lang w:eastAsia="zh-CN"/>
        </w:rPr>
        <w:t>内向有资质机构提请仲裁。</w:t>
      </w:r>
    </w:p>
    <w:p w14:paraId="22566567">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十一</w:t>
      </w:r>
      <w:r>
        <w:rPr>
          <w:rFonts w:hint="eastAsia" w:ascii="仿宋" w:hAnsi="仿宋" w:eastAsia="仿宋" w:cs="仿宋"/>
          <w:bCs/>
          <w:color w:val="auto"/>
          <w:sz w:val="28"/>
          <w:szCs w:val="28"/>
          <w:lang w:eastAsia="zh-CN"/>
        </w:rPr>
        <w:t>）结算</w:t>
      </w:r>
      <w:r>
        <w:rPr>
          <w:rFonts w:hint="eastAsia" w:ascii="仿宋" w:hAnsi="仿宋" w:eastAsia="仿宋" w:cs="仿宋"/>
          <w:bCs/>
          <w:color w:val="auto"/>
          <w:sz w:val="28"/>
          <w:szCs w:val="28"/>
          <w:lang w:val="en-US" w:eastAsia="zh-CN"/>
        </w:rPr>
        <w:t>细则</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付款</w:t>
      </w:r>
      <w:r>
        <w:rPr>
          <w:rFonts w:hint="eastAsia" w:ascii="仿宋" w:hAnsi="仿宋" w:eastAsia="仿宋" w:cs="仿宋"/>
          <w:bCs/>
          <w:color w:val="auto"/>
          <w:sz w:val="28"/>
          <w:szCs w:val="28"/>
          <w:lang w:eastAsia="zh-CN"/>
        </w:rPr>
        <w:t>方式、标准及期限：</w:t>
      </w:r>
    </w:p>
    <w:p w14:paraId="5342D344">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1、若</w:t>
      </w:r>
      <w:r>
        <w:rPr>
          <w:rFonts w:hint="eastAsia" w:ascii="仿宋" w:hAnsi="仿宋" w:eastAsia="仿宋" w:cs="仿宋"/>
          <w:sz w:val="28"/>
          <w:szCs w:val="28"/>
        </w:rPr>
        <w:t>水份&lt;</w:t>
      </w:r>
      <w:r>
        <w:rPr>
          <w:rFonts w:hint="eastAsia" w:ascii="仿宋" w:hAnsi="仿宋" w:eastAsia="仿宋" w:cs="仿宋"/>
          <w:sz w:val="28"/>
          <w:szCs w:val="28"/>
          <w:lang w:val="en-US" w:eastAsia="zh-CN"/>
        </w:rPr>
        <w:t>2</w:t>
      </w:r>
      <w:r>
        <w:rPr>
          <w:rFonts w:hint="eastAsia" w:ascii="仿宋" w:hAnsi="仿宋" w:eastAsia="仿宋" w:cs="仿宋"/>
          <w:sz w:val="28"/>
          <w:szCs w:val="28"/>
        </w:rPr>
        <w:t>%、固定</w:t>
      </w:r>
      <w:r>
        <w:rPr>
          <w:rFonts w:hint="eastAsia" w:ascii="仿宋" w:hAnsi="仿宋" w:eastAsia="仿宋" w:cs="仿宋"/>
          <w:sz w:val="28"/>
          <w:szCs w:val="28"/>
          <w:lang w:val="en-US" w:eastAsia="zh-CN"/>
        </w:rPr>
        <w:t>碳≧</w:t>
      </w:r>
      <w:r>
        <w:rPr>
          <w:rFonts w:hint="eastAsia" w:ascii="仿宋" w:hAnsi="仿宋" w:eastAsia="仿宋" w:cs="仿宋"/>
          <w:sz w:val="28"/>
          <w:szCs w:val="28"/>
        </w:rPr>
        <w:t>60%、挥发份</w:t>
      </w:r>
      <w:r>
        <w:rPr>
          <w:rFonts w:hint="eastAsia" w:ascii="仿宋" w:hAnsi="仿宋" w:eastAsia="仿宋" w:cs="仿宋"/>
          <w:sz w:val="28"/>
          <w:szCs w:val="28"/>
          <w:lang w:val="en-US" w:eastAsia="zh-CN"/>
        </w:rPr>
        <w:t>在</w:t>
      </w:r>
      <w:r>
        <w:rPr>
          <w:rFonts w:hint="eastAsia" w:ascii="仿宋" w:hAnsi="仿宋" w:eastAsia="仿宋" w:cs="仿宋"/>
          <w:sz w:val="28"/>
          <w:szCs w:val="28"/>
        </w:rPr>
        <w:t>16-20%</w:t>
      </w:r>
      <w:r>
        <w:rPr>
          <w:rFonts w:hint="eastAsia" w:ascii="仿宋" w:hAnsi="仿宋" w:eastAsia="仿宋" w:cs="仿宋"/>
          <w:sz w:val="28"/>
          <w:szCs w:val="28"/>
          <w:lang w:val="en-US" w:eastAsia="zh-CN"/>
        </w:rPr>
        <w:t>之间</w:t>
      </w:r>
      <w:r>
        <w:rPr>
          <w:rFonts w:hint="eastAsia" w:ascii="仿宋" w:hAnsi="仿宋" w:eastAsia="仿宋" w:cs="仿宋"/>
          <w:sz w:val="28"/>
          <w:szCs w:val="28"/>
        </w:rPr>
        <w:t>、灰分&lt;10%、硫&lt;1%</w:t>
      </w:r>
      <w:r>
        <w:rPr>
          <w:rFonts w:hint="eastAsia" w:ascii="仿宋" w:hAnsi="仿宋" w:eastAsia="仿宋" w:cs="仿宋"/>
          <w:sz w:val="28"/>
          <w:szCs w:val="28"/>
          <w:lang w:eastAsia="zh-CN"/>
        </w:rPr>
        <w:t>，</w:t>
      </w:r>
      <w:r>
        <w:rPr>
          <w:rFonts w:hint="eastAsia" w:ascii="仿宋" w:hAnsi="仿宋" w:eastAsia="仿宋" w:cs="仿宋"/>
          <w:sz w:val="28"/>
          <w:szCs w:val="28"/>
        </w:rPr>
        <w:t>粒度-</w:t>
      </w:r>
      <w:r>
        <w:rPr>
          <w:rFonts w:hint="eastAsia" w:ascii="仿宋" w:hAnsi="仿宋" w:eastAsia="仿宋" w:cs="仿宋"/>
          <w:sz w:val="28"/>
          <w:szCs w:val="28"/>
          <w:lang w:val="en-US" w:eastAsia="zh-CN"/>
        </w:rPr>
        <w:t>20</w:t>
      </w:r>
      <w:r>
        <w:rPr>
          <w:rFonts w:hint="eastAsia" w:ascii="仿宋" w:hAnsi="仿宋" w:eastAsia="仿宋" w:cs="仿宋"/>
          <w:sz w:val="28"/>
          <w:szCs w:val="28"/>
        </w:rPr>
        <w:t>0</w:t>
      </w:r>
      <w:r>
        <w:rPr>
          <w:rFonts w:hint="eastAsia" w:ascii="仿宋" w:hAnsi="仿宋" w:eastAsia="仿宋" w:cs="仿宋"/>
          <w:sz w:val="28"/>
          <w:szCs w:val="28"/>
          <w:lang w:val="en-US" w:eastAsia="zh-CN"/>
        </w:rPr>
        <w:t>目≧80%</w:t>
      </w:r>
      <w:r>
        <w:rPr>
          <w:rFonts w:hint="eastAsia" w:ascii="仿宋" w:hAnsi="仿宋" w:eastAsia="仿宋" w:cs="仿宋"/>
          <w:b w:val="0"/>
          <w:bCs w:val="0"/>
          <w:color w:val="000000" w:themeColor="text1"/>
          <w:sz w:val="28"/>
          <w:szCs w:val="28"/>
          <w:lang w:val="en-US" w:eastAsia="zh-CN"/>
          <w14:textFill>
            <w14:solidFill>
              <w14:schemeClr w14:val="tx1"/>
            </w14:solidFill>
          </w14:textFill>
        </w:rPr>
        <w:t>，合同价结算。</w:t>
      </w:r>
    </w:p>
    <w:p w14:paraId="6021050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2、扣款标准：若单批次60%</w:t>
      </w:r>
      <w:r>
        <w:rPr>
          <w:rFonts w:hint="eastAsia" w:ascii="仿宋" w:hAnsi="仿宋" w:eastAsia="仿宋" w:cs="仿宋"/>
          <w:b w:val="0"/>
          <w:bCs w:val="0"/>
          <w:color w:val="000000" w:themeColor="text1"/>
          <w:sz w:val="28"/>
          <w:szCs w:val="28"/>
          <w14:textFill>
            <w14:solidFill>
              <w14:schemeClr w14:val="tx1"/>
            </w14:solidFill>
          </w14:textFill>
        </w:rPr>
        <w:t>＞</w:t>
      </w:r>
      <w:r>
        <w:rPr>
          <w:rFonts w:hint="eastAsia" w:ascii="仿宋" w:hAnsi="仿宋" w:eastAsia="仿宋" w:cs="仿宋"/>
          <w:b w:val="0"/>
          <w:bCs w:val="0"/>
          <w:color w:val="000000" w:themeColor="text1"/>
          <w:sz w:val="28"/>
          <w:szCs w:val="28"/>
          <w:lang w:eastAsia="zh-CN"/>
          <w14:textFill>
            <w14:solidFill>
              <w14:schemeClr w14:val="tx1"/>
            </w14:solidFill>
          </w14:textFill>
        </w:rPr>
        <w:t>固定碳≧</w:t>
      </w:r>
      <w:r>
        <w:rPr>
          <w:rFonts w:hint="eastAsia" w:ascii="仿宋" w:hAnsi="仿宋" w:eastAsia="仿宋" w:cs="仿宋"/>
          <w:b w:val="0"/>
          <w:bCs w:val="0"/>
          <w:color w:val="000000" w:themeColor="text1"/>
          <w:sz w:val="28"/>
          <w:szCs w:val="28"/>
          <w:lang w:val="en-US" w:eastAsia="zh-CN"/>
          <w14:textFill>
            <w14:solidFill>
              <w14:schemeClr w14:val="tx1"/>
            </w14:solidFill>
          </w14:textFill>
        </w:rPr>
        <w:t>54%</w:t>
      </w:r>
      <w:r>
        <w:rPr>
          <w:rFonts w:hint="eastAsia" w:ascii="仿宋" w:hAnsi="仿宋" w:eastAsia="仿宋" w:cs="仿宋"/>
          <w:color w:val="000000" w:themeColor="text1"/>
          <w:sz w:val="28"/>
          <w:szCs w:val="28"/>
          <w:lang w:val="en-US" w:eastAsia="zh-CN"/>
          <w14:textFill>
            <w14:solidFill>
              <w14:schemeClr w14:val="tx1"/>
            </w14:solidFill>
          </w14:textFill>
        </w:rPr>
        <w:t>时，每低于一个百分点扣20元/吨；</w:t>
      </w:r>
      <w:r>
        <w:rPr>
          <w:rFonts w:hint="eastAsia" w:ascii="仿宋" w:hAnsi="仿宋" w:eastAsia="仿宋" w:cs="仿宋"/>
          <w:b w:val="0"/>
          <w:bCs w:val="0"/>
          <w:color w:val="000000" w:themeColor="text1"/>
          <w:sz w:val="28"/>
          <w:szCs w:val="28"/>
          <w:lang w:eastAsia="zh-CN"/>
          <w14:textFill>
            <w14:solidFill>
              <w14:schemeClr w14:val="tx1"/>
            </w14:solidFill>
          </w14:textFill>
        </w:rPr>
        <w:t>固定碳&lt;</w:t>
      </w:r>
      <w:r>
        <w:rPr>
          <w:rFonts w:hint="eastAsia" w:ascii="仿宋" w:hAnsi="仿宋" w:eastAsia="仿宋" w:cs="仿宋"/>
          <w:b w:val="0"/>
          <w:bCs w:val="0"/>
          <w:color w:val="000000" w:themeColor="text1"/>
          <w:sz w:val="28"/>
          <w:szCs w:val="28"/>
          <w:lang w:val="en-US" w:eastAsia="zh-CN"/>
          <w14:textFill>
            <w14:solidFill>
              <w14:schemeClr w14:val="tx1"/>
            </w14:solidFill>
          </w14:textFill>
        </w:rPr>
        <w:t>54%</w:t>
      </w:r>
      <w:r>
        <w:rPr>
          <w:rFonts w:hint="eastAsia" w:ascii="仿宋" w:hAnsi="仿宋" w:eastAsia="仿宋" w:cs="仿宋"/>
          <w:color w:val="000000" w:themeColor="text1"/>
          <w:sz w:val="28"/>
          <w:szCs w:val="28"/>
          <w:lang w:val="en-US" w:eastAsia="zh-CN"/>
          <w14:textFill>
            <w14:solidFill>
              <w14:schemeClr w14:val="tx1"/>
            </w14:solidFill>
          </w14:textFill>
        </w:rPr>
        <w:t>时拒收；若</w:t>
      </w:r>
      <w:r>
        <w:rPr>
          <w:rFonts w:hint="eastAsia" w:ascii="仿宋" w:hAnsi="仿宋" w:eastAsia="仿宋" w:cs="仿宋"/>
          <w:sz w:val="28"/>
          <w:szCs w:val="28"/>
        </w:rPr>
        <w:t>挥发份&lt;</w:t>
      </w:r>
      <w:r>
        <w:rPr>
          <w:rFonts w:hint="eastAsia" w:ascii="仿宋" w:hAnsi="仿宋" w:eastAsia="仿宋" w:cs="仿宋"/>
          <w:sz w:val="28"/>
          <w:szCs w:val="28"/>
          <w:lang w:val="en-US" w:eastAsia="zh-CN"/>
        </w:rPr>
        <w:t>16%-14%、</w:t>
      </w:r>
      <w:r>
        <w:rPr>
          <w:rFonts w:hint="eastAsia" w:ascii="仿宋" w:hAnsi="仿宋" w:eastAsia="仿宋" w:cs="仿宋"/>
          <w:sz w:val="28"/>
          <w:szCs w:val="28"/>
        </w:rPr>
        <w:t>挥发份&gt;2</w:t>
      </w:r>
      <w:r>
        <w:rPr>
          <w:rFonts w:hint="eastAsia" w:ascii="仿宋" w:hAnsi="仿宋" w:eastAsia="仿宋" w:cs="仿宋"/>
          <w:sz w:val="28"/>
          <w:szCs w:val="28"/>
          <w:lang w:val="en-US" w:eastAsia="zh-CN"/>
        </w:rPr>
        <w:t>1-22</w:t>
      </w:r>
      <w:r>
        <w:rPr>
          <w:rFonts w:hint="eastAsia" w:ascii="仿宋" w:hAnsi="仿宋" w:eastAsia="仿宋" w:cs="仿宋"/>
          <w:sz w:val="28"/>
          <w:szCs w:val="28"/>
        </w:rPr>
        <w:t>%</w:t>
      </w:r>
      <w:r>
        <w:rPr>
          <w:rFonts w:hint="eastAsia" w:ascii="仿宋" w:hAnsi="仿宋" w:eastAsia="仿宋" w:cs="仿宋"/>
          <w:sz w:val="28"/>
          <w:szCs w:val="28"/>
          <w:lang w:val="en-US" w:eastAsia="zh-CN"/>
        </w:rPr>
        <w:t>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按批量平均区间值结算，若超出区间值，每升高或降低一个百分点扣10元/吨，若</w:t>
      </w:r>
      <w:r>
        <w:rPr>
          <w:rFonts w:hint="eastAsia" w:ascii="仿宋" w:hAnsi="仿宋" w:eastAsia="仿宋" w:cs="仿宋"/>
          <w:color w:val="000000" w:themeColor="text1"/>
          <w:sz w:val="28"/>
          <w:szCs w:val="28"/>
          <w:lang w:val="en-US" w:eastAsia="zh-CN"/>
          <w14:textFill>
            <w14:solidFill>
              <w14:schemeClr w14:val="tx1"/>
            </w14:solidFill>
          </w14:textFill>
        </w:rPr>
        <w:t>14%&gt;</w:t>
      </w:r>
      <w:r>
        <w:rPr>
          <w:rFonts w:hint="eastAsia" w:ascii="仿宋" w:hAnsi="仿宋" w:eastAsia="仿宋" w:cs="仿宋"/>
          <w:sz w:val="28"/>
          <w:szCs w:val="28"/>
        </w:rPr>
        <w:t>挥发份&gt;</w:t>
      </w:r>
      <w:r>
        <w:rPr>
          <w:rFonts w:hint="eastAsia" w:ascii="仿宋" w:hAnsi="仿宋" w:eastAsia="仿宋" w:cs="仿宋"/>
          <w:sz w:val="28"/>
          <w:szCs w:val="28"/>
          <w:lang w:val="en-US" w:eastAsia="zh-CN"/>
        </w:rPr>
        <w:t>24%时，拒收；若</w:t>
      </w:r>
      <w:r>
        <w:rPr>
          <w:rFonts w:hint="eastAsia" w:ascii="仿宋" w:hAnsi="仿宋" w:eastAsia="仿宋" w:cs="仿宋"/>
          <w:color w:val="000000" w:themeColor="text1"/>
          <w:sz w:val="28"/>
          <w:szCs w:val="28"/>
          <w:lang w:val="en-US" w:eastAsia="zh-CN"/>
          <w14:textFill>
            <w14:solidFill>
              <w14:schemeClr w14:val="tx1"/>
            </w14:solidFill>
          </w14:textFill>
        </w:rPr>
        <w:t>13%&gt;</w:t>
      </w:r>
      <w:r>
        <w:rPr>
          <w:rFonts w:hint="eastAsia" w:ascii="仿宋" w:hAnsi="仿宋" w:eastAsia="仿宋" w:cs="仿宋"/>
          <w:b w:val="0"/>
          <w:bCs w:val="0"/>
          <w:color w:val="000000" w:themeColor="text1"/>
          <w:sz w:val="28"/>
          <w:szCs w:val="28"/>
          <w14:textFill>
            <w14:solidFill>
              <w14:schemeClr w14:val="tx1"/>
            </w14:solidFill>
          </w14:textFill>
        </w:rPr>
        <w:t>灰分&gt;</w:t>
      </w:r>
      <w:r>
        <w:rPr>
          <w:rFonts w:hint="eastAsia" w:ascii="仿宋" w:hAnsi="仿宋" w:eastAsia="仿宋" w:cs="仿宋"/>
          <w:b w:val="0"/>
          <w:bCs w:val="0"/>
          <w:color w:val="000000" w:themeColor="text1"/>
          <w:sz w:val="28"/>
          <w:szCs w:val="28"/>
          <w:lang w:val="en-US" w:eastAsia="zh-CN"/>
          <w14:textFill>
            <w14:solidFill>
              <w14:schemeClr w14:val="tx1"/>
            </w14:solidFill>
          </w14:textFill>
        </w:rPr>
        <w:t>10</w:t>
      </w:r>
      <w:r>
        <w:rPr>
          <w:rFonts w:hint="eastAsia" w:ascii="仿宋" w:hAnsi="仿宋" w:eastAsia="仿宋" w:cs="仿宋"/>
          <w:b w:val="0"/>
          <w:bCs w:val="0"/>
          <w:color w:val="000000" w:themeColor="text1"/>
          <w:sz w:val="28"/>
          <w:szCs w:val="28"/>
          <w14:textFill>
            <w14:solidFill>
              <w14:schemeClr w14:val="tx1"/>
            </w14:solidFill>
          </w14:textFill>
        </w:rPr>
        <w:t>%时</w:t>
      </w: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sz w:val="28"/>
          <w:szCs w:val="28"/>
          <w:lang w:val="en-US" w:eastAsia="zh-CN"/>
        </w:rPr>
        <w:t>按批量平均值结算，</w:t>
      </w:r>
      <w:r>
        <w:rPr>
          <w:rFonts w:hint="eastAsia" w:ascii="仿宋" w:hAnsi="仿宋" w:eastAsia="仿宋" w:cs="仿宋"/>
          <w:b w:val="0"/>
          <w:bCs w:val="0"/>
          <w:color w:val="000000" w:themeColor="text1"/>
          <w:sz w:val="28"/>
          <w:szCs w:val="28"/>
          <w14:textFill>
            <w14:solidFill>
              <w14:schemeClr w14:val="tx1"/>
            </w14:solidFill>
          </w14:textFill>
        </w:rPr>
        <w:t>每升高一个百分点扣5元/吨</w:t>
      </w: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14:textFill>
            <w14:solidFill>
              <w14:schemeClr w14:val="tx1"/>
            </w14:solidFill>
          </w14:textFill>
        </w:rPr>
        <w:t>灰分&gt;</w:t>
      </w:r>
      <w:r>
        <w:rPr>
          <w:rFonts w:hint="eastAsia" w:ascii="仿宋" w:hAnsi="仿宋" w:eastAsia="仿宋" w:cs="仿宋"/>
          <w:b w:val="0"/>
          <w:bCs w:val="0"/>
          <w:color w:val="000000" w:themeColor="text1"/>
          <w:sz w:val="28"/>
          <w:szCs w:val="28"/>
          <w:lang w:val="en-US" w:eastAsia="zh-CN"/>
          <w14:textFill>
            <w14:solidFill>
              <w14:schemeClr w14:val="tx1"/>
            </w14:solidFill>
          </w14:textFill>
        </w:rPr>
        <w:t>14</w:t>
      </w:r>
      <w:r>
        <w:rPr>
          <w:rFonts w:hint="eastAsia" w:ascii="仿宋" w:hAnsi="仿宋" w:eastAsia="仿宋" w:cs="仿宋"/>
          <w:b w:val="0"/>
          <w:bCs w:val="0"/>
          <w:color w:val="000000" w:themeColor="text1"/>
          <w:sz w:val="28"/>
          <w:szCs w:val="28"/>
          <w14:textFill>
            <w14:solidFill>
              <w14:schemeClr w14:val="tx1"/>
            </w14:solidFill>
          </w14:textFill>
        </w:rPr>
        <w:t>%时</w:t>
      </w: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lang w:val="en-US" w:eastAsia="zh-CN"/>
          <w14:textFill>
            <w14:solidFill>
              <w14:schemeClr w14:val="tx1"/>
            </w14:solidFill>
          </w14:textFill>
        </w:rPr>
        <w:t>拒收；</w:t>
      </w:r>
      <w:r>
        <w:rPr>
          <w:rFonts w:hint="eastAsia" w:ascii="仿宋" w:hAnsi="仿宋" w:eastAsia="仿宋" w:cs="仿宋"/>
          <w:b w:val="0"/>
          <w:bCs w:val="0"/>
          <w:color w:val="000000" w:themeColor="text1"/>
          <w:sz w:val="28"/>
          <w:szCs w:val="28"/>
          <w14:textFill>
            <w14:solidFill>
              <w14:schemeClr w14:val="tx1"/>
            </w14:solidFill>
          </w14:textFill>
        </w:rPr>
        <w:t>S＞</w:t>
      </w:r>
      <w:r>
        <w:rPr>
          <w:rFonts w:hint="eastAsia" w:ascii="仿宋" w:hAnsi="仿宋" w:eastAsia="仿宋" w:cs="仿宋"/>
          <w:b w:val="0"/>
          <w:bCs w:val="0"/>
          <w:color w:val="000000" w:themeColor="text1"/>
          <w:sz w:val="28"/>
          <w:szCs w:val="28"/>
          <w:lang w:val="en-US" w:eastAsia="zh-CN"/>
          <w14:textFill>
            <w14:solidFill>
              <w14:schemeClr w14:val="tx1"/>
            </w14:solidFill>
          </w14:textFill>
        </w:rPr>
        <w:t>1.0</w:t>
      </w:r>
      <w:r>
        <w:rPr>
          <w:rFonts w:hint="eastAsia" w:ascii="仿宋" w:hAnsi="仿宋" w:eastAsia="仿宋" w:cs="仿宋"/>
          <w:b w:val="0"/>
          <w:bCs w:val="0"/>
          <w:color w:val="000000" w:themeColor="text1"/>
          <w:sz w:val="28"/>
          <w:szCs w:val="28"/>
          <w14:textFill>
            <w14:solidFill>
              <w14:schemeClr w14:val="tx1"/>
            </w14:solidFill>
          </w14:textFill>
        </w:rPr>
        <w:t>%时</w:t>
      </w: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14:textFill>
            <w14:solidFill>
              <w14:schemeClr w14:val="tx1"/>
            </w14:solidFill>
          </w14:textFill>
        </w:rPr>
        <w:t>每升高一个百分点扣10元/吨</w:t>
      </w: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lang w:val="en-US" w:eastAsia="zh-CN"/>
          <w14:textFill>
            <w14:solidFill>
              <w14:schemeClr w14:val="tx1"/>
            </w14:solidFill>
          </w14:textFill>
        </w:rPr>
        <w:t>若批量平均值水分&gt;2%时，每升高一个百分点扣5元/吨；水分&gt;4%时拒收；</w:t>
      </w:r>
      <w:r>
        <w:rPr>
          <w:rFonts w:hint="eastAsia" w:ascii="仿宋" w:hAnsi="仿宋" w:eastAsia="仿宋" w:cs="仿宋"/>
          <w:sz w:val="28"/>
          <w:szCs w:val="28"/>
        </w:rPr>
        <w:t>粒度-</w:t>
      </w:r>
      <w:r>
        <w:rPr>
          <w:rFonts w:hint="eastAsia" w:ascii="仿宋" w:hAnsi="仿宋" w:eastAsia="仿宋" w:cs="仿宋"/>
          <w:sz w:val="28"/>
          <w:szCs w:val="28"/>
          <w:lang w:val="en-US" w:eastAsia="zh-CN"/>
        </w:rPr>
        <w:t>20</w:t>
      </w:r>
      <w:r>
        <w:rPr>
          <w:rFonts w:hint="eastAsia" w:ascii="仿宋" w:hAnsi="仿宋" w:eastAsia="仿宋" w:cs="仿宋"/>
          <w:sz w:val="28"/>
          <w:szCs w:val="28"/>
        </w:rPr>
        <w:t>0</w:t>
      </w:r>
      <w:r>
        <w:rPr>
          <w:rFonts w:hint="eastAsia" w:ascii="仿宋" w:hAnsi="仿宋" w:eastAsia="仿宋" w:cs="仿宋"/>
          <w:sz w:val="28"/>
          <w:szCs w:val="28"/>
          <w:lang w:val="en-US" w:eastAsia="zh-CN"/>
        </w:rPr>
        <w:t>目&lt;80%时，每降低一个百分点合同价降低1%</w:t>
      </w:r>
      <w:r>
        <w:rPr>
          <w:rFonts w:hint="eastAsia" w:ascii="仿宋" w:hAnsi="仿宋" w:eastAsia="仿宋" w:cs="仿宋"/>
          <w:bCs/>
          <w:sz w:val="28"/>
          <w:szCs w:val="28"/>
          <w:lang w:val="en-US" w:eastAsia="zh-CN"/>
        </w:rPr>
        <w:t>。</w:t>
      </w:r>
      <w:r>
        <w:rPr>
          <w:rFonts w:hint="eastAsia" w:ascii="仿宋" w:hAnsi="仿宋" w:eastAsia="仿宋" w:cs="仿宋"/>
          <w:sz w:val="28"/>
          <w:szCs w:val="28"/>
        </w:rPr>
        <w:t>粒度-</w:t>
      </w:r>
      <w:r>
        <w:rPr>
          <w:rFonts w:hint="eastAsia" w:ascii="仿宋" w:hAnsi="仿宋" w:eastAsia="仿宋" w:cs="仿宋"/>
          <w:sz w:val="28"/>
          <w:szCs w:val="28"/>
          <w:lang w:val="en-US" w:eastAsia="zh-CN"/>
        </w:rPr>
        <w:t>20</w:t>
      </w:r>
      <w:r>
        <w:rPr>
          <w:rFonts w:hint="eastAsia" w:ascii="仿宋" w:hAnsi="仿宋" w:eastAsia="仿宋" w:cs="仿宋"/>
          <w:sz w:val="28"/>
          <w:szCs w:val="28"/>
        </w:rPr>
        <w:t>0</w:t>
      </w:r>
      <w:r>
        <w:rPr>
          <w:rFonts w:hint="eastAsia" w:ascii="仿宋" w:hAnsi="仿宋" w:eastAsia="仿宋" w:cs="仿宋"/>
          <w:sz w:val="28"/>
          <w:szCs w:val="28"/>
          <w:lang w:val="en-US" w:eastAsia="zh-CN"/>
        </w:rPr>
        <w:t>目&lt;80%时，每降低一个百分点合同价降低1%</w:t>
      </w:r>
    </w:p>
    <w:p w14:paraId="4AF9B528">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批</w:t>
      </w:r>
      <w:r>
        <w:rPr>
          <w:rFonts w:hint="eastAsia" w:ascii="仿宋" w:hAnsi="仿宋" w:eastAsia="仿宋" w:cs="仿宋"/>
          <w:b w:val="0"/>
          <w:bCs w:val="0"/>
          <w:sz w:val="28"/>
          <w:szCs w:val="28"/>
          <w:lang w:val="en-US" w:eastAsia="zh-CN"/>
        </w:rPr>
        <w:t>量</w:t>
      </w:r>
      <w:r>
        <w:rPr>
          <w:rFonts w:hint="eastAsia" w:ascii="仿宋" w:hAnsi="仿宋" w:eastAsia="仿宋" w:cs="仿宋"/>
          <w:b w:val="0"/>
          <w:bCs w:val="0"/>
          <w:sz w:val="28"/>
          <w:szCs w:val="28"/>
          <w:lang w:eastAsia="zh-CN"/>
        </w:rPr>
        <w:t>一票制结算，</w:t>
      </w:r>
      <w:r>
        <w:rPr>
          <w:rFonts w:hint="eastAsia" w:ascii="仿宋" w:hAnsi="仿宋" w:eastAsia="仿宋" w:cs="仿宋"/>
          <w:b w:val="0"/>
          <w:bCs w:val="0"/>
          <w:sz w:val="28"/>
          <w:szCs w:val="28"/>
        </w:rPr>
        <w:t>全额增值税发票，票到</w:t>
      </w:r>
      <w:r>
        <w:rPr>
          <w:rFonts w:hint="eastAsia" w:ascii="仿宋" w:hAnsi="仿宋" w:eastAsia="仿宋" w:cs="仿宋"/>
          <w:b w:val="0"/>
          <w:bCs w:val="0"/>
          <w:sz w:val="28"/>
          <w:szCs w:val="28"/>
          <w:lang w:val="en-US" w:eastAsia="zh-CN"/>
        </w:rPr>
        <w:t>挂账后三</w:t>
      </w:r>
      <w:r>
        <w:rPr>
          <w:rFonts w:hint="eastAsia" w:ascii="仿宋" w:hAnsi="仿宋" w:eastAsia="仿宋" w:cs="仿宋"/>
          <w:b w:val="0"/>
          <w:bCs w:val="0"/>
          <w:sz w:val="28"/>
          <w:szCs w:val="28"/>
        </w:rPr>
        <w:t>月内付款</w:t>
      </w:r>
      <w:r>
        <w:rPr>
          <w:rFonts w:hint="eastAsia" w:ascii="仿宋" w:hAnsi="仿宋" w:eastAsia="仿宋" w:cs="仿宋"/>
          <w:b w:val="0"/>
          <w:bCs w:val="0"/>
          <w:sz w:val="28"/>
          <w:szCs w:val="28"/>
          <w:lang w:eastAsia="zh-CN"/>
        </w:rPr>
        <w:t>。</w:t>
      </w:r>
    </w:p>
    <w:p w14:paraId="7AC338B0">
      <w:pPr>
        <w:pageBreakBefore w:val="0"/>
        <w:kinsoku/>
        <w:wordWrap/>
        <w:overflowPunct/>
        <w:topLinePunct w:val="0"/>
        <w:autoSpaceDE/>
        <w:autoSpaceDN/>
        <w:bidi w:val="0"/>
        <w:snapToGrid/>
        <w:spacing w:line="480" w:lineRule="exact"/>
        <w:ind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十二</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资格和履约能力要求</w:t>
      </w:r>
      <w:bookmarkEnd w:id="8"/>
      <w:bookmarkEnd w:id="9"/>
      <w:bookmarkEnd w:id="10"/>
      <w:bookmarkEnd w:id="11"/>
      <w:r>
        <w:rPr>
          <w:rFonts w:hint="eastAsia" w:ascii="仿宋" w:hAnsi="仿宋" w:eastAsia="仿宋" w:cs="仿宋"/>
          <w:color w:val="auto"/>
          <w:sz w:val="28"/>
          <w:szCs w:val="28"/>
          <w:lang w:eastAsia="zh-CN"/>
        </w:rPr>
        <w:t>：</w:t>
      </w:r>
    </w:p>
    <w:p w14:paraId="60A712A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（1）供应商须为中华人民共和国境内依法注册的法人或者其他组织，有能力完成本项目的厂家或经销商，具备合法的营业执照；</w:t>
      </w:r>
    </w:p>
    <w:p w14:paraId="03623D00">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（2）供应商已取得陕西锌业有限公司供应商库该类产品入库供应商资格。</w:t>
      </w:r>
    </w:p>
    <w:p w14:paraId="7625647E">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信用要求：</w:t>
      </w:r>
    </w:p>
    <w:p w14:paraId="2114E8D9">
      <w:pPr>
        <w:pageBreakBefore w:val="0"/>
        <w:numPr>
          <w:ilvl w:val="0"/>
          <w:numId w:val="0"/>
        </w:numPr>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（1）供应商具有良好的银行资信和商业信誉，没有处于被责令停业、财产被接管、冻结、破产状态（附承诺书）；</w:t>
      </w:r>
    </w:p>
    <w:p w14:paraId="4B12258A">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（2）供应商不得在“信用中国-中国执行信息公开网”被列为失信被执行人；</w:t>
      </w:r>
    </w:p>
    <w:p w14:paraId="1DB8B39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业绩要求：</w:t>
      </w:r>
      <w:r>
        <w:rPr>
          <w:rFonts w:hint="eastAsia" w:ascii="仿宋" w:hAnsi="仿宋" w:eastAsia="仿宋" w:cs="仿宋"/>
          <w:color w:val="auto"/>
          <w:sz w:val="28"/>
          <w:szCs w:val="28"/>
          <w:lang w:val="en-US" w:eastAsia="zh-CN"/>
        </w:rPr>
        <w:t>供应商2023年5月至今具有类似业绩（提供合同复印件，时间以合同签订时间为准）；</w:t>
      </w:r>
    </w:p>
    <w:p w14:paraId="04C0E152">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4.联合体响应：本项目不接受联合体响应。</w:t>
      </w:r>
    </w:p>
    <w:p w14:paraId="241F152A">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其他要求：</w:t>
      </w:r>
    </w:p>
    <w:p w14:paraId="5C6CE151">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不得存在下列情形之一：</w:t>
      </w:r>
    </w:p>
    <w:p w14:paraId="539C389B">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存在利害关系可能影响</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公正性；</w:t>
      </w:r>
    </w:p>
    <w:p w14:paraId="77F56EEC">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法定代表人（单位负责人）为同一人或者存在控股、管理关系的不同法人或其他组织同时参加</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w:t>
      </w:r>
    </w:p>
    <w:p w14:paraId="373FA8A4">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被依法暂停或者取消</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 xml:space="preserve">资格； </w:t>
      </w:r>
    </w:p>
    <w:p w14:paraId="0A7B11CA">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被责令停产停业、暂扣或者吊销许可证、暂扣或者吊销执照；</w:t>
      </w:r>
    </w:p>
    <w:p w14:paraId="4BFC61E0">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进入清算程序，或被宣告破产，或其他丧失履约能力的情形；</w:t>
      </w:r>
    </w:p>
    <w:p w14:paraId="2D194507">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在最近三年内发生重大产品质量问题；</w:t>
      </w:r>
    </w:p>
    <w:p w14:paraId="1717BC4F">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法律法规规定的其他情形。</w:t>
      </w:r>
    </w:p>
    <w:p w14:paraId="455A731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2"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pacing w:val="1"/>
          <w:sz w:val="28"/>
          <w:szCs w:val="28"/>
          <w:highlight w:val="none"/>
          <w:lang w:eastAsia="zh-CN"/>
        </w:rPr>
        <w:t>询比采购文件的获取</w:t>
      </w:r>
    </w:p>
    <w:p w14:paraId="755844E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询比采购文件在陕西锌业有限公司网络询比采购平台（www.sxxyjjpt.com）发布，符合条件的供应商可自行下载采购文件。</w:t>
      </w:r>
    </w:p>
    <w:p w14:paraId="4A04484A">
      <w:pPr>
        <w:pStyle w:val="3"/>
        <w:pageBreakBefore w:val="0"/>
        <w:kinsoku/>
        <w:wordWrap/>
        <w:overflowPunct/>
        <w:topLinePunct w:val="0"/>
        <w:autoSpaceDE/>
        <w:autoSpaceDN/>
        <w:bidi w:val="0"/>
        <w:snapToGrid/>
        <w:spacing w:before="0" w:after="0" w:line="480" w:lineRule="exact"/>
        <w:ind w:left="0" w:leftChars="0" w:firstLine="562" w:firstLineChars="200"/>
        <w:jc w:val="both"/>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三、供应商</w:t>
      </w:r>
      <w:r>
        <w:rPr>
          <w:rFonts w:hint="eastAsia" w:ascii="仿宋" w:hAnsi="仿宋" w:eastAsia="仿宋" w:cs="仿宋"/>
          <w:b/>
          <w:bCs/>
          <w:color w:val="auto"/>
          <w:sz w:val="28"/>
          <w:szCs w:val="28"/>
          <w:lang w:eastAsia="zh-CN"/>
        </w:rPr>
        <w:t>响应</w:t>
      </w:r>
    </w:p>
    <w:p w14:paraId="1782172A">
      <w:pPr>
        <w:pageBreakBefore w:val="0"/>
        <w:kinsoku/>
        <w:wordWrap/>
        <w:overflowPunct/>
        <w:topLinePunct w:val="0"/>
        <w:autoSpaceDE/>
        <w:autoSpaceDN/>
        <w:bidi w:val="0"/>
        <w:snapToGrid/>
        <w:spacing w:line="480" w:lineRule="exact"/>
        <w:rPr>
          <w:rFonts w:hint="eastAsia" w:ascii="仿宋" w:hAnsi="仿宋" w:eastAsia="仿宋" w:cs="仿宋"/>
          <w:sz w:val="28"/>
          <w:szCs w:val="28"/>
          <w:lang w:val="en-US"/>
        </w:rPr>
      </w:pPr>
      <w:r>
        <w:rPr>
          <w:rFonts w:hint="eastAsia" w:ascii="仿宋" w:hAnsi="仿宋" w:eastAsia="仿宋" w:cs="仿宋"/>
          <w:b/>
          <w:bCs/>
          <w:color w:val="auto"/>
          <w:sz w:val="28"/>
          <w:szCs w:val="28"/>
          <w:lang w:val="en-US" w:eastAsia="zh-CN"/>
        </w:rPr>
        <w:t xml:space="preserve">   </w:t>
      </w:r>
      <w:r>
        <w:rPr>
          <w:rFonts w:hint="eastAsia" w:ascii="仿宋" w:hAnsi="仿宋" w:eastAsia="仿宋" w:cs="仿宋"/>
          <w:b w:val="0"/>
          <w:bCs w:val="0"/>
          <w:color w:val="auto"/>
          <w:sz w:val="28"/>
          <w:szCs w:val="28"/>
          <w:lang w:val="en-US" w:eastAsia="zh-CN"/>
        </w:rPr>
        <w:t>（一）响应报价</w:t>
      </w:r>
    </w:p>
    <w:p w14:paraId="5313A59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w:t>
      </w:r>
      <w:r>
        <w:rPr>
          <w:rFonts w:hint="eastAsia" w:ascii="仿宋" w:hAnsi="仿宋" w:eastAsia="仿宋" w:cs="仿宋"/>
          <w:color w:val="auto"/>
          <w:sz w:val="28"/>
          <w:szCs w:val="28"/>
          <w:lang w:val="en-US" w:eastAsia="zh-CN"/>
        </w:rPr>
        <w:t>按</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格式”要求在</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中进行报价并填写</w:t>
      </w:r>
      <w:r>
        <w:rPr>
          <w:rFonts w:hint="eastAsia" w:ascii="仿宋" w:hAnsi="仿宋" w:eastAsia="仿宋" w:cs="仿宋"/>
          <w:color w:val="auto"/>
          <w:sz w:val="28"/>
          <w:szCs w:val="28"/>
          <w:lang w:eastAsia="zh-CN"/>
        </w:rPr>
        <w:t>响应文件的</w:t>
      </w:r>
      <w:r>
        <w:rPr>
          <w:rFonts w:hint="eastAsia" w:ascii="仿宋" w:hAnsi="仿宋" w:eastAsia="仿宋" w:cs="仿宋"/>
          <w:color w:val="auto"/>
          <w:sz w:val="28"/>
          <w:szCs w:val="28"/>
          <w:lang w:val="en-US" w:eastAsia="zh-CN"/>
        </w:rPr>
        <w:t>开启</w:t>
      </w:r>
      <w:r>
        <w:rPr>
          <w:rFonts w:hint="eastAsia" w:ascii="仿宋" w:hAnsi="仿宋" w:eastAsia="仿宋" w:cs="仿宋"/>
          <w:color w:val="auto"/>
          <w:sz w:val="28"/>
          <w:szCs w:val="28"/>
        </w:rPr>
        <w:t>一览表。</w:t>
      </w:r>
    </w:p>
    <w:p w14:paraId="7B2E97F6">
      <w:pPr>
        <w:pStyle w:val="5"/>
        <w:pageBreakBefore w:val="0"/>
        <w:numPr>
          <w:ilvl w:val="0"/>
          <w:numId w:val="0"/>
        </w:numPr>
        <w:kinsoku/>
        <w:wordWrap/>
        <w:overflowPunct/>
        <w:topLinePunct w:val="0"/>
        <w:autoSpaceDE/>
        <w:autoSpaceDN/>
        <w:bidi w:val="0"/>
        <w:snapToGrid/>
        <w:spacing w:after="0" w:line="480" w:lineRule="exact"/>
        <w:ind w:left="0" w:firstLine="560" w:firstLineChars="200"/>
        <w:jc w:val="both"/>
        <w:rPr>
          <w:rFonts w:hint="eastAsia" w:ascii="仿宋" w:hAnsi="仿宋" w:eastAsia="仿宋" w:cs="仿宋"/>
          <w:sz w:val="28"/>
          <w:szCs w:val="28"/>
          <w:highlight w:val="none"/>
        </w:rPr>
      </w:pPr>
      <w:r>
        <w:rPr>
          <w:rFonts w:hint="eastAsia" w:ascii="仿宋" w:hAnsi="仿宋" w:eastAsia="仿宋" w:cs="仿宋"/>
          <w:color w:val="auto"/>
          <w:sz w:val="28"/>
          <w:szCs w:val="28"/>
          <w:lang w:val="en-US" w:eastAsia="zh-CN"/>
        </w:rPr>
        <w:t>2.</w:t>
      </w:r>
      <w:r>
        <w:rPr>
          <w:rFonts w:hint="eastAsia" w:ascii="仿宋" w:hAnsi="仿宋" w:eastAsia="仿宋" w:cs="仿宋"/>
          <w:sz w:val="28"/>
          <w:szCs w:val="28"/>
        </w:rPr>
        <w:t>报价</w:t>
      </w:r>
      <w:r>
        <w:rPr>
          <w:rFonts w:hint="eastAsia" w:ascii="仿宋" w:hAnsi="仿宋" w:eastAsia="仿宋" w:cs="仿宋"/>
          <w:sz w:val="28"/>
          <w:szCs w:val="28"/>
          <w:highlight w:val="none"/>
        </w:rPr>
        <w:t>包括商检费、运输费、保险费、税费以及采购人指定地点全包价。该价款不因原料、材料、劳务、能源等市场价格的变动而变动。</w:t>
      </w:r>
    </w:p>
    <w:p w14:paraId="235BE6B8">
      <w:pPr>
        <w:pStyle w:val="5"/>
        <w:pageBreakBefore w:val="0"/>
        <w:numPr>
          <w:ilvl w:val="0"/>
          <w:numId w:val="0"/>
        </w:numPr>
        <w:kinsoku/>
        <w:wordWrap/>
        <w:overflowPunct/>
        <w:topLinePunct w:val="0"/>
        <w:autoSpaceDE/>
        <w:autoSpaceDN/>
        <w:bidi w:val="0"/>
        <w:snapToGrid/>
        <w:spacing w:after="0"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前修改</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总额，应同时修</w:t>
      </w:r>
      <w:bookmarkStart w:id="12" w:name="_Toc384308223"/>
      <w:bookmarkStart w:id="13" w:name="_Toc361508598"/>
      <w:bookmarkStart w:id="14" w:name="_Toc247513966"/>
      <w:bookmarkStart w:id="15" w:name="_Toc152042318"/>
      <w:bookmarkStart w:id="16" w:name="_Toc25772"/>
      <w:bookmarkStart w:id="17" w:name="_Toc247527567"/>
      <w:bookmarkStart w:id="18" w:name="_Toc152045542"/>
      <w:bookmarkStart w:id="19" w:name="_Toc369531529"/>
      <w:bookmarkStart w:id="20" w:name="_Toc144974510"/>
      <w:bookmarkStart w:id="21" w:name="_Toc300834963"/>
      <w:bookmarkStart w:id="22" w:name="_Toc352691486"/>
      <w:r>
        <w:rPr>
          <w:rFonts w:hint="eastAsia" w:ascii="仿宋" w:hAnsi="仿宋" w:eastAsia="仿宋" w:cs="仿宋"/>
          <w:color w:val="auto"/>
          <w:sz w:val="28"/>
          <w:szCs w:val="28"/>
        </w:rPr>
        <w:t>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一览表”、</w:t>
      </w:r>
      <w:bookmarkEnd w:id="12"/>
      <w:bookmarkEnd w:id="13"/>
      <w:bookmarkEnd w:id="14"/>
      <w:bookmarkEnd w:id="15"/>
      <w:bookmarkEnd w:id="16"/>
      <w:bookmarkEnd w:id="17"/>
      <w:bookmarkEnd w:id="18"/>
      <w:bookmarkEnd w:id="19"/>
      <w:bookmarkEnd w:id="20"/>
      <w:bookmarkEnd w:id="21"/>
      <w:bookmarkEnd w:id="22"/>
      <w:bookmarkStart w:id="23" w:name="_Toc352691487"/>
      <w:bookmarkStart w:id="24" w:name="_Toc247527568"/>
      <w:bookmarkStart w:id="25" w:name="_Toc152045543"/>
      <w:bookmarkStart w:id="26" w:name="_Toc384308224"/>
      <w:bookmarkStart w:id="27" w:name="_Toc247513967"/>
      <w:bookmarkStart w:id="28" w:name="_Toc300834964"/>
      <w:bookmarkStart w:id="29" w:name="_Toc15242"/>
      <w:bookmarkStart w:id="30" w:name="_Toc369531530"/>
      <w:bookmarkStart w:id="31" w:name="_Toc361508599"/>
      <w:bookmarkStart w:id="32" w:name="_Toc144974511"/>
      <w:bookmarkStart w:id="33" w:name="_Toc152042319"/>
      <w:r>
        <w:rPr>
          <w:rFonts w:hint="eastAsia" w:ascii="仿宋" w:hAnsi="仿宋" w:eastAsia="仿宋" w:cs="仿宋"/>
          <w:color w:val="auto"/>
          <w:sz w:val="28"/>
          <w:szCs w:val="28"/>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w:t>
      </w:r>
    </w:p>
    <w:p w14:paraId="0DD43B6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是</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、签订合同及合同执行过程中的依据，不得进行实质性变动。</w:t>
      </w:r>
    </w:p>
    <w:p w14:paraId="214512F2">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）响应有效期</w:t>
      </w:r>
    </w:p>
    <w:p w14:paraId="0AF4E8E6">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从提交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截止之日起算</w:t>
      </w:r>
      <w:r>
        <w:rPr>
          <w:rFonts w:hint="eastAsia" w:ascii="仿宋" w:hAnsi="仿宋" w:eastAsia="仿宋" w:cs="仿宋"/>
          <w:color w:val="auto"/>
          <w:sz w:val="28"/>
          <w:szCs w:val="28"/>
          <w:lang w:val="en-US" w:eastAsia="zh-CN"/>
        </w:rPr>
        <w:t>40</w:t>
      </w:r>
      <w:r>
        <w:rPr>
          <w:rFonts w:hint="eastAsia" w:ascii="仿宋" w:hAnsi="仿宋" w:eastAsia="仿宋" w:cs="仿宋"/>
          <w:color w:val="auto"/>
          <w:sz w:val="28"/>
          <w:szCs w:val="28"/>
        </w:rPr>
        <w:t>天。</w:t>
      </w:r>
    </w:p>
    <w:p w14:paraId="3EAC3C8A">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的，应承担</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和法律规定的责任。</w:t>
      </w:r>
    </w:p>
    <w:p w14:paraId="7AFA829E">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）响应保证金</w:t>
      </w:r>
    </w:p>
    <w:p w14:paraId="41BB020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在递交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的同时，应按规定的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格式递交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lang w:val="en-US" w:eastAsia="zh-CN"/>
        </w:rPr>
        <w:t>5万元</w:t>
      </w:r>
      <w:r>
        <w:rPr>
          <w:rFonts w:hint="eastAsia" w:ascii="仿宋" w:hAnsi="仿宋" w:eastAsia="仿宋" w:cs="仿宋"/>
          <w:color w:val="auto"/>
          <w:sz w:val="28"/>
          <w:szCs w:val="28"/>
        </w:rPr>
        <w:t>，并作为其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1F2D4B60">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保证金支付账户如下：</w:t>
      </w:r>
    </w:p>
    <w:p w14:paraId="3E46E54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收款人：陕西锌业有限公司</w:t>
      </w:r>
    </w:p>
    <w:p w14:paraId="2EE1F492">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账号：26805701040010332</w:t>
      </w:r>
    </w:p>
    <w:p w14:paraId="61A009E4">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开户行：中国农业银行商洛商州区支行</w:t>
      </w:r>
    </w:p>
    <w:p w14:paraId="19F5C2D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的形式：转账、保函、支票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签订保证金协议等</w:t>
      </w:r>
      <w:r>
        <w:rPr>
          <w:rFonts w:hint="eastAsia" w:ascii="仿宋" w:hAnsi="仿宋" w:eastAsia="仿宋" w:cs="仿宋"/>
          <w:color w:val="auto"/>
          <w:sz w:val="28"/>
          <w:szCs w:val="28"/>
        </w:rPr>
        <w:t>任何一种。</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以现金或者支票形式提交的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，应当从其基本账户转出并在</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中附上基本账户开户证明</w:t>
      </w:r>
      <w:r>
        <w:rPr>
          <w:rFonts w:hint="eastAsia" w:ascii="仿宋" w:hAnsi="仿宋" w:eastAsia="仿宋" w:cs="仿宋"/>
          <w:color w:val="auto"/>
          <w:sz w:val="28"/>
          <w:szCs w:val="28"/>
          <w:lang w:eastAsia="zh-CN"/>
        </w:rPr>
        <w:t>。</w:t>
      </w:r>
    </w:p>
    <w:p w14:paraId="6A97589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必须在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前到达指定帐户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以保函形式缴纳保证金其保函须由银行或</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rPr>
        <w:t>有出具保函资格的单位出具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并于</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现场递交保函原件，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中附保函复印件。</w:t>
      </w:r>
    </w:p>
    <w:p w14:paraId="60CB570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有效期与</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一致。</w:t>
      </w:r>
    </w:p>
    <w:p w14:paraId="2DA2FFB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不按</w:t>
      </w:r>
      <w:bookmarkStart w:id="34" w:name="_Toc29025"/>
      <w:bookmarkStart w:id="35" w:name="_Toc384308227"/>
      <w:bookmarkStart w:id="36" w:name="_Toc369531533"/>
      <w:bookmarkStart w:id="37" w:name="_Toc361508602"/>
      <w:bookmarkStart w:id="38" w:name="_Toc352691490"/>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bookmarkEnd w:id="34"/>
      <w:bookmarkEnd w:id="35"/>
      <w:bookmarkEnd w:id="36"/>
      <w:bookmarkEnd w:id="37"/>
      <w:bookmarkEnd w:id="38"/>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将否决其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5D9A16C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最迟应当在与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bookmarkStart w:id="39" w:name="_Toc352691491"/>
      <w:bookmarkStart w:id="40" w:name="_Toc247527571"/>
      <w:bookmarkStart w:id="41" w:name="_Toc144974514"/>
      <w:bookmarkStart w:id="42" w:name="_Toc300834967"/>
      <w:bookmarkStart w:id="43" w:name="_Toc152045546"/>
      <w:bookmarkStart w:id="44" w:name="_Toc152042322"/>
      <w:bookmarkStart w:id="45" w:name="_Toc361508603"/>
      <w:bookmarkStart w:id="46" w:name="_Toc384308228"/>
      <w:bookmarkStart w:id="47" w:name="_Toc14751"/>
      <w:bookmarkStart w:id="48" w:name="_Toc369531534"/>
      <w:bookmarkStart w:id="49" w:name="_Toc247513970"/>
      <w:r>
        <w:rPr>
          <w:rFonts w:hint="eastAsia" w:ascii="仿宋" w:hAnsi="仿宋" w:eastAsia="仿宋" w:cs="仿宋"/>
          <w:color w:val="auto"/>
          <w:sz w:val="28"/>
          <w:szCs w:val="28"/>
        </w:rPr>
        <w:t>签订合同后</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28"/>
          <w:szCs w:val="28"/>
        </w:rPr>
        <w:t>内</w:t>
      </w:r>
      <w:bookmarkStart w:id="50" w:name="_Toc361508604"/>
      <w:bookmarkStart w:id="51" w:name="_Toc247527572"/>
      <w:bookmarkStart w:id="52" w:name="_Toc152045547"/>
      <w:bookmarkStart w:id="53" w:name="_Toc152042323"/>
      <w:bookmarkStart w:id="54" w:name="_Toc369531535"/>
      <w:bookmarkStart w:id="55" w:name="_Toc144974515"/>
      <w:bookmarkStart w:id="56" w:name="_Toc247513971"/>
      <w:bookmarkStart w:id="57" w:name="_Toc384308229"/>
      <w:bookmarkStart w:id="58" w:name="_Toc17952"/>
      <w:bookmarkStart w:id="59" w:name="_Toc300834968"/>
      <w:bookmarkStart w:id="60" w:name="_Toc352691492"/>
      <w:r>
        <w:rPr>
          <w:rFonts w:hint="eastAsia" w:ascii="仿宋" w:hAnsi="仿宋" w:eastAsia="仿宋" w:cs="仿宋"/>
          <w:color w:val="auto"/>
          <w:sz w:val="28"/>
          <w:szCs w:val="28"/>
        </w:rPr>
        <w:t>，向未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r>
        <w:rPr>
          <w:rFonts w:hint="eastAsia" w:ascii="仿宋" w:hAnsi="仿宋" w:eastAsia="仿宋" w:cs="仿宋"/>
          <w:color w:val="auto"/>
          <w:sz w:val="28"/>
          <w:szCs w:val="28"/>
          <w:lang w:val="en-US" w:eastAsia="zh-CN"/>
        </w:rPr>
        <w:t>无息</w:t>
      </w:r>
      <w:r>
        <w:rPr>
          <w:rFonts w:hint="eastAsia" w:ascii="仿宋" w:hAnsi="仿宋" w:eastAsia="仿宋" w:cs="仿宋"/>
          <w:color w:val="auto"/>
          <w:sz w:val="28"/>
          <w:szCs w:val="28"/>
        </w:rPr>
        <w:t>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w:t>
      </w:r>
    </w:p>
    <w:p w14:paraId="717C6550">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有下列情形之一的，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将不予退还：</w:t>
      </w:r>
    </w:p>
    <w:p w14:paraId="56AE7978">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p>
    <w:p w14:paraId="1495D0EA">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人在收到</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项目的，无正当理由不与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订立合同的，在签订合同时向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提出附加条件或者更改合同实质性内容的，或者拒不按照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要求提交履约担保的。</w:t>
      </w:r>
    </w:p>
    <w:p w14:paraId="4F81DA31">
      <w:pPr>
        <w:pStyle w:val="3"/>
        <w:pageBreakBefore w:val="0"/>
        <w:kinsoku/>
        <w:wordWrap/>
        <w:overflowPunct/>
        <w:topLinePunct w:val="0"/>
        <w:autoSpaceDE/>
        <w:autoSpaceDN/>
        <w:bidi w:val="0"/>
        <w:snapToGrid/>
        <w:spacing w:before="0" w:after="0" w:line="480" w:lineRule="exact"/>
        <w:ind w:left="0" w:firstLine="280" w:firstLineChars="100"/>
        <w:jc w:val="both"/>
        <w:rPr>
          <w:rFonts w:hint="eastAsia" w:ascii="仿宋" w:hAnsi="仿宋" w:eastAsia="仿宋" w:cs="仿宋"/>
          <w:color w:val="auto"/>
          <w:sz w:val="28"/>
          <w:szCs w:val="28"/>
        </w:rPr>
      </w:pPr>
      <w:bookmarkStart w:id="61" w:name="_Toc21871"/>
      <w:bookmarkStart w:id="62" w:name="_Toc28216"/>
      <w:bookmarkStart w:id="63" w:name="_Toc24514"/>
      <w:bookmarkStart w:id="64" w:name="_Toc33795794"/>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资格审查资料</w:t>
      </w:r>
      <w:bookmarkEnd w:id="61"/>
      <w:bookmarkEnd w:id="62"/>
      <w:bookmarkEnd w:id="63"/>
      <w:bookmarkEnd w:id="64"/>
    </w:p>
    <w:p w14:paraId="6CD8656A">
      <w:pPr>
        <w:pStyle w:val="3"/>
        <w:pageBreakBefore w:val="0"/>
        <w:kinsoku/>
        <w:wordWrap/>
        <w:overflowPunct/>
        <w:topLinePunct w:val="0"/>
        <w:autoSpaceDE/>
        <w:autoSpaceDN/>
        <w:bidi w:val="0"/>
        <w:snapToGrid/>
        <w:spacing w:before="0" w:after="0"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应按下列规定提供相关的证明材料，以证明其满足资质、财务、业绩、信誉要求。</w:t>
      </w:r>
    </w:p>
    <w:p w14:paraId="74F1ED1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基本情况表”应附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资格或者资质证书副本等材料的复印件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为企业的，应提交营业执照复印件；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为依法允许经营的事业单位的，应提交事业单位法人证书和组织机构代码证的复印件。</w:t>
      </w:r>
    </w:p>
    <w:p w14:paraId="6288B441">
      <w:pPr>
        <w:pageBreakBefore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“近年财务状况表”应</w:t>
      </w:r>
      <w:r>
        <w:rPr>
          <w:rFonts w:hint="eastAsia" w:ascii="仿宋" w:hAnsi="仿宋" w:eastAsia="仿宋" w:cs="仿宋"/>
          <w:color w:val="auto"/>
          <w:sz w:val="28"/>
          <w:szCs w:val="28"/>
          <w:lang w:val="en-US" w:eastAsia="zh-CN"/>
        </w:rPr>
        <w:t>附近两年来的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财务报表或经审计机构审计的财务会计报表，包括资产负债表、现金</w:t>
      </w:r>
    </w:p>
    <w:p w14:paraId="37C3954A">
      <w:pPr>
        <w:pageBreakBefore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流量表、利润表和财务情况说明书的复印件，成立的时间不足</w:t>
      </w:r>
      <w:r>
        <w:rPr>
          <w:rFonts w:hint="eastAsia" w:ascii="仿宋" w:hAnsi="仿宋" w:eastAsia="仿宋" w:cs="仿宋"/>
          <w:color w:val="auto"/>
          <w:sz w:val="28"/>
          <w:szCs w:val="28"/>
          <w:lang w:val="en-US" w:eastAsia="zh-CN"/>
        </w:rPr>
        <w:t>两年</w:t>
      </w:r>
      <w:r>
        <w:rPr>
          <w:rFonts w:hint="eastAsia" w:ascii="仿宋" w:hAnsi="仿宋" w:eastAsia="仿宋" w:cs="仿宋"/>
          <w:color w:val="auto"/>
          <w:sz w:val="28"/>
          <w:szCs w:val="28"/>
        </w:rPr>
        <w:t>的，应提供成立以来的财务状况。</w:t>
      </w:r>
    </w:p>
    <w:p w14:paraId="3E3BC615">
      <w:pPr>
        <w:pageBreakBefore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“近年完成的类似项目情况表”应附</w:t>
      </w:r>
      <w:r>
        <w:rPr>
          <w:rFonts w:hint="eastAsia" w:ascii="仿宋" w:hAnsi="仿宋" w:eastAsia="仿宋" w:cs="仿宋"/>
          <w:color w:val="auto"/>
          <w:sz w:val="28"/>
          <w:szCs w:val="28"/>
          <w:lang w:val="en-US" w:eastAsia="zh-CN"/>
        </w:rPr>
        <w:t>从2023年5月至今的</w:t>
      </w:r>
      <w:r>
        <w:rPr>
          <w:rFonts w:hint="eastAsia" w:ascii="仿宋" w:hAnsi="仿宋" w:eastAsia="仿宋" w:cs="仿宋"/>
          <w:color w:val="auto"/>
          <w:sz w:val="28"/>
          <w:szCs w:val="28"/>
        </w:rPr>
        <w:t>合同复印件，每张表格只填写一个项目，并标明序号。</w:t>
      </w:r>
    </w:p>
    <w:p w14:paraId="06230213">
      <w:pPr>
        <w:pageBreakBefore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“近年发生的诉讼及仲裁情况”应说明相关情况，并附</w:t>
      </w:r>
      <w:r>
        <w:rPr>
          <w:rFonts w:hint="eastAsia" w:ascii="仿宋" w:hAnsi="仿宋" w:eastAsia="仿宋" w:cs="仿宋"/>
          <w:color w:val="auto"/>
          <w:sz w:val="28"/>
          <w:szCs w:val="28"/>
          <w:lang w:val="en-US" w:eastAsia="zh-CN"/>
        </w:rPr>
        <w:t>2022年3月至今的</w:t>
      </w:r>
      <w:r>
        <w:rPr>
          <w:rFonts w:hint="eastAsia" w:ascii="仿宋" w:hAnsi="仿宋" w:eastAsia="仿宋" w:cs="仿宋"/>
          <w:color w:val="auto"/>
          <w:sz w:val="28"/>
          <w:szCs w:val="28"/>
        </w:rPr>
        <w:t>法院或仲裁机构作出的判决、裁决等有关法律文书复印件。</w:t>
      </w:r>
    </w:p>
    <w:p w14:paraId="55CF8B55">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b w:val="0"/>
          <w:bCs w:val="0"/>
          <w:color w:val="auto"/>
          <w:spacing w:val="1"/>
          <w:sz w:val="28"/>
          <w:szCs w:val="28"/>
          <w:highlight w:val="none"/>
          <w:lang w:eastAsia="zh-CN"/>
        </w:rPr>
      </w:pPr>
      <w:r>
        <w:rPr>
          <w:rFonts w:hint="eastAsia" w:ascii="仿宋" w:hAnsi="仿宋" w:eastAsia="仿宋" w:cs="仿宋"/>
          <w:b w:val="0"/>
          <w:bCs w:val="0"/>
          <w:color w:val="auto"/>
          <w:spacing w:val="1"/>
          <w:sz w:val="28"/>
          <w:szCs w:val="28"/>
          <w:highlight w:val="none"/>
          <w:lang w:eastAsia="zh-CN"/>
        </w:rPr>
        <w:t>（五）响应文件的</w:t>
      </w:r>
      <w:r>
        <w:rPr>
          <w:rFonts w:hint="eastAsia" w:ascii="仿宋" w:hAnsi="仿宋" w:eastAsia="仿宋" w:cs="仿宋"/>
          <w:b w:val="0"/>
          <w:bCs w:val="0"/>
          <w:color w:val="auto"/>
          <w:spacing w:val="1"/>
          <w:sz w:val="28"/>
          <w:szCs w:val="28"/>
          <w:highlight w:val="none"/>
          <w:lang w:val="en-US" w:eastAsia="zh-CN"/>
        </w:rPr>
        <w:t>提</w:t>
      </w:r>
      <w:r>
        <w:rPr>
          <w:rFonts w:hint="eastAsia" w:ascii="仿宋" w:hAnsi="仿宋" w:eastAsia="仿宋" w:cs="仿宋"/>
          <w:b w:val="0"/>
          <w:bCs w:val="0"/>
          <w:color w:val="auto"/>
          <w:spacing w:val="1"/>
          <w:sz w:val="28"/>
          <w:szCs w:val="28"/>
          <w:highlight w:val="none"/>
          <w:lang w:eastAsia="zh-CN"/>
        </w:rPr>
        <w:t>交</w:t>
      </w:r>
    </w:p>
    <w:p w14:paraId="668222A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 响应文件提交截止时间：2025年7月29日13时（北京时间）；</w:t>
      </w:r>
    </w:p>
    <w:p w14:paraId="2B1C985E">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pacing w:val="1"/>
          <w:sz w:val="28"/>
          <w:szCs w:val="28"/>
          <w:highlight w:val="none"/>
          <w:lang w:val="en-US" w:eastAsia="zh-CN"/>
        </w:rPr>
        <w:t>2.提交方法：</w:t>
      </w:r>
      <w:r>
        <w:rPr>
          <w:rFonts w:hint="eastAsia" w:ascii="仿宋" w:hAnsi="仿宋" w:eastAsia="仿宋" w:cs="仿宋"/>
          <w:b w:val="0"/>
          <w:bCs w:val="0"/>
          <w:i w:val="0"/>
          <w:iCs w:val="0"/>
          <w:caps w:val="0"/>
          <w:color w:val="333333"/>
          <w:spacing w:val="0"/>
          <w:sz w:val="28"/>
          <w:szCs w:val="28"/>
          <w:shd w:val="clear" w:fill="FEFEFE"/>
        </w:rPr>
        <w:t>陕西锌业有限公司网络询比采购平台（</w:t>
      </w:r>
      <w:r>
        <w:rPr>
          <w:rFonts w:hint="eastAsia" w:ascii="仿宋" w:hAnsi="仿宋" w:eastAsia="仿宋" w:cs="仿宋"/>
          <w:b w:val="0"/>
          <w:bCs w:val="0"/>
          <w:i w:val="0"/>
          <w:iCs w:val="0"/>
          <w:caps w:val="0"/>
          <w:color w:val="000000"/>
          <w:spacing w:val="0"/>
          <w:sz w:val="28"/>
          <w:szCs w:val="28"/>
          <w:u w:val="none"/>
          <w:shd w:val="clear" w:fill="FEFEFE"/>
        </w:rPr>
        <w:fldChar w:fldCharType="begin"/>
      </w:r>
      <w:r>
        <w:rPr>
          <w:rFonts w:hint="eastAsia" w:ascii="仿宋" w:hAnsi="仿宋" w:eastAsia="仿宋" w:cs="仿宋"/>
          <w:b w:val="0"/>
          <w:bCs w:val="0"/>
          <w:i w:val="0"/>
          <w:iCs w:val="0"/>
          <w:caps w:val="0"/>
          <w:color w:val="000000"/>
          <w:spacing w:val="0"/>
          <w:sz w:val="28"/>
          <w:szCs w:val="28"/>
          <w:u w:val="none"/>
          <w:shd w:val="clear" w:fill="FEFEFE"/>
        </w:rPr>
        <w:instrText xml:space="preserve"> HYPERLINK "javascript:void(0);" </w:instrText>
      </w:r>
      <w:r>
        <w:rPr>
          <w:rFonts w:hint="eastAsia" w:ascii="仿宋" w:hAnsi="仿宋" w:eastAsia="仿宋" w:cs="仿宋"/>
          <w:b w:val="0"/>
          <w:bCs w:val="0"/>
          <w:i w:val="0"/>
          <w:iCs w:val="0"/>
          <w:caps w:val="0"/>
          <w:color w:val="000000"/>
          <w:spacing w:val="0"/>
          <w:sz w:val="28"/>
          <w:szCs w:val="28"/>
          <w:u w:val="none"/>
          <w:shd w:val="clear" w:fill="FEFEFE"/>
        </w:rPr>
        <w:fldChar w:fldCharType="separate"/>
      </w:r>
      <w:r>
        <w:rPr>
          <w:rStyle w:val="12"/>
          <w:rFonts w:hint="eastAsia" w:ascii="仿宋" w:hAnsi="仿宋" w:eastAsia="仿宋" w:cs="仿宋"/>
          <w:b w:val="0"/>
          <w:bCs w:val="0"/>
          <w:i w:val="0"/>
          <w:iCs w:val="0"/>
          <w:caps w:val="0"/>
          <w:color w:val="000000"/>
          <w:spacing w:val="0"/>
          <w:sz w:val="28"/>
          <w:szCs w:val="28"/>
          <w:u w:val="none"/>
          <w:shd w:val="clear" w:fill="FEFEFE"/>
        </w:rPr>
        <w:t>www.sxxyjjpt.com</w:t>
      </w:r>
      <w:r>
        <w:rPr>
          <w:rFonts w:hint="eastAsia" w:ascii="仿宋" w:hAnsi="仿宋" w:eastAsia="仿宋" w:cs="仿宋"/>
          <w:b w:val="0"/>
          <w:bCs w:val="0"/>
          <w:i w:val="0"/>
          <w:iCs w:val="0"/>
          <w:caps w:val="0"/>
          <w:color w:val="000000"/>
          <w:spacing w:val="0"/>
          <w:sz w:val="28"/>
          <w:szCs w:val="28"/>
          <w:u w:val="none"/>
          <w:shd w:val="clear" w:fill="FEFEFE"/>
        </w:rPr>
        <w:fldChar w:fldCharType="end"/>
      </w:r>
      <w:r>
        <w:rPr>
          <w:rFonts w:hint="eastAsia" w:ascii="仿宋" w:hAnsi="仿宋" w:eastAsia="仿宋" w:cs="仿宋"/>
          <w:b w:val="0"/>
          <w:bCs w:val="0"/>
          <w:i w:val="0"/>
          <w:iCs w:val="0"/>
          <w:caps w:val="0"/>
          <w:color w:val="333333"/>
          <w:spacing w:val="0"/>
          <w:sz w:val="28"/>
          <w:szCs w:val="28"/>
          <w:shd w:val="clear" w:fill="FEFEFE"/>
        </w:rPr>
        <w:t>）</w:t>
      </w:r>
    </w:p>
    <w:p w14:paraId="3720CFD6">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联系人：南晓霞     电话： 0914-2552485</w:t>
      </w:r>
    </w:p>
    <w:p w14:paraId="42934A55">
      <w:pPr>
        <w:pStyle w:val="13"/>
        <w:keepNext w:val="0"/>
        <w:keepLines w:val="0"/>
        <w:pageBreakBefore w:val="0"/>
        <w:shd w:val="clear" w:color="auto" w:fill="auto"/>
        <w:kinsoku/>
        <w:wordWrap/>
        <w:overflowPunct/>
        <w:topLinePunct w:val="0"/>
        <w:autoSpaceDE/>
        <w:autoSpaceDN/>
        <w:bidi w:val="0"/>
        <w:adjustRightInd/>
        <w:snapToGrid/>
        <w:spacing w:before="0" w:after="120" w:line="480" w:lineRule="exact"/>
        <w:ind w:firstLine="566"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val="en-US" w:eastAsia="zh-CN"/>
        </w:rPr>
        <w:t>四</w:t>
      </w:r>
      <w:r>
        <w:rPr>
          <w:rFonts w:hint="eastAsia" w:ascii="仿宋" w:hAnsi="仿宋" w:eastAsia="仿宋" w:cs="仿宋"/>
          <w:b/>
          <w:bCs/>
          <w:color w:val="auto"/>
          <w:spacing w:val="1"/>
          <w:sz w:val="28"/>
          <w:szCs w:val="28"/>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480" w:lineRule="exact"/>
        <w:ind w:firstLine="564" w:firstLineChars="200"/>
        <w:textAlignment w:val="auto"/>
        <w:rPr>
          <w:rFonts w:hint="eastAsia" w:ascii="仿宋" w:hAnsi="仿宋" w:eastAsia="仿宋" w:cs="仿宋"/>
          <w:color w:val="auto"/>
          <w:spacing w:val="1"/>
          <w:kern w:val="0"/>
          <w:sz w:val="28"/>
          <w:szCs w:val="28"/>
          <w:highlight w:val="yellow"/>
          <w:lang w:val="en-US" w:eastAsia="zh-CN" w:bidi="ar-SA"/>
        </w:rPr>
      </w:pPr>
      <w:r>
        <w:rPr>
          <w:rFonts w:hint="eastAsia" w:ascii="仿宋" w:hAnsi="仿宋" w:eastAsia="仿宋" w:cs="仿宋"/>
          <w:color w:val="auto"/>
          <w:spacing w:val="1"/>
          <w:kern w:val="0"/>
          <w:sz w:val="28"/>
          <w:szCs w:val="28"/>
          <w:highlight w:val="none"/>
          <w:lang w:val="en-US" w:eastAsia="zh-CN" w:bidi="ar-SA"/>
        </w:rPr>
        <w:t>（一）响应文件的开启时间：</w:t>
      </w:r>
      <w:r>
        <w:rPr>
          <w:rFonts w:hint="eastAsia" w:ascii="仿宋" w:hAnsi="仿宋" w:eastAsia="仿宋" w:cs="仿宋"/>
          <w:color w:val="auto"/>
          <w:spacing w:val="1"/>
          <w:sz w:val="28"/>
          <w:szCs w:val="28"/>
          <w:highlight w:val="none"/>
          <w:lang w:val="en-US" w:eastAsia="zh-CN"/>
        </w:rPr>
        <w:t>2025年7月29日13时</w:t>
      </w:r>
      <w:r>
        <w:rPr>
          <w:rFonts w:hint="eastAsia" w:ascii="仿宋" w:hAnsi="仿宋" w:eastAsia="仿宋" w:cs="仿宋"/>
          <w:color w:val="auto"/>
          <w:spacing w:val="1"/>
          <w:kern w:val="0"/>
          <w:sz w:val="28"/>
          <w:szCs w:val="28"/>
          <w:highlight w:val="none"/>
          <w:lang w:val="en-US" w:eastAsia="zh-CN" w:bidi="ar-SA"/>
        </w:rPr>
        <w:t>；</w:t>
      </w:r>
    </w:p>
    <w:p w14:paraId="527DA884">
      <w:pPr>
        <w:keepNext w:val="0"/>
        <w:keepLines w:val="0"/>
        <w:pageBreakBefore w:val="0"/>
        <w:shd w:val="clear" w:color="auto" w:fill="auto"/>
        <w:kinsoku/>
        <w:wordWrap/>
        <w:overflowPunct/>
        <w:topLinePunct w:val="0"/>
        <w:autoSpaceDE/>
        <w:autoSpaceDN/>
        <w:bidi w:val="0"/>
        <w:adjustRightInd/>
        <w:snapToGrid/>
        <w:spacing w:line="480" w:lineRule="exact"/>
        <w:ind w:firstLine="564"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color w:val="auto"/>
          <w:spacing w:val="1"/>
          <w:kern w:val="0"/>
          <w:sz w:val="28"/>
          <w:szCs w:val="28"/>
          <w:highlight w:val="none"/>
          <w:lang w:val="en-US" w:eastAsia="zh-CN" w:bidi="ar-SA"/>
        </w:rPr>
        <w:t>（二）响应文件的开启地点：陕西锌业有限公司办公楼二楼西评审办公室（陕西省商洛市商州区沙河子镇）</w:t>
      </w:r>
    </w:p>
    <w:p w14:paraId="2F4B5F07">
      <w:pPr>
        <w:pStyle w:val="2"/>
        <w:pageBreakBefore w:val="0"/>
        <w:widowControl w:val="0"/>
        <w:kinsoku/>
        <w:wordWrap/>
        <w:overflowPunct/>
        <w:topLinePunct w:val="0"/>
        <w:autoSpaceDE/>
        <w:autoSpaceDN/>
        <w:bidi w:val="0"/>
        <w:adjustRightInd/>
        <w:snapToGrid/>
        <w:spacing w:before="0" w:after="0" w:line="480" w:lineRule="exact"/>
        <w:ind w:firstLine="562" w:firstLineChars="200"/>
        <w:jc w:val="both"/>
        <w:textAlignment w:val="auto"/>
        <w:rPr>
          <w:rFonts w:hint="eastAsia" w:ascii="仿宋" w:hAnsi="仿宋" w:eastAsia="仿宋" w:cs="仿宋"/>
          <w:color w:val="auto"/>
          <w:sz w:val="28"/>
          <w:szCs w:val="28"/>
          <w:lang w:val="en-US" w:eastAsia="zh-CN"/>
        </w:rPr>
      </w:pPr>
      <w:r>
        <w:rPr>
          <w:rStyle w:val="11"/>
          <w:rFonts w:hint="eastAsia" w:ascii="仿宋" w:hAnsi="仿宋" w:eastAsia="仿宋" w:cs="仿宋"/>
          <w:b/>
          <w:i w:val="0"/>
          <w:iCs w:val="0"/>
          <w:caps w:val="0"/>
          <w:color w:val="000000"/>
          <w:spacing w:val="0"/>
          <w:sz w:val="28"/>
          <w:szCs w:val="28"/>
          <w:lang w:val="en-US" w:eastAsia="zh-CN"/>
        </w:rPr>
        <w:t>五</w:t>
      </w:r>
      <w:r>
        <w:rPr>
          <w:rStyle w:val="11"/>
          <w:rFonts w:hint="eastAsia" w:ascii="仿宋" w:hAnsi="仿宋" w:eastAsia="仿宋" w:cs="仿宋"/>
          <w:b/>
          <w:i w:val="0"/>
          <w:iCs w:val="0"/>
          <w:caps w:val="0"/>
          <w:color w:val="000000"/>
          <w:spacing w:val="0"/>
          <w:sz w:val="28"/>
          <w:szCs w:val="28"/>
        </w:rPr>
        <w:t>、</w:t>
      </w:r>
      <w:r>
        <w:rPr>
          <w:rStyle w:val="11"/>
          <w:rFonts w:hint="eastAsia" w:ascii="仿宋" w:hAnsi="仿宋" w:eastAsia="仿宋" w:cs="仿宋"/>
          <w:b/>
          <w:i w:val="0"/>
          <w:iCs w:val="0"/>
          <w:caps w:val="0"/>
          <w:color w:val="000000"/>
          <w:spacing w:val="0"/>
          <w:sz w:val="28"/>
          <w:szCs w:val="28"/>
          <w:lang w:val="en-US" w:eastAsia="zh-CN"/>
        </w:rPr>
        <w:t>响应文件的</w:t>
      </w:r>
      <w:r>
        <w:rPr>
          <w:rFonts w:hint="eastAsia" w:ascii="仿宋" w:hAnsi="仿宋" w:eastAsia="仿宋" w:cs="仿宋"/>
          <w:color w:val="auto"/>
          <w:sz w:val="28"/>
          <w:szCs w:val="28"/>
        </w:rPr>
        <w:t>评</w:t>
      </w:r>
      <w:r>
        <w:rPr>
          <w:rFonts w:hint="eastAsia" w:ascii="仿宋" w:hAnsi="仿宋" w:eastAsia="仿宋" w:cs="仿宋"/>
          <w:color w:val="auto"/>
          <w:sz w:val="28"/>
          <w:szCs w:val="28"/>
          <w:lang w:val="en-US" w:eastAsia="zh-CN"/>
        </w:rPr>
        <w:t>审</w:t>
      </w:r>
    </w:p>
    <w:p w14:paraId="160DA3BB">
      <w:pPr>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rPr>
      </w:pPr>
      <w:r>
        <w:rPr>
          <w:rFonts w:hint="eastAsia" w:ascii="仿宋" w:hAnsi="仿宋" w:eastAsia="仿宋" w:cs="仿宋"/>
          <w:color w:val="auto"/>
          <w:sz w:val="28"/>
          <w:szCs w:val="28"/>
          <w:lang w:val="en-US" w:eastAsia="zh-CN"/>
        </w:rPr>
        <w:t xml:space="preserve">    （一）响应文件评审办法</w:t>
      </w:r>
    </w:p>
    <w:p w14:paraId="0C5E4239">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8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本次评</w:t>
      </w:r>
      <w:r>
        <w:rPr>
          <w:rFonts w:hint="eastAsia" w:ascii="仿宋" w:hAnsi="仿宋" w:eastAsia="仿宋" w:cs="仿宋"/>
          <w:color w:val="auto"/>
          <w:sz w:val="28"/>
          <w:szCs w:val="28"/>
          <w:lang w:val="en-US" w:eastAsia="zh-CN"/>
        </w:rPr>
        <w:t>审采用最低价法，是在响应文件满足采购文件实质性要求的前提下，按照供应商经评审的价格由低到高的顺序确定供应商优先次序的评审方法。</w:t>
      </w:r>
    </w:p>
    <w:p w14:paraId="64F3630A">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（二）响应文件评审程序</w:t>
      </w:r>
    </w:p>
    <w:p w14:paraId="6B22F52F">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w:t>
      </w:r>
      <w:r>
        <w:rPr>
          <w:rFonts w:hint="eastAsia" w:ascii="仿宋" w:hAnsi="仿宋" w:eastAsia="仿宋" w:cs="仿宋"/>
          <w:color w:val="auto"/>
          <w:sz w:val="28"/>
          <w:szCs w:val="28"/>
          <w:lang w:val="en-US" w:eastAsia="zh-CN"/>
        </w:rPr>
        <w:t>第一条第十二款</w:t>
      </w:r>
      <w:r>
        <w:rPr>
          <w:rFonts w:hint="eastAsia" w:ascii="仿宋" w:hAnsi="仿宋" w:eastAsia="仿宋" w:cs="仿宋"/>
          <w:color w:val="auto"/>
          <w:sz w:val="28"/>
          <w:szCs w:val="28"/>
        </w:rPr>
        <w:t>规定的有关证明和证件的原件，</w:t>
      </w:r>
      <w:r>
        <w:rPr>
          <w:rFonts w:hint="eastAsia" w:ascii="仿宋" w:hAnsi="仿宋" w:eastAsia="仿宋" w:cs="仿宋"/>
          <w:color w:val="auto"/>
          <w:sz w:val="28"/>
          <w:szCs w:val="28"/>
          <w:lang w:val="en-US"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进行初步评审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有一项不符合评审标准的，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6E609514">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有以下情形之一的，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w:t>
      </w:r>
    </w:p>
    <w:p w14:paraId="042E257F">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未经过正常途径</w:t>
      </w:r>
      <w:r>
        <w:rPr>
          <w:rFonts w:hint="eastAsia" w:ascii="仿宋" w:hAnsi="仿宋" w:eastAsia="仿宋" w:cs="仿宋"/>
          <w:color w:val="auto"/>
          <w:sz w:val="28"/>
          <w:szCs w:val="28"/>
          <w:lang w:val="en-US" w:eastAsia="zh-CN"/>
        </w:rPr>
        <w:t>获取</w:t>
      </w:r>
      <w:r>
        <w:rPr>
          <w:rFonts w:hint="eastAsia" w:ascii="仿宋" w:hAnsi="仿宋" w:eastAsia="仿宋" w:cs="仿宋"/>
          <w:color w:val="auto"/>
          <w:sz w:val="28"/>
          <w:szCs w:val="28"/>
        </w:rPr>
        <w:t>标书或</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名称或组织结构与</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不一致且未提供有效证明的；</w:t>
      </w:r>
    </w:p>
    <w:p w14:paraId="719500DB">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未经</w:t>
      </w:r>
      <w:r>
        <w:rPr>
          <w:rFonts w:hint="eastAsia" w:ascii="仿宋" w:hAnsi="仿宋" w:eastAsia="仿宋" w:cs="仿宋"/>
          <w:color w:val="auto"/>
          <w:sz w:val="28"/>
          <w:szCs w:val="28"/>
          <w:lang w:val="en-US" w:eastAsia="zh-CN"/>
        </w:rPr>
        <w:t>响应供应商</w:t>
      </w:r>
      <w:r>
        <w:rPr>
          <w:rFonts w:hint="eastAsia" w:ascii="仿宋" w:hAnsi="仿宋" w:eastAsia="仿宋" w:cs="仿宋"/>
          <w:color w:val="auto"/>
          <w:sz w:val="28"/>
          <w:szCs w:val="28"/>
        </w:rPr>
        <w:t>单位盖章和单位负责人签字或盖章的；</w:t>
      </w:r>
    </w:p>
    <w:p w14:paraId="3719410D">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未按</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要求交纳</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p>
    <w:p w14:paraId="71EECFF1">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不符合</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规定的资格条件的；</w:t>
      </w:r>
    </w:p>
    <w:p w14:paraId="72C9D508">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提交两份或多份内容不同的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，或在同一份</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，且</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不能合理说明或者提供相关证明材料，</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以低于成本价竞标的；</w:t>
      </w:r>
    </w:p>
    <w:p w14:paraId="08E6B81B">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有效期达不到</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要求的；</w:t>
      </w:r>
    </w:p>
    <w:p w14:paraId="1BC8E2AC">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方案出现严重漏项，已影响到该项目的实施的；</w:t>
      </w:r>
    </w:p>
    <w:p w14:paraId="74F4B648">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、弄虚作假、行贿等违法行为的。</w:t>
      </w:r>
    </w:p>
    <w:p w14:paraId="12D28E6C">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有算术错误的，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按以下原则要求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进</w:t>
      </w:r>
      <w:bookmarkStart w:id="65" w:name="_Toc247514027"/>
      <w:bookmarkStart w:id="66" w:name="_Toc152042380"/>
      <w:bookmarkStart w:id="67" w:name="_Toc247527628"/>
      <w:bookmarkStart w:id="68" w:name="_Toc2907"/>
      <w:bookmarkStart w:id="69" w:name="_Toc152045603"/>
      <w:bookmarkStart w:id="70" w:name="_Toc384308277"/>
      <w:bookmarkStart w:id="71" w:name="_Toc369531582"/>
      <w:bookmarkStart w:id="72" w:name="_Toc144974570"/>
      <w:bookmarkStart w:id="73" w:name="_Toc300835013"/>
      <w:bookmarkStart w:id="74" w:name="_Toc352691538"/>
      <w:bookmarkStart w:id="75" w:name="_Toc361508651"/>
      <w:r>
        <w:rPr>
          <w:rFonts w:hint="eastAsia" w:ascii="仿宋" w:hAnsi="仿宋" w:eastAsia="仿宋" w:cs="仿宋"/>
          <w:color w:val="auto"/>
          <w:sz w:val="28"/>
          <w:szCs w:val="28"/>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拒不澄清确认的，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bookmarkStart w:id="76" w:name="_Toc29291"/>
      <w:bookmarkStart w:id="77" w:name="_Toc13563"/>
      <w:bookmarkStart w:id="78" w:name="_Toc16955"/>
      <w:bookmarkStart w:id="79" w:name="_Toc33795835"/>
    </w:p>
    <w:p w14:paraId="74649D2E">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bookmarkEnd w:id="76"/>
      <w:bookmarkEnd w:id="77"/>
      <w:bookmarkEnd w:id="78"/>
      <w:bookmarkEnd w:id="79"/>
    </w:p>
    <w:p w14:paraId="5205E1B7">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发现</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的报价明显低于其他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，使得其</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可能低于其个别成本的，应当要求该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作出书面说明并提供相应的证明材料。</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不能合理说明或者不能提供相应证明材料的，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以低于成本报价竞标，并否决其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4A1A65B6">
      <w:pPr>
        <w:pStyle w:val="3"/>
        <w:pageBreakBefore w:val="0"/>
        <w:widowControl w:val="0"/>
        <w:kinsoku/>
        <w:wordWrap/>
        <w:overflowPunct/>
        <w:topLinePunct w:val="0"/>
        <w:autoSpaceDE/>
        <w:autoSpaceDN/>
        <w:bidi w:val="0"/>
        <w:adjustRightInd/>
        <w:snapToGrid/>
        <w:spacing w:before="0" w:after="0" w:line="480" w:lineRule="exact"/>
        <w:ind w:left="0" w:leftChars="0" w:firstLine="280" w:firstLineChars="100"/>
        <w:jc w:val="both"/>
        <w:textAlignment w:val="auto"/>
        <w:rPr>
          <w:rFonts w:hint="eastAsia" w:ascii="仿宋" w:hAnsi="仿宋" w:eastAsia="仿宋" w:cs="仿宋"/>
          <w:color w:val="auto"/>
          <w:sz w:val="28"/>
          <w:szCs w:val="28"/>
        </w:rPr>
      </w:pPr>
      <w:bookmarkStart w:id="80" w:name="_Toc3366"/>
      <w:bookmarkStart w:id="81" w:name="_Toc15253"/>
      <w:bookmarkStart w:id="82" w:name="_Toc33795836"/>
      <w:bookmarkStart w:id="83" w:name="_Toc32669"/>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的澄清</w:t>
      </w:r>
      <w:bookmarkEnd w:id="80"/>
      <w:bookmarkEnd w:id="81"/>
      <w:bookmarkEnd w:id="82"/>
      <w:bookmarkEnd w:id="83"/>
    </w:p>
    <w:p w14:paraId="51119C01">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评审过程</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中含义不明确、对同类问题表述不一致或者有明显文字和计算错误的内容可以书面形式要求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作必要的澄清、说明或补正。</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不接受</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主动提出的澄清、说明或补正。</w:t>
      </w:r>
    </w:p>
    <w:p w14:paraId="5651EB10">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澄清、说明或补正不得超出</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的范围且不得改变</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的实质性内容，并构成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0CD387A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提交的澄清、说明或补正有疑问的，可以要求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进一步澄清、说明或补正，直至满足</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的要求。</w:t>
      </w:r>
    </w:p>
    <w:p w14:paraId="07BDA1A1">
      <w:pPr>
        <w:pStyle w:val="3"/>
        <w:pageBreakBefore w:val="0"/>
        <w:widowControl w:val="0"/>
        <w:kinsoku/>
        <w:wordWrap/>
        <w:overflowPunct/>
        <w:topLinePunct w:val="0"/>
        <w:autoSpaceDE/>
        <w:autoSpaceDN/>
        <w:bidi w:val="0"/>
        <w:adjustRightInd/>
        <w:snapToGrid/>
        <w:spacing w:before="0" w:after="0" w:line="480" w:lineRule="exact"/>
        <w:ind w:left="0" w:leftChars="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）评审结果</w:t>
      </w:r>
    </w:p>
    <w:p w14:paraId="2FB4188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val="en-US" w:eastAsia="zh-CN"/>
        </w:rPr>
        <w:t>价格由</w:t>
      </w:r>
      <w:r>
        <w:rPr>
          <w:rFonts w:hint="eastAsia" w:ascii="仿宋" w:hAnsi="仿宋" w:eastAsia="仿宋" w:cs="仿宋"/>
          <w:color w:val="auto"/>
          <w:sz w:val="28"/>
          <w:szCs w:val="28"/>
        </w:rPr>
        <w:t>低</w:t>
      </w:r>
      <w:r>
        <w:rPr>
          <w:rFonts w:hint="eastAsia" w:ascii="仿宋" w:hAnsi="仿宋" w:eastAsia="仿宋" w:cs="仿宋"/>
          <w:color w:val="auto"/>
          <w:sz w:val="28"/>
          <w:szCs w:val="28"/>
          <w:lang w:val="en-US" w:eastAsia="zh-CN"/>
        </w:rPr>
        <w:t>到高</w:t>
      </w:r>
      <w:r>
        <w:rPr>
          <w:rFonts w:hint="eastAsia" w:ascii="仿宋" w:hAnsi="仿宋" w:eastAsia="仿宋" w:cs="仿宋"/>
          <w:color w:val="auto"/>
          <w:sz w:val="28"/>
          <w:szCs w:val="28"/>
        </w:rPr>
        <w:t>的顺序推荐</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，并标明排序。</w:t>
      </w:r>
    </w:p>
    <w:p w14:paraId="4489F1C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完成评标后，应当向</w:t>
      </w:r>
      <w:r>
        <w:rPr>
          <w:rFonts w:hint="eastAsia" w:ascii="仿宋" w:hAnsi="仿宋" w:eastAsia="仿宋" w:cs="仿宋"/>
          <w:color w:val="auto"/>
          <w:sz w:val="28"/>
          <w:szCs w:val="28"/>
          <w:lang w:val="en-US" w:eastAsia="zh-CN"/>
        </w:rPr>
        <w:t>招标办公室</w:t>
      </w:r>
      <w:r>
        <w:rPr>
          <w:rFonts w:hint="eastAsia" w:ascii="仿宋" w:hAnsi="仿宋" w:eastAsia="仿宋" w:cs="仿宋"/>
          <w:color w:val="auto"/>
          <w:sz w:val="28"/>
          <w:szCs w:val="28"/>
        </w:rPr>
        <w:t>提交书面</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名单。</w:t>
      </w:r>
    </w:p>
    <w:p w14:paraId="5470B6F9">
      <w:pPr>
        <w:pStyle w:val="2"/>
        <w:pageBreakBefore w:val="0"/>
        <w:kinsoku/>
        <w:wordWrap/>
        <w:overflowPunct/>
        <w:topLinePunct w:val="0"/>
        <w:autoSpaceDE/>
        <w:autoSpaceDN/>
        <w:bidi w:val="0"/>
        <w:snapToGrid/>
        <w:spacing w:before="0" w:after="0" w:line="480" w:lineRule="exact"/>
        <w:ind w:left="0" w:firstLine="562" w:firstLineChars="200"/>
        <w:jc w:val="both"/>
        <w:rPr>
          <w:rFonts w:hint="eastAsia" w:ascii="仿宋" w:hAnsi="仿宋" w:eastAsia="仿宋" w:cs="仿宋"/>
          <w:color w:val="auto"/>
          <w:sz w:val="28"/>
          <w:szCs w:val="28"/>
        </w:rPr>
      </w:pPr>
      <w:bookmarkStart w:id="84" w:name="_Toc8518"/>
      <w:bookmarkStart w:id="85" w:name="_Toc33795807"/>
      <w:bookmarkStart w:id="86" w:name="_Toc9481"/>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合同授予</w:t>
      </w:r>
      <w:bookmarkEnd w:id="84"/>
      <w:bookmarkEnd w:id="85"/>
      <w:bookmarkEnd w:id="86"/>
    </w:p>
    <w:p w14:paraId="5DD0CD31">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87" w:name="_Toc16094"/>
      <w:bookmarkStart w:id="88" w:name="_Toc33795808"/>
      <w:bookmarkStart w:id="89" w:name="_Toc21093"/>
      <w:bookmarkStart w:id="90" w:name="_Toc3085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w:t>
      </w:r>
      <w:bookmarkEnd w:id="87"/>
      <w:bookmarkEnd w:id="88"/>
      <w:bookmarkEnd w:id="89"/>
      <w:bookmarkEnd w:id="90"/>
    </w:p>
    <w:p w14:paraId="447CDBF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招标办</w:t>
      </w:r>
      <w:r>
        <w:rPr>
          <w:rFonts w:hint="eastAsia" w:ascii="仿宋" w:hAnsi="仿宋" w:eastAsia="仿宋" w:cs="仿宋"/>
          <w:color w:val="auto"/>
          <w:sz w:val="28"/>
          <w:szCs w:val="28"/>
        </w:rPr>
        <w:t>收到</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之日起3日内</w:t>
      </w:r>
      <w:r>
        <w:rPr>
          <w:rFonts w:hint="eastAsia" w:ascii="仿宋" w:hAnsi="仿宋" w:eastAsia="仿宋" w:cs="仿宋"/>
          <w:color w:val="auto"/>
          <w:sz w:val="28"/>
          <w:szCs w:val="28"/>
          <w:lang w:val="en-US" w:eastAsia="zh-CN"/>
        </w:rPr>
        <w:t>确定成交人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并在陕西锌业有限公司网络采购平台www.sxxyjjpt.com公示成交候选人，公示期不少于3天</w:t>
      </w:r>
      <w:r>
        <w:rPr>
          <w:rFonts w:hint="eastAsia" w:ascii="仿宋" w:hAnsi="仿宋" w:eastAsia="仿宋" w:cs="仿宋"/>
          <w:color w:val="auto"/>
          <w:sz w:val="28"/>
          <w:szCs w:val="28"/>
        </w:rPr>
        <w:t>。</w:t>
      </w:r>
    </w:p>
    <w:p w14:paraId="536712FF">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91" w:name="_Toc19079"/>
      <w:bookmarkStart w:id="92" w:name="_Toc7018"/>
      <w:bookmarkStart w:id="93" w:name="_Toc10372"/>
      <w:bookmarkStart w:id="94" w:name="_Toc33795809"/>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异议</w:t>
      </w:r>
      <w:bookmarkEnd w:id="91"/>
      <w:bookmarkEnd w:id="92"/>
      <w:bookmarkEnd w:id="93"/>
      <w:bookmarkEnd w:id="94"/>
    </w:p>
    <w:p w14:paraId="386CD98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或者其他利</w:t>
      </w:r>
      <w:bookmarkStart w:id="95" w:name="_Toc352691505"/>
      <w:bookmarkStart w:id="96" w:name="_Toc144974529"/>
      <w:bookmarkStart w:id="97" w:name="_Toc384308243"/>
      <w:bookmarkStart w:id="98" w:name="_Toc369531549"/>
      <w:bookmarkStart w:id="99" w:name="_Toc152042337"/>
      <w:bookmarkStart w:id="100" w:name="_Toc247527586"/>
      <w:bookmarkStart w:id="101" w:name="_Toc30095"/>
      <w:bookmarkStart w:id="102" w:name="_Toc152045561"/>
      <w:bookmarkStart w:id="103" w:name="_Toc361508618"/>
      <w:bookmarkStart w:id="104" w:name="_Toc247513985"/>
      <w:bookmarkStart w:id="105" w:name="_Toc300834982"/>
      <w:r>
        <w:rPr>
          <w:rFonts w:hint="eastAsia" w:ascii="仿宋" w:hAnsi="仿宋" w:eastAsia="仿宋" w:cs="仿宋"/>
          <w:color w:val="auto"/>
          <w:sz w:val="28"/>
          <w:szCs w:val="28"/>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有异议的，应当在</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公示期间提出。</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在收到异议之日起3日内</w:t>
      </w:r>
      <w:r>
        <w:rPr>
          <w:rFonts w:hint="eastAsia" w:ascii="仿宋" w:hAnsi="仿宋" w:eastAsia="仿宋" w:cs="仿宋"/>
          <w:color w:val="auto"/>
          <w:sz w:val="28"/>
          <w:szCs w:val="28"/>
          <w:lang w:val="en-US" w:eastAsia="zh-CN"/>
        </w:rPr>
        <w:t>对异议</w:t>
      </w:r>
      <w:r>
        <w:rPr>
          <w:rFonts w:hint="eastAsia" w:ascii="仿宋" w:hAnsi="仿宋" w:eastAsia="仿宋" w:cs="仿宋"/>
          <w:color w:val="auto"/>
          <w:sz w:val="28"/>
          <w:szCs w:val="28"/>
        </w:rPr>
        <w:t>作出答复；作出答复前，将暂停</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活动。</w:t>
      </w:r>
    </w:p>
    <w:p w14:paraId="6516C05B">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06" w:name="_Toc28756"/>
      <w:bookmarkStart w:id="107" w:name="_Toc21648"/>
      <w:bookmarkStart w:id="108" w:name="_Toc33795810"/>
      <w:bookmarkStart w:id="109" w:name="_Toc25590"/>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履约能力审查</w:t>
      </w:r>
      <w:bookmarkEnd w:id="106"/>
      <w:bookmarkEnd w:id="107"/>
      <w:bookmarkEnd w:id="108"/>
      <w:bookmarkEnd w:id="109"/>
    </w:p>
    <w:p w14:paraId="7CC24F1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的经营、财务状况发生较大变化或存在违法行为，</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认为可能影响其履约能力的，</w:t>
      </w:r>
      <w:r>
        <w:rPr>
          <w:rFonts w:hint="eastAsia" w:ascii="仿宋" w:hAnsi="仿宋" w:eastAsia="仿宋" w:cs="仿宋"/>
          <w:color w:val="auto"/>
          <w:sz w:val="28"/>
          <w:szCs w:val="28"/>
          <w:lang w:val="en-US" w:eastAsia="zh-CN"/>
        </w:rPr>
        <w:t>采购人招标办公室</w:t>
      </w:r>
      <w:r>
        <w:rPr>
          <w:rFonts w:hint="eastAsia" w:ascii="仿宋" w:hAnsi="仿宋" w:eastAsia="仿宋" w:cs="仿宋"/>
          <w:color w:val="auto"/>
          <w:sz w:val="28"/>
          <w:szCs w:val="28"/>
        </w:rPr>
        <w:t>将在发出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通知书前提请原</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规定的标准和方法进行审查和确认。</w:t>
      </w:r>
    </w:p>
    <w:p w14:paraId="37470340">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lang w:val="en-US"/>
        </w:rPr>
      </w:pPr>
      <w:bookmarkStart w:id="110" w:name="_Toc19470"/>
      <w:bookmarkStart w:id="111" w:name="_Toc33795811"/>
      <w:bookmarkStart w:id="112" w:name="_Toc2191"/>
      <w:bookmarkStart w:id="113" w:name="_Toc24665"/>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bookmarkEnd w:id="110"/>
      <w:bookmarkEnd w:id="111"/>
      <w:bookmarkEnd w:id="112"/>
      <w:bookmarkEnd w:id="113"/>
      <w:r>
        <w:rPr>
          <w:rFonts w:hint="eastAsia" w:ascii="仿宋" w:hAnsi="仿宋" w:eastAsia="仿宋" w:cs="仿宋"/>
          <w:color w:val="auto"/>
          <w:sz w:val="28"/>
          <w:szCs w:val="28"/>
          <w:lang w:val="en-US" w:eastAsia="zh-CN"/>
        </w:rPr>
        <w:t>确定成交人</w:t>
      </w:r>
    </w:p>
    <w:p w14:paraId="32C19CEE">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单位履行内部审批程序，根据</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lang w:val="en-US" w:eastAsia="zh-CN"/>
        </w:rPr>
        <w:t>的评审报告及成交人候选人名单</w:t>
      </w:r>
      <w:r>
        <w:rPr>
          <w:rFonts w:hint="eastAsia" w:ascii="仿宋" w:hAnsi="仿宋" w:eastAsia="仿宋" w:cs="仿宋"/>
          <w:color w:val="auto"/>
          <w:sz w:val="28"/>
          <w:szCs w:val="28"/>
        </w:rPr>
        <w:t>确定</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p>
    <w:p w14:paraId="7115E858">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14" w:name="_Toc33795812"/>
      <w:bookmarkStart w:id="115" w:name="_Toc31681"/>
      <w:bookmarkStart w:id="116" w:name="_Toc6928"/>
      <w:bookmarkStart w:id="117" w:name="_Toc1081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w:t>
      </w:r>
      <w:bookmarkEnd w:id="114"/>
      <w:bookmarkEnd w:id="115"/>
      <w:bookmarkEnd w:id="116"/>
      <w:bookmarkEnd w:id="117"/>
    </w:p>
    <w:p w14:paraId="3F599C4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采购主责部门</w:t>
      </w:r>
      <w:r>
        <w:rPr>
          <w:rFonts w:hint="eastAsia" w:ascii="仿宋" w:hAnsi="仿宋" w:eastAsia="仿宋" w:cs="仿宋"/>
          <w:color w:val="auto"/>
          <w:sz w:val="28"/>
          <w:szCs w:val="28"/>
        </w:rPr>
        <w:t>以书面形式向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人发出</w:t>
      </w:r>
      <w:bookmarkStart w:id="118" w:name="_Toc300834983"/>
      <w:bookmarkStart w:id="119" w:name="_Toc352691506"/>
      <w:bookmarkStart w:id="120" w:name="_Toc384308244"/>
      <w:bookmarkStart w:id="121" w:name="_Toc369531550"/>
      <w:bookmarkStart w:id="122" w:name="_Toc5668"/>
      <w:bookmarkStart w:id="123" w:name="_Toc361508619"/>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通知书，同时将</w:t>
      </w:r>
      <w:bookmarkEnd w:id="118"/>
      <w:bookmarkEnd w:id="119"/>
      <w:bookmarkEnd w:id="120"/>
      <w:bookmarkEnd w:id="121"/>
      <w:bookmarkEnd w:id="122"/>
      <w:bookmarkEnd w:id="123"/>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结果通知未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p>
    <w:p w14:paraId="1D715526">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24" w:name="_Toc30705"/>
      <w:bookmarkStart w:id="125" w:name="_Toc4342"/>
      <w:bookmarkStart w:id="126" w:name="_Toc33795813"/>
      <w:bookmarkStart w:id="127" w:name="_Toc2161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履约担保</w:t>
      </w:r>
      <w:bookmarkEnd w:id="124"/>
      <w:bookmarkEnd w:id="125"/>
      <w:bookmarkEnd w:id="126"/>
      <w:bookmarkEnd w:id="127"/>
    </w:p>
    <w:p w14:paraId="6AD00B7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人应</w:t>
      </w:r>
      <w:r>
        <w:rPr>
          <w:rFonts w:hint="eastAsia" w:ascii="仿宋" w:hAnsi="仿宋" w:eastAsia="仿宋" w:cs="仿宋"/>
          <w:color w:val="auto"/>
          <w:sz w:val="28"/>
          <w:szCs w:val="28"/>
          <w:lang w:val="en-US" w:eastAsia="zh-CN"/>
        </w:rPr>
        <w:t>按合同金额的10%以担保函或转账形式在收到成交通知后3日内</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提交履约担保。</w:t>
      </w:r>
    </w:p>
    <w:p w14:paraId="414205B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人不能按</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要求提交履约担保的，视为放弃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29BA9A4D">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28" w:name="_Toc14362"/>
      <w:bookmarkStart w:id="129" w:name="_Toc11183"/>
      <w:bookmarkStart w:id="130" w:name="_Toc33795814"/>
      <w:bookmarkStart w:id="131" w:name="_Toc367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签订合同</w:t>
      </w:r>
      <w:bookmarkEnd w:id="128"/>
      <w:bookmarkEnd w:id="129"/>
      <w:bookmarkEnd w:id="130"/>
      <w:bookmarkEnd w:id="131"/>
    </w:p>
    <w:p w14:paraId="5CAEA86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应当在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内，且在自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通知书发出之日起</w:t>
      </w:r>
      <w:bookmarkStart w:id="132" w:name="_Toc144974532"/>
      <w:bookmarkStart w:id="133" w:name="_Toc152045564"/>
      <w:bookmarkStart w:id="134" w:name="_Toc361508622"/>
      <w:bookmarkStart w:id="135" w:name="_Toc4656"/>
      <w:bookmarkStart w:id="136" w:name="_Toc369531553"/>
      <w:bookmarkStart w:id="137" w:name="_Toc247527589"/>
      <w:bookmarkStart w:id="138" w:name="_Toc352691509"/>
      <w:bookmarkStart w:id="139" w:name="_Toc384308247"/>
      <w:bookmarkStart w:id="140" w:name="_Toc152042340"/>
      <w:bookmarkStart w:id="141" w:name="_Toc300834986"/>
      <w:bookmarkStart w:id="142" w:name="_Toc247513988"/>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订立书面合同。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人无正</w:t>
      </w:r>
      <w:bookmarkStart w:id="143" w:name="_Toc369531554"/>
      <w:bookmarkStart w:id="144" w:name="_Toc247513989"/>
      <w:bookmarkStart w:id="145" w:name="_Toc152042341"/>
      <w:bookmarkStart w:id="146" w:name="_Toc300834987"/>
      <w:bookmarkStart w:id="147" w:name="_Toc144974533"/>
      <w:bookmarkStart w:id="148" w:name="_Toc352691510"/>
      <w:bookmarkStart w:id="149" w:name="_Toc152045565"/>
      <w:bookmarkStart w:id="150" w:name="_Toc361508623"/>
      <w:bookmarkStart w:id="151" w:name="_Toc384308248"/>
      <w:bookmarkStart w:id="152" w:name="_Toc247527590"/>
      <w:bookmarkStart w:id="153" w:name="_Toc18247"/>
      <w:r>
        <w:rPr>
          <w:rFonts w:hint="eastAsia" w:ascii="仿宋" w:hAnsi="仿宋" w:eastAsia="仿宋" w:cs="仿宋"/>
          <w:color w:val="auto"/>
          <w:sz w:val="28"/>
          <w:szCs w:val="28"/>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28"/>
          <w:szCs w:val="28"/>
        </w:rPr>
        <w:t>同，或者提出其他附加条件的，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有权取消其</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资格，其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40DECB4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无正当理由拒签合同的，或者提出其他附加条件的，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；给</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人造成损失的，还应当赔偿损失。</w:t>
      </w:r>
      <w:bookmarkStart w:id="154" w:name="_Toc24067"/>
      <w:bookmarkStart w:id="155" w:name="_Toc361508627"/>
      <w:bookmarkStart w:id="156" w:name="_Toc384308252"/>
      <w:bookmarkStart w:id="157" w:name="_Toc247513992"/>
      <w:bookmarkStart w:id="158" w:name="_Toc152042344"/>
      <w:bookmarkStart w:id="159" w:name="_Toc247527593"/>
      <w:bookmarkStart w:id="160" w:name="_Toc144974536"/>
      <w:bookmarkStart w:id="161" w:name="_Toc300834991"/>
      <w:bookmarkStart w:id="162" w:name="_Toc152045568"/>
    </w:p>
    <w:bookmarkEnd w:id="154"/>
    <w:bookmarkEnd w:id="155"/>
    <w:bookmarkEnd w:id="156"/>
    <w:p w14:paraId="5C60697D">
      <w:pPr>
        <w:pStyle w:val="2"/>
        <w:pageBreakBefore w:val="0"/>
        <w:kinsoku/>
        <w:wordWrap/>
        <w:overflowPunct/>
        <w:topLinePunct w:val="0"/>
        <w:autoSpaceDE/>
        <w:autoSpaceDN/>
        <w:bidi w:val="0"/>
        <w:snapToGrid/>
        <w:spacing w:before="0" w:after="0" w:line="480" w:lineRule="exact"/>
        <w:ind w:left="0" w:firstLine="562" w:firstLineChars="200"/>
        <w:jc w:val="both"/>
        <w:rPr>
          <w:rFonts w:hint="eastAsia" w:ascii="仿宋" w:hAnsi="仿宋" w:eastAsia="仿宋" w:cs="仿宋"/>
          <w:color w:val="auto"/>
          <w:sz w:val="28"/>
          <w:szCs w:val="28"/>
        </w:rPr>
      </w:pPr>
      <w:bookmarkStart w:id="163" w:name="_Toc25347"/>
      <w:bookmarkStart w:id="164" w:name="_Toc14752"/>
      <w:bookmarkStart w:id="165" w:name="_Toc33795815"/>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纪律和监督</w:t>
      </w:r>
      <w:bookmarkEnd w:id="163"/>
      <w:bookmarkEnd w:id="164"/>
      <w:bookmarkEnd w:id="165"/>
    </w:p>
    <w:p w14:paraId="4FC2A52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不得相互串通</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或者与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，不得向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或者</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成员行贿谋取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，不得以他人名义</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或者以其他方式弄虚作假骗取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不得以任何方式干扰、影响评标工作。</w:t>
      </w:r>
    </w:p>
    <w:p w14:paraId="6F9A454E">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w:t>
      </w:r>
      <w:r>
        <w:rPr>
          <w:rFonts w:hint="eastAsia" w:ascii="仿宋" w:hAnsi="仿宋" w:eastAsia="仿宋" w:cs="仿宋"/>
          <w:color w:val="auto"/>
          <w:sz w:val="28"/>
          <w:szCs w:val="28"/>
          <w:lang w:val="en-US" w:eastAsia="zh-CN"/>
        </w:rPr>
        <w:t>及相关工作人员</w:t>
      </w:r>
      <w:r>
        <w:rPr>
          <w:rFonts w:hint="eastAsia" w:ascii="仿宋" w:hAnsi="仿宋" w:eastAsia="仿宋" w:cs="仿宋"/>
          <w:color w:val="auto"/>
          <w:sz w:val="28"/>
          <w:szCs w:val="28"/>
        </w:rPr>
        <w:t>不得收受他人的财物或者其他好处，不得向他人透露对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的评审</w:t>
      </w:r>
      <w:bookmarkStart w:id="166" w:name="_Toc369531559"/>
      <w:bookmarkStart w:id="167" w:name="_Toc13644"/>
      <w:bookmarkStart w:id="168" w:name="_Toc384308253"/>
      <w:bookmarkStart w:id="169" w:name="_Toc352691515"/>
      <w:bookmarkStart w:id="170" w:name="_Toc361508628"/>
      <w:r>
        <w:rPr>
          <w:rFonts w:hint="eastAsia" w:ascii="仿宋" w:hAnsi="仿宋" w:eastAsia="仿宋" w:cs="仿宋"/>
          <w:color w:val="auto"/>
          <w:sz w:val="28"/>
          <w:szCs w:val="28"/>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的推荐情况以及评标有关的其他情况。在</w:t>
      </w:r>
      <w:r>
        <w:rPr>
          <w:rFonts w:hint="eastAsia" w:ascii="仿宋" w:hAnsi="仿宋" w:eastAsia="仿宋" w:cs="仿宋"/>
          <w:color w:val="auto"/>
          <w:sz w:val="28"/>
          <w:szCs w:val="28"/>
          <w:lang w:eastAsia="zh-CN"/>
        </w:rPr>
        <w:t>评审活动</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成员应当客观、公正地履行职责，遵守职业道德，不得擅离职守，影响评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程序正常进行，不得使用“</w:t>
      </w:r>
      <w:r>
        <w:rPr>
          <w:rFonts w:hint="eastAsia" w:ascii="仿宋" w:hAnsi="仿宋" w:eastAsia="仿宋" w:cs="仿宋"/>
          <w:color w:val="auto"/>
          <w:sz w:val="28"/>
          <w:szCs w:val="28"/>
          <w:lang w:eastAsia="zh-CN"/>
        </w:rPr>
        <w:t>评审办法</w:t>
      </w:r>
      <w:r>
        <w:rPr>
          <w:rFonts w:hint="eastAsia" w:ascii="仿宋" w:hAnsi="仿宋" w:eastAsia="仿宋" w:cs="仿宋"/>
          <w:color w:val="auto"/>
          <w:sz w:val="28"/>
          <w:szCs w:val="28"/>
        </w:rPr>
        <w:t>”没有规定的评审因素和标准进行评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w:t>
      </w:r>
    </w:p>
    <w:p w14:paraId="240F81DF">
      <w:pPr>
        <w:pStyle w:val="3"/>
        <w:pageBreakBefore w:val="0"/>
        <w:numPr>
          <w:ilvl w:val="0"/>
          <w:numId w:val="0"/>
        </w:numPr>
        <w:kinsoku/>
        <w:wordWrap/>
        <w:overflowPunct/>
        <w:topLinePunct w:val="0"/>
        <w:autoSpaceDE/>
        <w:autoSpaceDN/>
        <w:bidi w:val="0"/>
        <w:snapToGrid/>
        <w:spacing w:before="0" w:after="0" w:line="480" w:lineRule="exact"/>
        <w:ind w:left="0" w:firstLine="560" w:firstLineChars="200"/>
        <w:jc w:val="both"/>
        <w:rPr>
          <w:rFonts w:hint="eastAsia" w:ascii="仿宋" w:hAnsi="仿宋" w:eastAsia="仿宋" w:cs="仿宋"/>
          <w:color w:val="auto"/>
          <w:sz w:val="28"/>
          <w:szCs w:val="28"/>
        </w:rPr>
      </w:pPr>
      <w:bookmarkStart w:id="171" w:name="_Toc22294"/>
      <w:bookmarkStart w:id="172" w:name="_Toc18070"/>
      <w:bookmarkStart w:id="173" w:name="_Toc24957"/>
      <w:bookmarkStart w:id="174" w:name="_Toc33795820"/>
      <w:r>
        <w:rPr>
          <w:rFonts w:hint="eastAsia" w:ascii="仿宋" w:hAnsi="仿宋" w:eastAsia="仿宋" w:cs="仿宋"/>
          <w:color w:val="auto"/>
          <w:sz w:val="28"/>
          <w:szCs w:val="28"/>
          <w:lang w:val="en-US" w:eastAsia="zh-CN"/>
        </w:rPr>
        <w:t>（三）异议</w:t>
      </w:r>
      <w:bookmarkEnd w:id="171"/>
      <w:bookmarkEnd w:id="172"/>
      <w:bookmarkEnd w:id="173"/>
      <w:bookmarkEnd w:id="174"/>
    </w:p>
    <w:p w14:paraId="54AC1E59">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28"/>
          <w:szCs w:val="28"/>
          <w:highlight w:val="none"/>
          <w:lang w:val="en-US" w:eastAsia="zh-CN" w:bidi="ar"/>
        </w:rPr>
        <w:t>规定</w:t>
      </w:r>
      <w:r>
        <w:rPr>
          <w:rFonts w:hint="eastAsia" w:ascii="仿宋" w:hAnsi="仿宋" w:eastAsia="仿宋" w:cs="仿宋"/>
          <w:color w:val="auto"/>
          <w:kern w:val="0"/>
          <w:sz w:val="28"/>
          <w:szCs w:val="28"/>
          <w:lang w:val="en-US" w:eastAsia="zh-CN" w:bidi="ar"/>
        </w:rPr>
        <w:t>的，招标办应及时予以改正或补救。</w:t>
      </w:r>
    </w:p>
    <w:p w14:paraId="034962C4">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p>
    <w:p w14:paraId="30A95894">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p>
    <w:p w14:paraId="405F1803">
      <w:pPr>
        <w:keepNext w:val="0"/>
        <w:keepLines w:val="0"/>
        <w:pageBreakBefore w:val="0"/>
        <w:widowControl w:val="0"/>
        <w:suppressLineNumbers w:val="0"/>
        <w:kinsoku/>
        <w:wordWrap/>
        <w:overflowPunct/>
        <w:topLinePunct w:val="0"/>
        <w:autoSpaceDE/>
        <w:autoSpaceDN/>
        <w:bidi w:val="0"/>
        <w:adjustRightInd/>
        <w:snapToGrid/>
        <w:spacing w:line="480" w:lineRule="exact"/>
        <w:ind w:firstLine="4200" w:firstLineChars="1500"/>
        <w:jc w:val="both"/>
        <w:rPr>
          <w:rFonts w:hint="eastAsia" w:ascii="仿宋" w:hAnsi="仿宋" w:eastAsia="仿宋" w:cs="仿宋"/>
          <w:color w:val="auto"/>
          <w:kern w:val="0"/>
          <w:sz w:val="28"/>
          <w:szCs w:val="28"/>
          <w:lang w:val="en-US" w:eastAsia="zh-CN" w:bidi="ar"/>
        </w:rPr>
      </w:pPr>
    </w:p>
    <w:p w14:paraId="5013FDE1">
      <w:pPr>
        <w:keepNext w:val="0"/>
        <w:keepLines w:val="0"/>
        <w:pageBreakBefore w:val="0"/>
        <w:widowControl w:val="0"/>
        <w:suppressLineNumbers w:val="0"/>
        <w:kinsoku/>
        <w:wordWrap/>
        <w:overflowPunct/>
        <w:topLinePunct w:val="0"/>
        <w:autoSpaceDE/>
        <w:autoSpaceDN/>
        <w:bidi w:val="0"/>
        <w:adjustRightInd/>
        <w:snapToGrid/>
        <w:spacing w:line="480" w:lineRule="exact"/>
        <w:ind w:firstLine="4200" w:firstLineChars="1500"/>
        <w:jc w:val="both"/>
        <w:rPr>
          <w:rFonts w:hint="eastAsia" w:ascii="仿宋" w:hAnsi="仿宋" w:eastAsia="仿宋" w:cs="仿宋"/>
          <w:color w:val="auto"/>
          <w:kern w:val="0"/>
          <w:sz w:val="28"/>
          <w:szCs w:val="28"/>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480" w:lineRule="exact"/>
        <w:ind w:firstLine="5040" w:firstLineChars="18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480" w:lineRule="exact"/>
        <w:ind w:firstLine="5040" w:firstLineChars="18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2025年7月25日</w:t>
      </w:r>
    </w:p>
    <w:p w14:paraId="56B9D415">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026E6901">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5F9B6549">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仿宋" w:hAnsi="仿宋" w:eastAsia="仿宋" w:cs="仿宋"/>
          <w:b/>
          <w:bCs/>
          <w:color w:val="auto"/>
          <w:sz w:val="32"/>
          <w:szCs w:val="32"/>
        </w:rPr>
      </w:pPr>
      <w:r>
        <w:rPr>
          <w:rFonts w:hint="eastAsia" w:ascii="宋体" w:hAnsi="宋体" w:eastAsia="宋体" w:cs="宋体"/>
          <w:b/>
          <w:bCs/>
          <w:color w:val="auto"/>
          <w:sz w:val="36"/>
          <w:szCs w:val="36"/>
          <w:lang w:val="en-US" w:eastAsia="zh-CN"/>
        </w:rPr>
        <w:t>附：</w:t>
      </w:r>
      <w:r>
        <w:rPr>
          <w:rFonts w:hint="eastAsia" w:ascii="宋体" w:hAnsi="宋体" w:eastAsia="宋体" w:cs="宋体"/>
          <w:b/>
          <w:bCs/>
          <w:color w:val="auto"/>
          <w:sz w:val="36"/>
          <w:szCs w:val="36"/>
          <w:lang w:eastAsia="zh-CN"/>
        </w:rPr>
        <w:t>响应文件</w:t>
      </w:r>
      <w:r>
        <w:rPr>
          <w:rFonts w:hint="eastAsia" w:ascii="宋体" w:hAnsi="宋体" w:eastAsia="宋体" w:cs="宋体"/>
          <w:b/>
          <w:bCs/>
          <w:color w:val="auto"/>
          <w:sz w:val="36"/>
          <w:szCs w:val="36"/>
        </w:rPr>
        <w:t>格式</w:t>
      </w:r>
    </w:p>
    <w:p w14:paraId="05CD95BA">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2864BE28">
      <w:pPr>
        <w:spacing w:line="400" w:lineRule="exac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XB20250725-04</w:t>
      </w:r>
      <w:bookmarkStart w:id="210" w:name="_GoBack"/>
      <w:bookmarkEnd w:id="210"/>
    </w:p>
    <w:p w14:paraId="13BC455F">
      <w:pPr>
        <w:spacing w:line="400" w:lineRule="exact"/>
        <w:rPr>
          <w:rFonts w:hint="default" w:ascii="仿宋" w:hAnsi="仿宋" w:eastAsia="仿宋" w:cs="仿宋"/>
          <w:color w:val="auto"/>
          <w:sz w:val="32"/>
          <w:szCs w:val="32"/>
          <w:highlight w:val="none"/>
          <w:lang w:val="en-US" w:eastAsia="zh-CN"/>
        </w:rPr>
      </w:pPr>
    </w:p>
    <w:p w14:paraId="47667630">
      <w:pPr>
        <w:spacing w:line="400" w:lineRule="exact"/>
        <w:rPr>
          <w:rFonts w:hint="eastAsia" w:ascii="仿宋" w:hAnsi="仿宋" w:eastAsia="仿宋" w:cs="仿宋"/>
          <w:color w:val="auto"/>
          <w:sz w:val="32"/>
          <w:szCs w:val="32"/>
        </w:rPr>
      </w:pPr>
    </w:p>
    <w:p w14:paraId="4A0D8476">
      <w:pPr>
        <w:spacing w:line="400" w:lineRule="exact"/>
        <w:rPr>
          <w:rFonts w:hint="eastAsia" w:ascii="仿宋" w:hAnsi="仿宋" w:eastAsia="仿宋" w:cs="仿宋"/>
          <w:color w:val="auto"/>
          <w:sz w:val="32"/>
          <w:szCs w:val="32"/>
        </w:rPr>
      </w:pPr>
    </w:p>
    <w:p w14:paraId="457F6DD8">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A26D0AD">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2025年8月份煤粉</w:t>
      </w:r>
      <w:r>
        <w:rPr>
          <w:rStyle w:val="11"/>
          <w:rFonts w:hint="eastAsia" w:ascii="方正粗黑宋简体" w:hAnsi="方正粗黑宋简体" w:eastAsia="方正粗黑宋简体" w:cs="方正粗黑宋简体"/>
          <w:i w:val="0"/>
          <w:iCs w:val="0"/>
          <w:caps w:val="0"/>
          <w:color w:val="000000"/>
          <w:spacing w:val="0"/>
          <w:sz w:val="36"/>
          <w:szCs w:val="36"/>
        </w:rPr>
        <w:t>询比</w:t>
      </w: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采购项目</w:t>
      </w:r>
    </w:p>
    <w:p w14:paraId="2A3F0D45">
      <w:pPr>
        <w:spacing w:line="360" w:lineRule="auto"/>
        <w:jc w:val="center"/>
        <w:rPr>
          <w:rFonts w:hint="eastAsia" w:ascii="黑体" w:hAnsi="黑体" w:eastAsia="黑体" w:cs="黑体"/>
          <w:b/>
          <w:bCs/>
          <w:color w:val="auto"/>
          <w:sz w:val="44"/>
          <w:szCs w:val="44"/>
          <w:lang w:val="en-US" w:eastAsia="zh-CN"/>
        </w:rPr>
      </w:pP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2"/>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2"/>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28734"/>
      <w:bookmarkStart w:id="180" w:name="_Toc504488769"/>
    </w:p>
    <w:p w14:paraId="51AE4CE2">
      <w:pPr>
        <w:pStyle w:val="2"/>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352691662"/>
      <w:bookmarkStart w:id="182" w:name="_Toc369531698"/>
      <w:bookmarkStart w:id="183"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300835211"/>
      <w:bookmarkStart w:id="185" w:name="_Toc15573"/>
      <w:bookmarkStart w:id="186" w:name="_Toc247527829"/>
      <w:bookmarkStart w:id="187" w:name="_Toc144974858"/>
      <w:bookmarkStart w:id="188" w:name="_Toc369531699"/>
      <w:bookmarkStart w:id="189" w:name="_Toc361508754"/>
      <w:bookmarkStart w:id="190" w:name="_Toc152045789"/>
      <w:bookmarkStart w:id="191" w:name="_Toc247514248"/>
      <w:bookmarkStart w:id="192" w:name="_Toc352691663"/>
      <w:bookmarkStart w:id="193" w:name="_Toc384308377"/>
      <w:bookmarkStart w:id="194" w:name="_Toc152042578"/>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2"/>
        <w:jc w:val="center"/>
        <w:rPr>
          <w:rFonts w:hint="eastAsia" w:ascii="黑体" w:hAnsi="黑体" w:eastAsia="黑体" w:cs="黑体"/>
          <w:color w:val="auto"/>
          <w:sz w:val="36"/>
          <w:szCs w:val="36"/>
        </w:rPr>
      </w:pPr>
      <w:bookmarkStart w:id="195" w:name="_Toc504488770"/>
      <w:bookmarkStart w:id="196" w:name="_Toc2777"/>
      <w:r>
        <w:rPr>
          <w:rFonts w:hint="eastAsia" w:ascii="黑体" w:hAnsi="黑体" w:eastAsia="黑体" w:cs="黑体"/>
          <w:color w:val="auto"/>
          <w:sz w:val="36"/>
          <w:szCs w:val="36"/>
        </w:rPr>
        <w:t>二、授权委托书</w:t>
      </w:r>
      <w:bookmarkEnd w:id="195"/>
      <w:bookmarkEnd w:id="196"/>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2"/>
        <w:spacing w:after="0" w:line="413" w:lineRule="auto"/>
        <w:jc w:val="center"/>
        <w:rPr>
          <w:rFonts w:hint="eastAsia" w:ascii="黑体" w:hAnsi="黑体" w:eastAsia="黑体" w:cs="黑体"/>
          <w:color w:val="auto"/>
          <w:sz w:val="36"/>
          <w:szCs w:val="36"/>
          <w:u w:val="single"/>
          <w:lang w:eastAsia="zh-CN"/>
        </w:rPr>
      </w:pPr>
      <w:bookmarkStart w:id="197" w:name="_Toc504488772"/>
      <w:bookmarkStart w:id="198"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2"/>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076046E">
      <w:pPr>
        <w:pStyle w:val="4"/>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8"/>
        <w:snapToGrid w:val="0"/>
        <w:spacing w:after="120"/>
        <w:ind w:firstLine="0" w:firstLineChars="0"/>
        <w:jc w:val="both"/>
        <w:rPr>
          <w:rFonts w:hint="eastAsia" w:ascii="仿宋" w:hAnsi="仿宋" w:eastAsia="仿宋" w:cs="仿宋"/>
          <w:color w:val="auto"/>
          <w:sz w:val="32"/>
          <w:szCs w:val="32"/>
        </w:rPr>
      </w:pPr>
    </w:p>
    <w:p w14:paraId="47F7429D">
      <w:pPr>
        <w:pStyle w:val="8"/>
        <w:snapToGrid w:val="0"/>
        <w:spacing w:after="120"/>
        <w:ind w:firstLine="0" w:firstLineChars="0"/>
        <w:jc w:val="both"/>
        <w:rPr>
          <w:rFonts w:hint="eastAsia" w:ascii="仿宋" w:hAnsi="仿宋" w:eastAsia="仿宋" w:cs="仿宋"/>
          <w:color w:val="auto"/>
          <w:sz w:val="32"/>
          <w:szCs w:val="32"/>
        </w:rPr>
      </w:pPr>
    </w:p>
    <w:p w14:paraId="1ACC8AFD">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C5C77D5">
      <w:pPr>
        <w:pStyle w:val="2"/>
        <w:pageBreakBefore w:val="0"/>
        <w:numPr>
          <w:ilvl w:val="0"/>
          <w:numId w:val="0"/>
        </w:numPr>
        <w:kinsoku/>
        <w:wordWrap/>
        <w:overflowPunct/>
        <w:topLinePunct w:val="0"/>
        <w:autoSpaceDE/>
        <w:autoSpaceDN/>
        <w:bidi w:val="0"/>
        <w:adjustRightInd/>
        <w:snapToGrid/>
        <w:spacing w:line="320" w:lineRule="exact"/>
        <w:ind w:left="0" w:leftChars="0" w:firstLine="883" w:firstLineChars="200"/>
        <w:jc w:val="left"/>
        <w:rPr>
          <w:rFonts w:hint="eastAsia" w:ascii="Times New Roman" w:hAnsi="Times New Roman" w:eastAsia="宋体" w:cs="Times New Roman"/>
          <w:b/>
          <w:bCs/>
          <w:color w:val="auto"/>
          <w:kern w:val="2"/>
          <w:sz w:val="44"/>
          <w:szCs w:val="44"/>
          <w:lang w:val="en-US" w:eastAsia="zh-CN" w:bidi="ar-SA"/>
        </w:rPr>
      </w:pPr>
      <w:bookmarkStart w:id="200" w:name="_Toc504488775"/>
      <w:bookmarkStart w:id="201" w:name="_Toc1755"/>
    </w:p>
    <w:p w14:paraId="0BFC4821">
      <w:pPr>
        <w:rPr>
          <w:rFonts w:hint="eastAsia"/>
          <w:lang w:val="en-US" w:eastAsia="zh-CN"/>
        </w:rPr>
      </w:pPr>
    </w:p>
    <w:p w14:paraId="3B4012CF">
      <w:pPr>
        <w:pStyle w:val="2"/>
        <w:pageBreakBefore w:val="0"/>
        <w:numPr>
          <w:ilvl w:val="0"/>
          <w:numId w:val="0"/>
        </w:numPr>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color w:val="auto"/>
          <w:kern w:val="2"/>
          <w:sz w:val="36"/>
          <w:szCs w:val="36"/>
          <w:lang w:val="en-US" w:eastAsia="zh-CN" w:bidi="ar-SA"/>
        </w:rPr>
      </w:pPr>
      <w:r>
        <w:rPr>
          <w:rFonts w:hint="eastAsia" w:ascii="Times New Roman" w:hAnsi="Times New Roman" w:eastAsia="宋体" w:cs="Times New Roman"/>
          <w:b/>
          <w:bCs/>
          <w:color w:val="auto"/>
          <w:kern w:val="2"/>
          <w:sz w:val="36"/>
          <w:szCs w:val="36"/>
          <w:lang w:val="en-US" w:eastAsia="zh-CN" w:bidi="ar-SA"/>
        </w:rPr>
        <w:t>五、分项报价表</w:t>
      </w:r>
    </w:p>
    <w:tbl>
      <w:tblPr>
        <w:tblStyle w:val="9"/>
        <w:tblW w:w="8395"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5"/>
        <w:gridCol w:w="1014"/>
        <w:gridCol w:w="2106"/>
        <w:gridCol w:w="1104"/>
        <w:gridCol w:w="1428"/>
        <w:gridCol w:w="1344"/>
        <w:gridCol w:w="924"/>
      </w:tblGrid>
      <w:tr w14:paraId="76E27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75" w:type="dxa"/>
            <w:tcBorders>
              <w:top w:val="single" w:color="auto" w:sz="6" w:space="0"/>
              <w:left w:val="single" w:color="auto" w:sz="6" w:space="0"/>
              <w:bottom w:val="single" w:color="auto" w:sz="4" w:space="0"/>
              <w:right w:val="single" w:color="auto" w:sz="6" w:space="0"/>
              <w:tl2br w:val="nil"/>
              <w:tr2bl w:val="nil"/>
            </w:tcBorders>
            <w:noWrap w:val="0"/>
            <w:vAlign w:val="center"/>
          </w:tcPr>
          <w:p w14:paraId="5394055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序</w:t>
            </w:r>
            <w:r>
              <w:rPr>
                <w:rFonts w:hint="eastAsia" w:ascii="仿宋" w:hAnsi="仿宋" w:eastAsia="仿宋" w:cs="仿宋"/>
                <w:color w:val="000000"/>
                <w:sz w:val="28"/>
                <w:szCs w:val="28"/>
              </w:rPr>
              <w:t>号</w:t>
            </w:r>
          </w:p>
        </w:tc>
        <w:tc>
          <w:tcPr>
            <w:tcW w:w="1014" w:type="dxa"/>
            <w:tcBorders>
              <w:top w:val="single" w:color="auto" w:sz="6" w:space="0"/>
              <w:left w:val="single" w:color="auto" w:sz="6" w:space="0"/>
              <w:bottom w:val="single" w:color="auto" w:sz="4" w:space="0"/>
              <w:right w:val="single" w:color="auto" w:sz="6" w:space="0"/>
              <w:tl2br w:val="nil"/>
              <w:tr2bl w:val="nil"/>
            </w:tcBorders>
            <w:noWrap w:val="0"/>
            <w:vAlign w:val="center"/>
          </w:tcPr>
          <w:p w14:paraId="30FC25C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物质</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名称</w:t>
            </w:r>
          </w:p>
        </w:tc>
        <w:tc>
          <w:tcPr>
            <w:tcW w:w="210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47317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规格型号</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55DDD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数量</w:t>
            </w:r>
          </w:p>
        </w:tc>
        <w:tc>
          <w:tcPr>
            <w:tcW w:w="142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E66F5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送到价（元/吨）</w:t>
            </w:r>
          </w:p>
        </w:tc>
        <w:tc>
          <w:tcPr>
            <w:tcW w:w="13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058D1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金额</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（元）</w:t>
            </w:r>
          </w:p>
        </w:tc>
        <w:tc>
          <w:tcPr>
            <w:tcW w:w="92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327CC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运输      方式</w:t>
            </w:r>
          </w:p>
        </w:tc>
      </w:tr>
      <w:tr w14:paraId="76821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4" w:hRule="atLeast"/>
        </w:trPr>
        <w:tc>
          <w:tcPr>
            <w:tcW w:w="4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7280B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7D797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煤粉</w:t>
            </w:r>
          </w:p>
        </w:tc>
        <w:tc>
          <w:tcPr>
            <w:tcW w:w="2106" w:type="dxa"/>
            <w:tcBorders>
              <w:top w:val="single" w:color="auto" w:sz="6" w:space="0"/>
              <w:left w:val="single" w:color="auto" w:sz="4" w:space="0"/>
              <w:bottom w:val="single" w:color="auto" w:sz="6" w:space="0"/>
              <w:right w:val="single" w:color="auto" w:sz="6" w:space="0"/>
              <w:tl2br w:val="nil"/>
              <w:tr2bl w:val="nil"/>
            </w:tcBorders>
            <w:noWrap w:val="0"/>
            <w:vAlign w:val="center"/>
          </w:tcPr>
          <w:p w14:paraId="3E1E975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sz w:val="28"/>
                <w:szCs w:val="28"/>
              </w:rPr>
              <w:t>粒度-</w:t>
            </w:r>
            <w:r>
              <w:rPr>
                <w:rFonts w:hint="eastAsia" w:ascii="仿宋" w:hAnsi="仿宋" w:eastAsia="仿宋" w:cs="仿宋"/>
                <w:sz w:val="28"/>
                <w:szCs w:val="28"/>
                <w:lang w:val="en-US" w:eastAsia="zh-CN"/>
              </w:rPr>
              <w:t>20</w:t>
            </w:r>
            <w:r>
              <w:rPr>
                <w:rFonts w:hint="eastAsia" w:ascii="仿宋" w:hAnsi="仿宋" w:eastAsia="仿宋" w:cs="仿宋"/>
                <w:sz w:val="28"/>
                <w:szCs w:val="28"/>
              </w:rPr>
              <w:t>0</w:t>
            </w:r>
            <w:r>
              <w:rPr>
                <w:rFonts w:hint="eastAsia" w:ascii="仿宋" w:hAnsi="仿宋" w:eastAsia="仿宋" w:cs="仿宋"/>
                <w:sz w:val="28"/>
                <w:szCs w:val="28"/>
                <w:lang w:val="en-US" w:eastAsia="zh-CN"/>
              </w:rPr>
              <w:t>目≧80%，</w:t>
            </w:r>
            <w:r>
              <w:rPr>
                <w:rFonts w:hint="eastAsia" w:ascii="仿宋" w:hAnsi="仿宋" w:eastAsia="仿宋" w:cs="仿宋"/>
                <w:sz w:val="28"/>
                <w:szCs w:val="28"/>
              </w:rPr>
              <w:t>水份</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外水</w:t>
            </w:r>
            <w:r>
              <w:rPr>
                <w:rFonts w:hint="eastAsia" w:ascii="仿宋" w:hAnsi="仿宋" w:eastAsia="仿宋" w:cs="仿宋"/>
                <w:sz w:val="28"/>
                <w:szCs w:val="28"/>
                <w:lang w:eastAsia="zh-CN"/>
              </w:rPr>
              <w:t>）</w:t>
            </w:r>
            <w:r>
              <w:rPr>
                <w:rFonts w:hint="eastAsia" w:ascii="仿宋" w:hAnsi="仿宋" w:eastAsia="仿宋" w:cs="仿宋"/>
                <w:sz w:val="28"/>
                <w:szCs w:val="28"/>
              </w:rPr>
              <w:t>&lt;</w:t>
            </w:r>
            <w:r>
              <w:rPr>
                <w:rFonts w:hint="eastAsia" w:ascii="仿宋" w:hAnsi="仿宋" w:eastAsia="仿宋" w:cs="仿宋"/>
                <w:sz w:val="28"/>
                <w:szCs w:val="28"/>
                <w:lang w:val="en-US" w:eastAsia="zh-CN"/>
              </w:rPr>
              <w:t>2</w:t>
            </w:r>
            <w:r>
              <w:rPr>
                <w:rFonts w:hint="eastAsia" w:ascii="仿宋" w:hAnsi="仿宋" w:eastAsia="仿宋" w:cs="仿宋"/>
                <w:sz w:val="28"/>
                <w:szCs w:val="28"/>
              </w:rPr>
              <w:t>%、固定</w:t>
            </w:r>
            <w:r>
              <w:rPr>
                <w:rFonts w:hint="eastAsia" w:ascii="仿宋" w:hAnsi="仿宋" w:eastAsia="仿宋" w:cs="仿宋"/>
                <w:sz w:val="28"/>
                <w:szCs w:val="28"/>
                <w:lang w:val="en-US" w:eastAsia="zh-CN"/>
              </w:rPr>
              <w:t>碳≧</w:t>
            </w:r>
            <w:r>
              <w:rPr>
                <w:rFonts w:hint="eastAsia" w:ascii="仿宋" w:hAnsi="仿宋" w:eastAsia="仿宋" w:cs="仿宋"/>
                <w:sz w:val="28"/>
                <w:szCs w:val="28"/>
              </w:rPr>
              <w:t>60%、挥发份16-20%、灰分&lt;10%、硫&lt;1%。</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53718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1500</w:t>
            </w:r>
            <w:r>
              <w:rPr>
                <w:rFonts w:hint="eastAsia" w:ascii="仿宋" w:hAnsi="仿宋" w:eastAsia="仿宋" w:cs="仿宋"/>
                <w:color w:val="000000"/>
                <w:sz w:val="28"/>
                <w:szCs w:val="28"/>
              </w:rPr>
              <w:t>吨</w:t>
            </w:r>
          </w:p>
        </w:tc>
        <w:tc>
          <w:tcPr>
            <w:tcW w:w="142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35480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p>
        </w:tc>
        <w:tc>
          <w:tcPr>
            <w:tcW w:w="13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DA21B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p>
        </w:tc>
        <w:tc>
          <w:tcPr>
            <w:tcW w:w="92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66807C">
            <w:pPr>
              <w:keepNext w:val="0"/>
              <w:keepLines w:val="0"/>
              <w:pageBreakBefore w:val="0"/>
              <w:widowControl w:val="0"/>
              <w:kinsoku/>
              <w:wordWrap/>
              <w:overflowPunct/>
              <w:topLinePunct w:val="0"/>
              <w:autoSpaceDE/>
              <w:autoSpaceDN/>
              <w:bidi w:val="0"/>
              <w:adjustRightInd/>
              <w:snapToGrid/>
              <w:spacing w:beforeLines="0" w:afterLines="0" w:line="360" w:lineRule="exact"/>
              <w:ind w:firstLine="1400" w:firstLineChars="500"/>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罐罐车运输</w:t>
            </w:r>
          </w:p>
        </w:tc>
      </w:tr>
    </w:tbl>
    <w:p w14:paraId="0C4F7D97">
      <w:pPr>
        <w:pStyle w:val="2"/>
        <w:pageBreakBefore w:val="0"/>
        <w:kinsoku/>
        <w:wordWrap/>
        <w:overflowPunct/>
        <w:topLinePunct w:val="0"/>
        <w:autoSpaceDE/>
        <w:autoSpaceDN/>
        <w:bidi w:val="0"/>
        <w:adjustRightInd/>
        <w:snapToGrid/>
        <w:spacing w:after="0" w:line="320" w:lineRule="exact"/>
        <w:jc w:val="both"/>
        <w:rPr>
          <w:rFonts w:ascii="Times New Roman" w:hAnsi="Times New Roman"/>
          <w:color w:val="auto"/>
        </w:rPr>
      </w:pPr>
      <w:r>
        <w:rPr>
          <w:rFonts w:hint="eastAsia" w:ascii="Times New Roman" w:hAnsi="Times New Roman"/>
          <w:color w:val="auto"/>
          <w:kern w:val="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0"/>
      <w:bookmarkEnd w:id="201"/>
    </w:p>
    <w:p w14:paraId="097D03FF">
      <w:pPr>
        <w:pStyle w:val="3"/>
        <w:spacing w:before="20" w:after="0"/>
        <w:ind w:firstLine="103"/>
        <w:rPr>
          <w:rFonts w:ascii="Times New Roman"/>
          <w:color w:val="auto"/>
          <w:sz w:val="32"/>
          <w:szCs w:val="32"/>
        </w:rPr>
      </w:pPr>
      <w:bookmarkStart w:id="202" w:name="_Toc504488776"/>
      <w:bookmarkStart w:id="203" w:name="_Toc1390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6"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3"/>
        <w:ind w:firstLine="103"/>
        <w:rPr>
          <w:rFonts w:ascii="Times New Roman"/>
          <w:color w:val="auto"/>
          <w:sz w:val="32"/>
          <w:szCs w:val="32"/>
        </w:rPr>
      </w:pPr>
      <w:bookmarkStart w:id="204" w:name="_Toc504488778"/>
      <w:bookmarkStart w:id="205"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206" w:name="_Toc504488780"/>
      <w:bookmarkStart w:id="207" w:name="_Toc14234"/>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714653E0">
      <w:pPr>
        <w:rPr>
          <w:rFonts w:hint="eastAsia" w:ascii="Times New Roman" w:hAnsi="Times New Roman"/>
          <w:color w:val="auto"/>
        </w:rPr>
      </w:pPr>
    </w:p>
    <w:p w14:paraId="77CFE807">
      <w:pPr>
        <w:pStyle w:val="2"/>
        <w:spacing w:line="400" w:lineRule="exact"/>
        <w:jc w:val="both"/>
        <w:rPr>
          <w:rFonts w:hint="eastAsia" w:ascii="仿宋" w:hAnsi="仿宋" w:eastAsia="仿宋" w:cs="仿宋"/>
          <w:color w:val="auto"/>
          <w:sz w:val="32"/>
          <w:szCs w:val="32"/>
          <w:lang w:val="en-US" w:eastAsia="zh-CN"/>
        </w:rPr>
      </w:pPr>
      <w:bookmarkStart w:id="208" w:name="_Toc22199"/>
      <w:bookmarkStart w:id="209" w:name="_Toc504488783"/>
    </w:p>
    <w:p w14:paraId="739BEF5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4BD5665A">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07FF820A">
      <w:pPr>
        <w:rPr>
          <w:rFonts w:hint="eastAsia" w:ascii="Times New Roman" w:hAnsi="Times New Roman" w:eastAsia="黑体" w:cs="Times New Roman"/>
          <w:b/>
          <w:color w:val="auto"/>
          <w:kern w:val="2"/>
          <w:sz w:val="32"/>
          <w:szCs w:val="20"/>
          <w:lang w:val="en-US" w:eastAsia="zh-CN" w:bidi="ar-SA"/>
        </w:rPr>
      </w:pPr>
    </w:p>
    <w:p w14:paraId="3633010C">
      <w:pPr>
        <w:jc w:val="center"/>
        <w:rPr>
          <w:color w:val="auto"/>
        </w:rPr>
      </w:pPr>
    </w:p>
    <w:p w14:paraId="1294FB62">
      <w:pPr>
        <w:rPr>
          <w:color w:val="auto"/>
        </w:rPr>
      </w:pPr>
    </w:p>
    <w:p w14:paraId="2147CE8C">
      <w:pPr>
        <w:pStyle w:val="8"/>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EACE7EB">
      <w:pPr>
        <w:pStyle w:val="8"/>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0EAACD1">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55A58DCE">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6A74097B"/>
    <w:p w14:paraId="02192A7D"/>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粗黑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A0CE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027DB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027DB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780E7">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270278"/>
    <w:rsid w:val="01074B5E"/>
    <w:rsid w:val="1A270278"/>
    <w:rsid w:val="213D6BFA"/>
    <w:rsid w:val="22BB5C17"/>
    <w:rsid w:val="265B3A57"/>
    <w:rsid w:val="3EE7513C"/>
    <w:rsid w:val="43E36F93"/>
    <w:rsid w:val="4D314623"/>
    <w:rsid w:val="51461670"/>
    <w:rsid w:val="5591034A"/>
    <w:rsid w:val="65ED3C94"/>
    <w:rsid w:val="71A57E45"/>
    <w:rsid w:val="73485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Normal_8"/>
    <w:qFormat/>
    <w:uiPriority w:val="0"/>
    <w:pPr>
      <w:spacing w:before="120" w:after="240"/>
      <w:jc w:val="both"/>
    </w:pPr>
    <w:rPr>
      <w:rFonts w:ascii="等线" w:hAnsi="等线" w:eastAsia="等线"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7531</Words>
  <Characters>7826</Characters>
  <Lines>0</Lines>
  <Paragraphs>0</Paragraphs>
  <TotalTime>31</TotalTime>
  <ScaleCrop>false</ScaleCrop>
  <LinksUpToDate>false</LinksUpToDate>
  <CharactersWithSpaces>8272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2025-03-12T06:21:00Z</dcterms:created>
  <dc:creator>瞬间无语</dc:creator>
  <cp:lastModifiedBy>李晶</cp:lastModifiedBy>
  <cp:lastPrinted>2025-07-25T07:41:00Z</cp:lastPrinted>
  <dcterms:modified xsi:type="dcterms:W3CDTF">2025-07-25T09:00:09Z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1F91C6F59A6142618CD1B3B4B24E452F_11</vt:lpwstr>
  </property>
  <property fmtid="{D5CDD505-2E9C-101B-9397-08002B2CF9AE}" pid="4" name="KSOTemplateDocerSaveRecord">
    <vt:lpwstr>eyJoZGlkIjoiM2ExNjY5MWQ0OWUzYjcxZjUxYWY0YjAzMjk0YjQ0NDAiLCJ1c2VySWQiOiI2Mjg3MjA1MDUifQ==</vt:lpwstr>
  </property>
</Properties>
</file>