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XB20250728-02</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2025年8月机动车间10KV柜式高压并联电容器成套装置采购项目二次</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750A83A7">
      <w:pPr>
        <w:pStyle w:val="5"/>
        <w:spacing w:before="24" w:after="24"/>
        <w:ind w:firstLine="480"/>
        <w:rPr>
          <w:color w:val="auto"/>
        </w:rPr>
      </w:pPr>
    </w:p>
    <w:p w14:paraId="4825B23F">
      <w:pPr>
        <w:pStyle w:val="5"/>
        <w:spacing w:before="24" w:after="24"/>
        <w:ind w:firstLine="480"/>
        <w:rPr>
          <w:color w:val="auto"/>
        </w:rPr>
      </w:pPr>
    </w:p>
    <w:p w14:paraId="143E35A5">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121F61A9">
      <w:pPr>
        <w:spacing w:line="360" w:lineRule="auto"/>
        <w:ind w:firstLine="1800" w:firstLineChars="500"/>
        <w:jc w:val="both"/>
        <w:rPr>
          <w:rFonts w:hint="default" w:ascii="Times New Roman" w:hAnsi="Times New Roman" w:eastAsia="黑体"/>
          <w:color w:val="auto"/>
          <w:sz w:val="32"/>
          <w:szCs w:val="32"/>
          <w:lang w:val="en-US"/>
        </w:rPr>
      </w:pPr>
      <w:r>
        <w:rPr>
          <w:rFonts w:hint="eastAsia" w:ascii="Times New Roman" w:hAnsi="Times New Roman" w:eastAsia="黑体"/>
          <w:color w:val="auto"/>
          <w:sz w:val="36"/>
          <w:szCs w:val="36"/>
          <w:lang w:val="en-US" w:eastAsia="zh-CN"/>
        </w:rPr>
        <w:t>负责人：徐靖</w:t>
      </w: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八月一日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3716104A">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2025年8月机动车间10KV柜式高压并联电容器成套装置采购项目二次</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高压电气一批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4593"/>
      <w:bookmarkStart w:id="1" w:name="_Toc20230"/>
      <w:bookmarkStart w:id="2" w:name="_Toc33795775"/>
      <w:bookmarkStart w:id="3" w:name="_Toc1444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7037"/>
      <w:bookmarkStart w:id="5" w:name="_Toc11471"/>
      <w:bookmarkStart w:id="6" w:name="_Toc14565"/>
      <w:bookmarkStart w:id="7" w:name="_Toc33795776"/>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10KV柜式高压并联电容器成套装置</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720AA228">
      <w:pPr>
        <w:spacing w:line="44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8月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（四）交货地点：采购方指定库房。</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291"/>
        <w:gridCol w:w="2790"/>
        <w:gridCol w:w="720"/>
        <w:gridCol w:w="825"/>
        <w:gridCol w:w="986"/>
        <w:gridCol w:w="1215"/>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291"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790"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720"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825"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86"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w:t>
            </w: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215"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24C0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90" w:type="dxa"/>
            <w:vMerge w:val="restart"/>
            <w:vAlign w:val="center"/>
          </w:tcPr>
          <w:p w14:paraId="15779113">
            <w:pPr>
              <w:keepNext w:val="0"/>
              <w:keepLines w:val="0"/>
              <w:widowControl/>
              <w:suppressLineNumbers w:val="0"/>
              <w:jc w:val="center"/>
              <w:textAlignment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1</w:t>
            </w:r>
          </w:p>
        </w:tc>
        <w:tc>
          <w:tcPr>
            <w:tcW w:w="1291" w:type="dxa"/>
            <w:vMerge w:val="restart"/>
            <w:vAlign w:val="center"/>
          </w:tcPr>
          <w:p w14:paraId="23A8CA84">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10KV柜式高压并联电容器成套装置</w:t>
            </w:r>
          </w:p>
        </w:tc>
        <w:tc>
          <w:tcPr>
            <w:tcW w:w="2790" w:type="dxa"/>
            <w:vAlign w:val="center"/>
          </w:tcPr>
          <w:p w14:paraId="61908D69">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技术要求：</w:t>
            </w:r>
          </w:p>
        </w:tc>
        <w:tc>
          <w:tcPr>
            <w:tcW w:w="720" w:type="dxa"/>
            <w:vMerge w:val="restart"/>
            <w:vAlign w:val="center"/>
          </w:tcPr>
          <w:p w14:paraId="789714AE">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825" w:type="dxa"/>
            <w:vMerge w:val="restart"/>
            <w:vAlign w:val="center"/>
          </w:tcPr>
          <w:p w14:paraId="3A3D0EDB">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套</w:t>
            </w:r>
          </w:p>
        </w:tc>
        <w:tc>
          <w:tcPr>
            <w:tcW w:w="986" w:type="dxa"/>
            <w:vMerge w:val="restart"/>
            <w:vAlign w:val="center"/>
          </w:tcPr>
          <w:p w14:paraId="0B7B2E7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c>
          <w:tcPr>
            <w:tcW w:w="1215" w:type="dxa"/>
            <w:vMerge w:val="restart"/>
            <w:vAlign w:val="center"/>
          </w:tcPr>
          <w:p w14:paraId="1E4A77B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r>
      <w:tr w14:paraId="2CB2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90" w:type="dxa"/>
            <w:vMerge w:val="continue"/>
            <w:vAlign w:val="center"/>
          </w:tcPr>
          <w:p w14:paraId="7BE9E944">
            <w:pPr>
              <w:jc w:val="center"/>
              <w:rPr>
                <w:rFonts w:hint="default" w:ascii="宋体" w:hAnsi="宋体" w:eastAsia="宋体" w:cs="宋体"/>
                <w:b/>
                <w:bCs/>
                <w:i w:val="0"/>
                <w:iCs w:val="0"/>
                <w:color w:val="000000"/>
                <w:kern w:val="0"/>
                <w:sz w:val="24"/>
                <w:szCs w:val="24"/>
                <w:u w:val="none"/>
                <w:lang w:val="en-US" w:eastAsia="zh-CN" w:bidi="ar"/>
              </w:rPr>
            </w:pPr>
          </w:p>
        </w:tc>
        <w:tc>
          <w:tcPr>
            <w:tcW w:w="1291" w:type="dxa"/>
            <w:vMerge w:val="continue"/>
            <w:vAlign w:val="center"/>
          </w:tcPr>
          <w:p w14:paraId="1F67637E">
            <w:pPr>
              <w:jc w:val="center"/>
              <w:rPr>
                <w:rFonts w:hint="eastAsia" w:ascii="宋体" w:hAnsi="宋体" w:eastAsia="宋体" w:cs="宋体"/>
                <w:i w:val="0"/>
                <w:iCs w:val="0"/>
                <w:color w:val="auto"/>
                <w:kern w:val="0"/>
                <w:sz w:val="24"/>
                <w:szCs w:val="24"/>
                <w:u w:val="none"/>
                <w:lang w:val="en-US" w:eastAsia="zh-CN" w:bidi="ar"/>
              </w:rPr>
            </w:pPr>
          </w:p>
        </w:tc>
        <w:tc>
          <w:tcPr>
            <w:tcW w:w="2790" w:type="dxa"/>
            <w:vAlign w:val="center"/>
          </w:tcPr>
          <w:p w14:paraId="0EC8D90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额定总容量：900kVar；分为二组补偿：每组容量450kVar；</w:t>
            </w:r>
          </w:p>
        </w:tc>
        <w:tc>
          <w:tcPr>
            <w:tcW w:w="720" w:type="dxa"/>
            <w:vMerge w:val="continue"/>
            <w:vAlign w:val="center"/>
          </w:tcPr>
          <w:p w14:paraId="53D47FB6">
            <w:pPr>
              <w:jc w:val="center"/>
              <w:rPr>
                <w:rFonts w:hint="eastAsia" w:ascii="宋体" w:hAnsi="宋体" w:eastAsia="宋体" w:cs="宋体"/>
                <w:color w:val="auto"/>
                <w:sz w:val="24"/>
                <w:szCs w:val="24"/>
                <w:vertAlign w:val="baseline"/>
                <w:lang w:val="en-US" w:eastAsia="zh-CN"/>
              </w:rPr>
            </w:pPr>
          </w:p>
        </w:tc>
        <w:tc>
          <w:tcPr>
            <w:tcW w:w="825" w:type="dxa"/>
            <w:vMerge w:val="continue"/>
            <w:vAlign w:val="center"/>
          </w:tcPr>
          <w:p w14:paraId="555B4376">
            <w:pPr>
              <w:jc w:val="center"/>
              <w:rPr>
                <w:rFonts w:hint="eastAsia" w:ascii="宋体" w:hAnsi="宋体" w:eastAsia="宋体" w:cs="宋体"/>
                <w:color w:val="auto"/>
                <w:sz w:val="24"/>
                <w:szCs w:val="24"/>
                <w:vertAlign w:val="baseline"/>
                <w:lang w:eastAsia="zh-CN"/>
              </w:rPr>
            </w:pPr>
          </w:p>
        </w:tc>
        <w:tc>
          <w:tcPr>
            <w:tcW w:w="986" w:type="dxa"/>
            <w:vMerge w:val="continue"/>
            <w:vAlign w:val="center"/>
          </w:tcPr>
          <w:p w14:paraId="01035B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c>
          <w:tcPr>
            <w:tcW w:w="1215" w:type="dxa"/>
            <w:vMerge w:val="continue"/>
            <w:vAlign w:val="center"/>
          </w:tcPr>
          <w:p w14:paraId="31BCE3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r>
      <w:tr w14:paraId="4FE5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90" w:type="dxa"/>
            <w:vMerge w:val="continue"/>
            <w:vAlign w:val="center"/>
          </w:tcPr>
          <w:p w14:paraId="1D06ECA2">
            <w:pPr>
              <w:jc w:val="center"/>
              <w:rPr>
                <w:rFonts w:hint="default" w:ascii="宋体" w:hAnsi="宋体" w:eastAsia="宋体" w:cs="宋体"/>
                <w:b/>
                <w:bCs/>
                <w:i w:val="0"/>
                <w:iCs w:val="0"/>
                <w:color w:val="000000"/>
                <w:kern w:val="0"/>
                <w:sz w:val="24"/>
                <w:szCs w:val="24"/>
                <w:u w:val="none"/>
                <w:lang w:val="en-US" w:eastAsia="zh-CN" w:bidi="ar"/>
              </w:rPr>
            </w:pPr>
          </w:p>
        </w:tc>
        <w:tc>
          <w:tcPr>
            <w:tcW w:w="1291" w:type="dxa"/>
            <w:vMerge w:val="continue"/>
            <w:vAlign w:val="center"/>
          </w:tcPr>
          <w:p w14:paraId="7D41FA92">
            <w:pPr>
              <w:jc w:val="center"/>
              <w:rPr>
                <w:rFonts w:hint="eastAsia" w:ascii="宋体" w:hAnsi="宋体" w:eastAsia="宋体" w:cs="宋体"/>
                <w:i w:val="0"/>
                <w:iCs w:val="0"/>
                <w:color w:val="000000"/>
                <w:kern w:val="0"/>
                <w:sz w:val="24"/>
                <w:szCs w:val="24"/>
                <w:u w:val="none"/>
                <w:lang w:val="en-US" w:eastAsia="zh-CN" w:bidi="ar"/>
              </w:rPr>
            </w:pPr>
          </w:p>
        </w:tc>
        <w:tc>
          <w:tcPr>
            <w:tcW w:w="2790" w:type="dxa"/>
            <w:vAlign w:val="center"/>
          </w:tcPr>
          <w:p w14:paraId="1BBFC9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系统额定电压：10kV；最高工作电压：11.5kV；电容器组额定电压：12kV；额定频率：50Hz；</w:t>
            </w:r>
          </w:p>
        </w:tc>
        <w:tc>
          <w:tcPr>
            <w:tcW w:w="720" w:type="dxa"/>
            <w:vMerge w:val="continue"/>
            <w:vAlign w:val="center"/>
          </w:tcPr>
          <w:p w14:paraId="26AC8BE3">
            <w:pPr>
              <w:jc w:val="center"/>
              <w:rPr>
                <w:rFonts w:hint="eastAsia" w:ascii="宋体" w:hAnsi="宋体" w:eastAsia="宋体" w:cs="宋体"/>
                <w:i w:val="0"/>
                <w:iCs w:val="0"/>
                <w:color w:val="000000"/>
                <w:kern w:val="0"/>
                <w:sz w:val="24"/>
                <w:szCs w:val="24"/>
                <w:u w:val="none"/>
                <w:lang w:val="en-US" w:eastAsia="zh-CN" w:bidi="ar"/>
              </w:rPr>
            </w:pPr>
          </w:p>
        </w:tc>
        <w:tc>
          <w:tcPr>
            <w:tcW w:w="825" w:type="dxa"/>
            <w:vMerge w:val="continue"/>
            <w:vAlign w:val="center"/>
          </w:tcPr>
          <w:p w14:paraId="432B753D">
            <w:pPr>
              <w:jc w:val="center"/>
              <w:rPr>
                <w:rFonts w:hint="eastAsia" w:ascii="宋体" w:hAnsi="宋体" w:eastAsia="宋体" w:cs="宋体"/>
                <w:i w:val="0"/>
                <w:iCs w:val="0"/>
                <w:color w:val="000000"/>
                <w:kern w:val="0"/>
                <w:sz w:val="24"/>
                <w:szCs w:val="24"/>
                <w:u w:val="none"/>
                <w:lang w:val="en-US" w:eastAsia="zh-CN" w:bidi="ar"/>
              </w:rPr>
            </w:pPr>
          </w:p>
        </w:tc>
        <w:tc>
          <w:tcPr>
            <w:tcW w:w="986" w:type="dxa"/>
            <w:vMerge w:val="continue"/>
            <w:vAlign w:val="center"/>
          </w:tcPr>
          <w:p w14:paraId="2EA3BB9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c>
          <w:tcPr>
            <w:tcW w:w="1215" w:type="dxa"/>
            <w:vMerge w:val="continue"/>
            <w:vAlign w:val="center"/>
          </w:tcPr>
          <w:p w14:paraId="088955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r>
      <w:tr w14:paraId="15C5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90" w:type="dxa"/>
            <w:vMerge w:val="continue"/>
            <w:vAlign w:val="center"/>
          </w:tcPr>
          <w:p w14:paraId="230D79BB">
            <w:pPr>
              <w:jc w:val="center"/>
              <w:rPr>
                <w:rFonts w:hint="default" w:ascii="宋体" w:hAnsi="宋体" w:eastAsia="宋体" w:cs="宋体"/>
                <w:b/>
                <w:bCs/>
                <w:i w:val="0"/>
                <w:iCs w:val="0"/>
                <w:color w:val="000000"/>
                <w:kern w:val="0"/>
                <w:sz w:val="24"/>
                <w:szCs w:val="24"/>
                <w:u w:val="none"/>
                <w:lang w:val="en-US" w:eastAsia="zh-CN" w:bidi="ar"/>
              </w:rPr>
            </w:pPr>
          </w:p>
        </w:tc>
        <w:tc>
          <w:tcPr>
            <w:tcW w:w="1291" w:type="dxa"/>
            <w:vMerge w:val="continue"/>
            <w:vAlign w:val="center"/>
          </w:tcPr>
          <w:p w14:paraId="73B081A5">
            <w:pPr>
              <w:jc w:val="center"/>
              <w:rPr>
                <w:rFonts w:hint="default" w:ascii="宋体" w:hAnsi="宋体" w:eastAsia="宋体" w:cs="宋体"/>
                <w:i w:val="0"/>
                <w:iCs w:val="0"/>
                <w:color w:val="000000"/>
                <w:kern w:val="0"/>
                <w:sz w:val="24"/>
                <w:szCs w:val="24"/>
                <w:u w:val="none"/>
                <w:lang w:val="en-US" w:eastAsia="zh-CN" w:bidi="ar"/>
              </w:rPr>
            </w:pPr>
          </w:p>
        </w:tc>
        <w:tc>
          <w:tcPr>
            <w:tcW w:w="2790" w:type="dxa"/>
            <w:vAlign w:val="center"/>
          </w:tcPr>
          <w:p w14:paraId="1C7D66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热稳定电流(3s)：40kA；动稳定电流：100kA；</w:t>
            </w:r>
          </w:p>
        </w:tc>
        <w:tc>
          <w:tcPr>
            <w:tcW w:w="720" w:type="dxa"/>
            <w:vMerge w:val="continue"/>
            <w:vAlign w:val="center"/>
          </w:tcPr>
          <w:p w14:paraId="19DD780B">
            <w:pPr>
              <w:jc w:val="center"/>
              <w:rPr>
                <w:rFonts w:hint="eastAsia" w:ascii="宋体" w:hAnsi="宋体" w:eastAsia="宋体" w:cs="宋体"/>
                <w:i w:val="0"/>
                <w:iCs w:val="0"/>
                <w:color w:val="000000"/>
                <w:kern w:val="0"/>
                <w:sz w:val="24"/>
                <w:szCs w:val="24"/>
                <w:u w:val="none"/>
                <w:lang w:val="en-US" w:eastAsia="zh-CN" w:bidi="ar"/>
              </w:rPr>
            </w:pPr>
          </w:p>
        </w:tc>
        <w:tc>
          <w:tcPr>
            <w:tcW w:w="825" w:type="dxa"/>
            <w:vMerge w:val="continue"/>
            <w:vAlign w:val="center"/>
          </w:tcPr>
          <w:p w14:paraId="0338C0E2">
            <w:pPr>
              <w:jc w:val="center"/>
              <w:rPr>
                <w:rFonts w:hint="eastAsia" w:ascii="宋体" w:hAnsi="宋体" w:eastAsia="宋体" w:cs="宋体"/>
                <w:i w:val="0"/>
                <w:iCs w:val="0"/>
                <w:color w:val="000000"/>
                <w:kern w:val="0"/>
                <w:sz w:val="24"/>
                <w:szCs w:val="24"/>
                <w:u w:val="none"/>
                <w:lang w:val="en-US" w:eastAsia="zh-CN" w:bidi="ar"/>
              </w:rPr>
            </w:pPr>
          </w:p>
        </w:tc>
        <w:tc>
          <w:tcPr>
            <w:tcW w:w="986" w:type="dxa"/>
            <w:vMerge w:val="continue"/>
            <w:vAlign w:val="center"/>
          </w:tcPr>
          <w:p w14:paraId="69A8F43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c>
          <w:tcPr>
            <w:tcW w:w="1215" w:type="dxa"/>
            <w:vMerge w:val="continue"/>
            <w:vAlign w:val="center"/>
          </w:tcPr>
          <w:p w14:paraId="716B3B9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r>
      <w:tr w14:paraId="7612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Merge w:val="continue"/>
            <w:vAlign w:val="center"/>
          </w:tcPr>
          <w:p w14:paraId="6461C65A">
            <w:pPr>
              <w:jc w:val="center"/>
              <w:rPr>
                <w:rFonts w:hint="default" w:ascii="宋体" w:hAnsi="宋体" w:eastAsia="宋体" w:cs="宋体"/>
                <w:b w:val="0"/>
                <w:bCs w:val="0"/>
                <w:i w:val="0"/>
                <w:iCs w:val="0"/>
                <w:color w:val="000000"/>
                <w:kern w:val="0"/>
                <w:sz w:val="24"/>
                <w:szCs w:val="24"/>
                <w:u w:val="none"/>
                <w:lang w:val="en-US" w:eastAsia="zh-CN" w:bidi="ar"/>
              </w:rPr>
            </w:pPr>
          </w:p>
        </w:tc>
        <w:tc>
          <w:tcPr>
            <w:tcW w:w="1291" w:type="dxa"/>
            <w:vMerge w:val="continue"/>
            <w:vAlign w:val="center"/>
          </w:tcPr>
          <w:p w14:paraId="29C4B2A0">
            <w:pPr>
              <w:jc w:val="center"/>
              <w:rPr>
                <w:rFonts w:hint="eastAsia" w:ascii="宋体" w:hAnsi="宋体" w:eastAsia="宋体" w:cs="宋体"/>
                <w:i w:val="0"/>
                <w:iCs w:val="0"/>
                <w:color w:val="auto"/>
                <w:kern w:val="0"/>
                <w:sz w:val="24"/>
                <w:szCs w:val="24"/>
                <w:u w:val="none"/>
                <w:lang w:val="en-US" w:eastAsia="zh-CN" w:bidi="ar"/>
              </w:rPr>
            </w:pPr>
          </w:p>
        </w:tc>
        <w:tc>
          <w:tcPr>
            <w:tcW w:w="2790" w:type="dxa"/>
            <w:vAlign w:val="center"/>
          </w:tcPr>
          <w:p w14:paraId="12DB577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温升：母线之间连接处及主电路中各电气连接处的温升不超过50K。</w:t>
            </w:r>
          </w:p>
        </w:tc>
        <w:tc>
          <w:tcPr>
            <w:tcW w:w="720" w:type="dxa"/>
            <w:vMerge w:val="continue"/>
            <w:vAlign w:val="center"/>
          </w:tcPr>
          <w:p w14:paraId="191C0DBB">
            <w:pPr>
              <w:jc w:val="center"/>
              <w:rPr>
                <w:rFonts w:hint="eastAsia" w:ascii="宋体" w:hAnsi="宋体" w:eastAsia="宋体" w:cs="宋体"/>
                <w:color w:val="auto"/>
                <w:sz w:val="24"/>
                <w:szCs w:val="24"/>
                <w:vertAlign w:val="baseline"/>
                <w:lang w:val="en-US" w:eastAsia="zh-CN"/>
              </w:rPr>
            </w:pPr>
          </w:p>
        </w:tc>
        <w:tc>
          <w:tcPr>
            <w:tcW w:w="825" w:type="dxa"/>
            <w:vMerge w:val="continue"/>
            <w:vAlign w:val="center"/>
          </w:tcPr>
          <w:p w14:paraId="26CBC6A8">
            <w:pPr>
              <w:jc w:val="center"/>
              <w:rPr>
                <w:rFonts w:hint="eastAsia" w:ascii="宋体" w:hAnsi="宋体" w:eastAsia="宋体" w:cs="宋体"/>
                <w:color w:val="auto"/>
                <w:sz w:val="24"/>
                <w:szCs w:val="24"/>
                <w:vertAlign w:val="baseline"/>
                <w:lang w:eastAsia="zh-CN"/>
              </w:rPr>
            </w:pPr>
          </w:p>
        </w:tc>
        <w:tc>
          <w:tcPr>
            <w:tcW w:w="986" w:type="dxa"/>
            <w:vMerge w:val="continue"/>
            <w:vAlign w:val="center"/>
          </w:tcPr>
          <w:p w14:paraId="5417A85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c>
          <w:tcPr>
            <w:tcW w:w="1215" w:type="dxa"/>
            <w:vMerge w:val="continue"/>
            <w:vAlign w:val="center"/>
          </w:tcPr>
          <w:p w14:paraId="3C63B20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r>
      <w:tr w14:paraId="636B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Merge w:val="continue"/>
            <w:vAlign w:val="center"/>
          </w:tcPr>
          <w:p w14:paraId="5FE36ADF">
            <w:pPr>
              <w:jc w:val="center"/>
              <w:rPr>
                <w:rFonts w:hint="default" w:ascii="宋体" w:hAnsi="宋体" w:eastAsia="宋体" w:cs="宋体"/>
                <w:b w:val="0"/>
                <w:bCs w:val="0"/>
                <w:i w:val="0"/>
                <w:iCs w:val="0"/>
                <w:color w:val="000000"/>
                <w:kern w:val="0"/>
                <w:sz w:val="24"/>
                <w:szCs w:val="24"/>
                <w:u w:val="none"/>
                <w:lang w:val="en-US" w:eastAsia="zh-CN" w:bidi="ar"/>
              </w:rPr>
            </w:pPr>
          </w:p>
        </w:tc>
        <w:tc>
          <w:tcPr>
            <w:tcW w:w="1291" w:type="dxa"/>
            <w:vMerge w:val="continue"/>
            <w:vAlign w:val="center"/>
          </w:tcPr>
          <w:p w14:paraId="7D2C9F32">
            <w:pPr>
              <w:jc w:val="center"/>
              <w:rPr>
                <w:rFonts w:hint="eastAsia" w:ascii="宋体" w:hAnsi="宋体" w:eastAsia="宋体" w:cs="宋体"/>
                <w:i w:val="0"/>
                <w:iCs w:val="0"/>
                <w:color w:val="auto"/>
                <w:kern w:val="0"/>
                <w:sz w:val="24"/>
                <w:szCs w:val="24"/>
                <w:u w:val="none"/>
                <w:lang w:val="en-US" w:eastAsia="zh-CN" w:bidi="ar"/>
              </w:rPr>
            </w:pPr>
          </w:p>
        </w:tc>
        <w:tc>
          <w:tcPr>
            <w:tcW w:w="2790" w:type="dxa"/>
            <w:vAlign w:val="center"/>
          </w:tcPr>
          <w:p w14:paraId="641CF07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额定绝缘水平：1min工频耐受电压(有效值)：42kV；冲击耐受电压(峰值)：75kV；</w:t>
            </w:r>
          </w:p>
        </w:tc>
        <w:tc>
          <w:tcPr>
            <w:tcW w:w="720" w:type="dxa"/>
            <w:vMerge w:val="continue"/>
            <w:vAlign w:val="center"/>
          </w:tcPr>
          <w:p w14:paraId="0D256840">
            <w:pPr>
              <w:jc w:val="center"/>
              <w:rPr>
                <w:rFonts w:hint="eastAsia" w:ascii="宋体" w:hAnsi="宋体" w:eastAsia="宋体" w:cs="宋体"/>
                <w:color w:val="auto"/>
                <w:sz w:val="24"/>
                <w:szCs w:val="24"/>
                <w:vertAlign w:val="baseline"/>
                <w:lang w:val="en-US" w:eastAsia="zh-CN"/>
              </w:rPr>
            </w:pPr>
          </w:p>
        </w:tc>
        <w:tc>
          <w:tcPr>
            <w:tcW w:w="825" w:type="dxa"/>
            <w:vMerge w:val="continue"/>
            <w:vAlign w:val="center"/>
          </w:tcPr>
          <w:p w14:paraId="55441366">
            <w:pPr>
              <w:jc w:val="center"/>
              <w:rPr>
                <w:rFonts w:hint="eastAsia" w:ascii="宋体" w:hAnsi="宋体" w:eastAsia="宋体" w:cs="宋体"/>
                <w:color w:val="auto"/>
                <w:sz w:val="24"/>
                <w:szCs w:val="24"/>
                <w:vertAlign w:val="baseline"/>
                <w:lang w:eastAsia="zh-CN"/>
              </w:rPr>
            </w:pPr>
          </w:p>
        </w:tc>
        <w:tc>
          <w:tcPr>
            <w:tcW w:w="986" w:type="dxa"/>
            <w:vMerge w:val="continue"/>
            <w:vAlign w:val="center"/>
          </w:tcPr>
          <w:p w14:paraId="50C5BD7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c>
          <w:tcPr>
            <w:tcW w:w="1215" w:type="dxa"/>
            <w:vMerge w:val="continue"/>
            <w:vAlign w:val="center"/>
          </w:tcPr>
          <w:p w14:paraId="028395E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r>
      <w:tr w14:paraId="23E99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Merge w:val="continue"/>
            <w:vAlign w:val="center"/>
          </w:tcPr>
          <w:p w14:paraId="05C7AA04">
            <w:pPr>
              <w:jc w:val="center"/>
              <w:rPr>
                <w:rFonts w:hint="default" w:ascii="宋体" w:hAnsi="宋体" w:eastAsia="宋体" w:cs="宋体"/>
                <w:b w:val="0"/>
                <w:bCs w:val="0"/>
                <w:i w:val="0"/>
                <w:iCs w:val="0"/>
                <w:color w:val="000000"/>
                <w:kern w:val="0"/>
                <w:sz w:val="24"/>
                <w:szCs w:val="24"/>
                <w:u w:val="none"/>
                <w:lang w:val="en-US" w:eastAsia="zh-CN" w:bidi="ar"/>
              </w:rPr>
            </w:pPr>
          </w:p>
        </w:tc>
        <w:tc>
          <w:tcPr>
            <w:tcW w:w="1291" w:type="dxa"/>
            <w:vMerge w:val="continue"/>
            <w:vAlign w:val="center"/>
          </w:tcPr>
          <w:p w14:paraId="4CF090F9">
            <w:pPr>
              <w:jc w:val="center"/>
              <w:rPr>
                <w:rFonts w:hint="eastAsia" w:ascii="宋体" w:hAnsi="宋体" w:eastAsia="宋体" w:cs="宋体"/>
                <w:i w:val="0"/>
                <w:iCs w:val="0"/>
                <w:color w:val="auto"/>
                <w:kern w:val="0"/>
                <w:sz w:val="24"/>
                <w:szCs w:val="24"/>
                <w:u w:val="none"/>
                <w:lang w:val="en-US" w:eastAsia="zh-CN" w:bidi="ar"/>
              </w:rPr>
            </w:pPr>
          </w:p>
        </w:tc>
        <w:tc>
          <w:tcPr>
            <w:tcW w:w="2790" w:type="dxa"/>
            <w:vAlign w:val="center"/>
          </w:tcPr>
          <w:p w14:paraId="5D47245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二次控制系统工作电源：DC220V±15%</w:t>
            </w:r>
          </w:p>
        </w:tc>
        <w:tc>
          <w:tcPr>
            <w:tcW w:w="720" w:type="dxa"/>
            <w:vMerge w:val="continue"/>
            <w:vAlign w:val="center"/>
          </w:tcPr>
          <w:p w14:paraId="1BF70BEF">
            <w:pPr>
              <w:jc w:val="center"/>
              <w:rPr>
                <w:rFonts w:hint="eastAsia" w:ascii="宋体" w:hAnsi="宋体" w:eastAsia="宋体" w:cs="宋体"/>
                <w:color w:val="auto"/>
                <w:sz w:val="24"/>
                <w:szCs w:val="24"/>
                <w:vertAlign w:val="baseline"/>
                <w:lang w:val="en-US" w:eastAsia="zh-CN"/>
              </w:rPr>
            </w:pPr>
          </w:p>
        </w:tc>
        <w:tc>
          <w:tcPr>
            <w:tcW w:w="825" w:type="dxa"/>
            <w:vMerge w:val="continue"/>
            <w:vAlign w:val="center"/>
          </w:tcPr>
          <w:p w14:paraId="06858252">
            <w:pPr>
              <w:jc w:val="center"/>
              <w:rPr>
                <w:rFonts w:hint="eastAsia" w:ascii="宋体" w:hAnsi="宋体" w:eastAsia="宋体" w:cs="宋体"/>
                <w:color w:val="auto"/>
                <w:sz w:val="24"/>
                <w:szCs w:val="24"/>
                <w:vertAlign w:val="baseline"/>
                <w:lang w:eastAsia="zh-CN"/>
              </w:rPr>
            </w:pPr>
          </w:p>
        </w:tc>
        <w:tc>
          <w:tcPr>
            <w:tcW w:w="986" w:type="dxa"/>
            <w:vMerge w:val="continue"/>
            <w:vAlign w:val="center"/>
          </w:tcPr>
          <w:p w14:paraId="595EAE4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c>
          <w:tcPr>
            <w:tcW w:w="1215" w:type="dxa"/>
            <w:vMerge w:val="continue"/>
            <w:vAlign w:val="center"/>
          </w:tcPr>
          <w:p w14:paraId="31EE61F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r>
      <w:tr w14:paraId="00FF6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Merge w:val="continue"/>
            <w:vAlign w:val="center"/>
          </w:tcPr>
          <w:p w14:paraId="09B0D3B9">
            <w:pPr>
              <w:jc w:val="center"/>
              <w:rPr>
                <w:rFonts w:hint="default" w:ascii="宋体" w:hAnsi="宋体" w:eastAsia="宋体" w:cs="宋体"/>
                <w:b w:val="0"/>
                <w:bCs w:val="0"/>
                <w:i w:val="0"/>
                <w:iCs w:val="0"/>
                <w:color w:val="000000"/>
                <w:kern w:val="0"/>
                <w:sz w:val="24"/>
                <w:szCs w:val="24"/>
                <w:u w:val="none"/>
                <w:lang w:val="en-US" w:eastAsia="zh-CN" w:bidi="ar"/>
              </w:rPr>
            </w:pPr>
          </w:p>
        </w:tc>
        <w:tc>
          <w:tcPr>
            <w:tcW w:w="1291" w:type="dxa"/>
            <w:vMerge w:val="continue"/>
            <w:vAlign w:val="center"/>
          </w:tcPr>
          <w:p w14:paraId="7D70DDD0">
            <w:pPr>
              <w:jc w:val="center"/>
              <w:rPr>
                <w:rFonts w:hint="eastAsia" w:ascii="宋体" w:hAnsi="宋体" w:eastAsia="宋体" w:cs="宋体"/>
                <w:i w:val="0"/>
                <w:iCs w:val="0"/>
                <w:color w:val="auto"/>
                <w:kern w:val="0"/>
                <w:sz w:val="24"/>
                <w:szCs w:val="24"/>
                <w:u w:val="none"/>
                <w:lang w:val="en-US" w:eastAsia="zh-CN" w:bidi="ar"/>
              </w:rPr>
            </w:pPr>
          </w:p>
        </w:tc>
        <w:tc>
          <w:tcPr>
            <w:tcW w:w="2790" w:type="dxa"/>
            <w:vAlign w:val="center"/>
          </w:tcPr>
          <w:p w14:paraId="4FDEF86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设备成套性</w:t>
            </w:r>
            <w:r>
              <w:rPr>
                <w:rFonts w:hint="eastAsia" w:ascii="宋体" w:hAnsi="宋体" w:eastAsia="宋体" w:cs="宋体"/>
                <w:i w:val="0"/>
                <w:iCs w:val="0"/>
                <w:color w:val="000000"/>
                <w:kern w:val="0"/>
                <w:sz w:val="24"/>
                <w:szCs w:val="24"/>
                <w:u w:val="none"/>
                <w:lang w:val="en-US" w:eastAsia="zh-CN" w:bidi="ar"/>
              </w:rPr>
              <w:t>：10kV柜式高压并联电容器成套装置由控制器（自带保护功能）、真空接触器、并联电容器、串联电抗器、放电线圈、喷逐熔断器、氧化锌避雷器、电流互感器、隔离开关、负荷开关、柜体及其二次附件等组成成套设备。</w:t>
            </w:r>
          </w:p>
        </w:tc>
        <w:tc>
          <w:tcPr>
            <w:tcW w:w="720" w:type="dxa"/>
            <w:vMerge w:val="continue"/>
            <w:vAlign w:val="center"/>
          </w:tcPr>
          <w:p w14:paraId="4DFFBE57">
            <w:pPr>
              <w:jc w:val="center"/>
              <w:rPr>
                <w:rFonts w:hint="eastAsia" w:ascii="宋体" w:hAnsi="宋体" w:eastAsia="宋体" w:cs="宋体"/>
                <w:color w:val="auto"/>
                <w:sz w:val="24"/>
                <w:szCs w:val="24"/>
                <w:vertAlign w:val="baseline"/>
                <w:lang w:val="en-US" w:eastAsia="zh-CN"/>
              </w:rPr>
            </w:pPr>
          </w:p>
        </w:tc>
        <w:tc>
          <w:tcPr>
            <w:tcW w:w="825" w:type="dxa"/>
            <w:vMerge w:val="continue"/>
            <w:vAlign w:val="center"/>
          </w:tcPr>
          <w:p w14:paraId="757455D6">
            <w:pPr>
              <w:jc w:val="center"/>
              <w:rPr>
                <w:rFonts w:hint="eastAsia" w:ascii="宋体" w:hAnsi="宋体" w:eastAsia="宋体" w:cs="宋体"/>
                <w:color w:val="auto"/>
                <w:sz w:val="24"/>
                <w:szCs w:val="24"/>
                <w:vertAlign w:val="baseline"/>
                <w:lang w:eastAsia="zh-CN"/>
              </w:rPr>
            </w:pPr>
          </w:p>
        </w:tc>
        <w:tc>
          <w:tcPr>
            <w:tcW w:w="986" w:type="dxa"/>
            <w:vMerge w:val="continue"/>
            <w:vAlign w:val="center"/>
          </w:tcPr>
          <w:p w14:paraId="2D3F699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c>
          <w:tcPr>
            <w:tcW w:w="1215" w:type="dxa"/>
            <w:vMerge w:val="continue"/>
            <w:vAlign w:val="center"/>
          </w:tcPr>
          <w:p w14:paraId="22B501F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r>
      <w:tr w14:paraId="4976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Merge w:val="continue"/>
            <w:vAlign w:val="center"/>
          </w:tcPr>
          <w:p w14:paraId="59C82FB6">
            <w:pPr>
              <w:jc w:val="center"/>
              <w:rPr>
                <w:rFonts w:hint="default" w:ascii="宋体" w:hAnsi="宋体" w:eastAsia="宋体" w:cs="宋体"/>
                <w:b w:val="0"/>
                <w:bCs w:val="0"/>
                <w:i w:val="0"/>
                <w:iCs w:val="0"/>
                <w:color w:val="000000"/>
                <w:kern w:val="0"/>
                <w:sz w:val="24"/>
                <w:szCs w:val="24"/>
                <w:u w:val="none"/>
                <w:lang w:val="en-US" w:eastAsia="zh-CN" w:bidi="ar"/>
              </w:rPr>
            </w:pPr>
          </w:p>
        </w:tc>
        <w:tc>
          <w:tcPr>
            <w:tcW w:w="1291" w:type="dxa"/>
            <w:vMerge w:val="continue"/>
            <w:vAlign w:val="center"/>
          </w:tcPr>
          <w:p w14:paraId="6A6CF7A3">
            <w:pPr>
              <w:jc w:val="center"/>
              <w:rPr>
                <w:rFonts w:hint="eastAsia" w:ascii="宋体" w:hAnsi="宋体" w:eastAsia="宋体" w:cs="宋体"/>
                <w:i w:val="0"/>
                <w:iCs w:val="0"/>
                <w:color w:val="auto"/>
                <w:kern w:val="0"/>
                <w:sz w:val="24"/>
                <w:szCs w:val="24"/>
                <w:u w:val="none"/>
                <w:lang w:val="en-US" w:eastAsia="zh-CN" w:bidi="ar"/>
              </w:rPr>
            </w:pPr>
          </w:p>
        </w:tc>
        <w:tc>
          <w:tcPr>
            <w:tcW w:w="2790" w:type="dxa"/>
            <w:vAlign w:val="center"/>
          </w:tcPr>
          <w:p w14:paraId="0374FEE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密闭柜式结构，成套设备总宽度不大于4000mm，总高度2200mm左右，总深度不大于1800mm；</w:t>
            </w:r>
          </w:p>
        </w:tc>
        <w:tc>
          <w:tcPr>
            <w:tcW w:w="720" w:type="dxa"/>
            <w:vMerge w:val="continue"/>
            <w:vAlign w:val="center"/>
          </w:tcPr>
          <w:p w14:paraId="7C6EB8E2">
            <w:pPr>
              <w:jc w:val="center"/>
              <w:rPr>
                <w:rFonts w:hint="eastAsia" w:ascii="宋体" w:hAnsi="宋体" w:eastAsia="宋体" w:cs="宋体"/>
                <w:color w:val="auto"/>
                <w:sz w:val="24"/>
                <w:szCs w:val="24"/>
                <w:vertAlign w:val="baseline"/>
                <w:lang w:val="en-US" w:eastAsia="zh-CN"/>
              </w:rPr>
            </w:pPr>
          </w:p>
        </w:tc>
        <w:tc>
          <w:tcPr>
            <w:tcW w:w="825" w:type="dxa"/>
            <w:vMerge w:val="continue"/>
            <w:vAlign w:val="center"/>
          </w:tcPr>
          <w:p w14:paraId="00593110">
            <w:pPr>
              <w:jc w:val="center"/>
              <w:rPr>
                <w:rFonts w:hint="eastAsia" w:ascii="宋体" w:hAnsi="宋体" w:eastAsia="宋体" w:cs="宋体"/>
                <w:color w:val="auto"/>
                <w:sz w:val="24"/>
                <w:szCs w:val="24"/>
                <w:vertAlign w:val="baseline"/>
                <w:lang w:eastAsia="zh-CN"/>
              </w:rPr>
            </w:pPr>
          </w:p>
        </w:tc>
        <w:tc>
          <w:tcPr>
            <w:tcW w:w="986" w:type="dxa"/>
            <w:vMerge w:val="continue"/>
            <w:vAlign w:val="center"/>
          </w:tcPr>
          <w:p w14:paraId="0E9155A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c>
          <w:tcPr>
            <w:tcW w:w="1215" w:type="dxa"/>
            <w:vMerge w:val="continue"/>
            <w:vAlign w:val="center"/>
          </w:tcPr>
          <w:p w14:paraId="0D348E5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r>
      <w:tr w14:paraId="5AE13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Merge w:val="continue"/>
            <w:vAlign w:val="center"/>
          </w:tcPr>
          <w:p w14:paraId="670C3D93">
            <w:pPr>
              <w:jc w:val="center"/>
              <w:rPr>
                <w:rFonts w:hint="default" w:ascii="宋体" w:hAnsi="宋体" w:eastAsia="宋体" w:cs="宋体"/>
                <w:b w:val="0"/>
                <w:bCs w:val="0"/>
                <w:i w:val="0"/>
                <w:iCs w:val="0"/>
                <w:color w:val="000000"/>
                <w:kern w:val="0"/>
                <w:sz w:val="24"/>
                <w:szCs w:val="24"/>
                <w:u w:val="none"/>
                <w:lang w:val="en-US" w:eastAsia="zh-CN" w:bidi="ar"/>
              </w:rPr>
            </w:pPr>
          </w:p>
        </w:tc>
        <w:tc>
          <w:tcPr>
            <w:tcW w:w="1291" w:type="dxa"/>
            <w:vMerge w:val="continue"/>
            <w:vAlign w:val="center"/>
          </w:tcPr>
          <w:p w14:paraId="3BA65689">
            <w:pPr>
              <w:jc w:val="center"/>
              <w:rPr>
                <w:rFonts w:hint="eastAsia" w:ascii="宋体" w:hAnsi="宋体" w:eastAsia="宋体" w:cs="宋体"/>
                <w:i w:val="0"/>
                <w:iCs w:val="0"/>
                <w:color w:val="auto"/>
                <w:kern w:val="0"/>
                <w:sz w:val="24"/>
                <w:szCs w:val="24"/>
                <w:u w:val="none"/>
                <w:lang w:val="en-US" w:eastAsia="zh-CN" w:bidi="ar"/>
              </w:rPr>
            </w:pPr>
          </w:p>
        </w:tc>
        <w:tc>
          <w:tcPr>
            <w:tcW w:w="2790" w:type="dxa"/>
            <w:vAlign w:val="center"/>
          </w:tcPr>
          <w:p w14:paraId="43A4BCD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投切方式</w:t>
            </w:r>
            <w:r>
              <w:rPr>
                <w:rFonts w:hint="eastAsia" w:ascii="宋体" w:hAnsi="宋体" w:eastAsia="宋体" w:cs="宋体"/>
                <w:i w:val="0"/>
                <w:iCs w:val="0"/>
                <w:color w:val="000000"/>
                <w:kern w:val="0"/>
                <w:sz w:val="24"/>
                <w:szCs w:val="24"/>
                <w:u w:val="none"/>
                <w:lang w:val="en-US" w:eastAsia="zh-CN" w:bidi="ar"/>
              </w:rPr>
              <w:t>：自动+手动无扰动切换；</w:t>
            </w:r>
          </w:p>
        </w:tc>
        <w:tc>
          <w:tcPr>
            <w:tcW w:w="720" w:type="dxa"/>
            <w:vMerge w:val="continue"/>
            <w:vAlign w:val="center"/>
          </w:tcPr>
          <w:p w14:paraId="291E1060">
            <w:pPr>
              <w:jc w:val="center"/>
              <w:rPr>
                <w:rFonts w:hint="eastAsia" w:ascii="宋体" w:hAnsi="宋体" w:eastAsia="宋体" w:cs="宋体"/>
                <w:color w:val="auto"/>
                <w:sz w:val="24"/>
                <w:szCs w:val="24"/>
                <w:vertAlign w:val="baseline"/>
                <w:lang w:val="en-US" w:eastAsia="zh-CN"/>
              </w:rPr>
            </w:pPr>
          </w:p>
        </w:tc>
        <w:tc>
          <w:tcPr>
            <w:tcW w:w="825" w:type="dxa"/>
            <w:vMerge w:val="continue"/>
            <w:vAlign w:val="center"/>
          </w:tcPr>
          <w:p w14:paraId="3177CB76">
            <w:pPr>
              <w:jc w:val="center"/>
              <w:rPr>
                <w:rFonts w:hint="eastAsia" w:ascii="宋体" w:hAnsi="宋体" w:eastAsia="宋体" w:cs="宋体"/>
                <w:color w:val="auto"/>
                <w:sz w:val="24"/>
                <w:szCs w:val="24"/>
                <w:vertAlign w:val="baseline"/>
                <w:lang w:eastAsia="zh-CN"/>
              </w:rPr>
            </w:pPr>
          </w:p>
        </w:tc>
        <w:tc>
          <w:tcPr>
            <w:tcW w:w="986" w:type="dxa"/>
            <w:vMerge w:val="continue"/>
            <w:vAlign w:val="center"/>
          </w:tcPr>
          <w:p w14:paraId="556535A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c>
          <w:tcPr>
            <w:tcW w:w="1215" w:type="dxa"/>
            <w:vMerge w:val="continue"/>
            <w:vAlign w:val="center"/>
          </w:tcPr>
          <w:p w14:paraId="0299373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r>
      <w:tr w14:paraId="3547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Align w:val="center"/>
          </w:tcPr>
          <w:p w14:paraId="01E483E1">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w:t>
            </w:r>
          </w:p>
        </w:tc>
        <w:tc>
          <w:tcPr>
            <w:tcW w:w="1291" w:type="dxa"/>
            <w:vAlign w:val="center"/>
          </w:tcPr>
          <w:p w14:paraId="1D25CFF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母线温度控制变压器</w:t>
            </w:r>
          </w:p>
        </w:tc>
        <w:tc>
          <w:tcPr>
            <w:tcW w:w="2790" w:type="dxa"/>
            <w:vAlign w:val="center"/>
          </w:tcPr>
          <w:p w14:paraId="4F721A0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CPC-WT-6 中电CPC</w:t>
            </w:r>
          </w:p>
        </w:tc>
        <w:tc>
          <w:tcPr>
            <w:tcW w:w="720" w:type="dxa"/>
            <w:vAlign w:val="center"/>
          </w:tcPr>
          <w:p w14:paraId="691DC577">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825" w:type="dxa"/>
            <w:vAlign w:val="center"/>
          </w:tcPr>
          <w:p w14:paraId="48ABAF11">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个</w:t>
            </w:r>
          </w:p>
        </w:tc>
        <w:tc>
          <w:tcPr>
            <w:tcW w:w="986" w:type="dxa"/>
            <w:vAlign w:val="center"/>
          </w:tcPr>
          <w:p w14:paraId="74EB9E6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c>
          <w:tcPr>
            <w:tcW w:w="1215" w:type="dxa"/>
            <w:vAlign w:val="center"/>
          </w:tcPr>
          <w:p w14:paraId="2D890C5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17" w:type="dxa"/>
            <w:gridSpan w:val="7"/>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w:t>
            </w:r>
            <w:r>
              <w:rPr>
                <w:rFonts w:hint="eastAsia"/>
                <w:lang w:val="en-US" w:eastAsia="zh-CN"/>
              </w:rPr>
              <w:t>必须按规格型号参数及品牌要求报价；无品牌要求的必须注明生产厂家及品牌名称，生产厂家必须具有投报产品的生产许可证；</w:t>
            </w:r>
            <w:r>
              <w:rPr>
                <w:rFonts w:hint="eastAsia" w:ascii="宋体" w:hAnsi="宋体" w:eastAsia="宋体" w:cs="宋体"/>
                <w:sz w:val="21"/>
                <w:szCs w:val="21"/>
                <w:lang w:val="en-US" w:eastAsia="zh-CN"/>
              </w:rPr>
              <w:t>第1项必须附成套设备配置清单，</w:t>
            </w:r>
            <w:r>
              <w:rPr>
                <w:rFonts w:hint="eastAsia"/>
                <w:lang w:val="en-US" w:eastAsia="zh-CN"/>
              </w:rPr>
              <w:t>以上两项必须报全，否则报价无效</w:t>
            </w:r>
            <w:r>
              <w:rPr>
                <w:rFonts w:hint="eastAsia"/>
              </w:rPr>
              <w:t>。</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w:t>
      </w:r>
      <w:r>
        <w:rPr>
          <w:rFonts w:hint="eastAsia" w:ascii="仿宋" w:hAnsi="仿宋" w:eastAsia="仿宋" w:cs="仿宋"/>
          <w:b w:val="0"/>
          <w:bCs/>
          <w:i w:val="0"/>
          <w:caps w:val="0"/>
          <w:color w:val="000000"/>
          <w:spacing w:val="0"/>
          <w:sz w:val="32"/>
          <w:szCs w:val="32"/>
        </w:rPr>
        <w:t>铭牌标识完整清楚</w:t>
      </w:r>
      <w:r>
        <w:rPr>
          <w:rFonts w:hint="eastAsia" w:ascii="仿宋" w:hAnsi="仿宋" w:eastAsia="仿宋" w:cs="仿宋"/>
          <w:b w:val="0"/>
          <w:bCs/>
          <w:i w:val="0"/>
          <w:caps w:val="0"/>
          <w:color w:val="000000"/>
          <w:spacing w:val="0"/>
          <w:sz w:val="32"/>
          <w:szCs w:val="32"/>
          <w:lang w:eastAsia="zh-CN"/>
        </w:rPr>
        <w:t>、</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0208C0E0">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sz w:val="32"/>
          <w:szCs w:val="32"/>
          <w:lang w:val="en-US" w:eastAsia="zh-CN"/>
        </w:rPr>
        <w:t>4、</w:t>
      </w:r>
      <w:r>
        <w:rPr>
          <w:rFonts w:hint="eastAsia" w:ascii="仿宋" w:hAnsi="仿宋" w:eastAsia="仿宋" w:cs="仿宋"/>
          <w:b w:val="0"/>
          <w:bCs/>
          <w:i w:val="0"/>
          <w:caps w:val="0"/>
          <w:color w:val="000000"/>
          <w:spacing w:val="0"/>
          <w:kern w:val="0"/>
          <w:sz w:val="32"/>
          <w:szCs w:val="32"/>
          <w:lang w:val="en-US" w:eastAsia="zh-CN" w:bidi="ar"/>
        </w:rPr>
        <w:t>售后服务要求：货物到需方公司后，需方发现质量问题，电话或书</w:t>
      </w:r>
      <w:r>
        <w:rPr>
          <w:rFonts w:hint="eastAsia" w:ascii="仿宋" w:hAnsi="仿宋" w:eastAsia="仿宋" w:cs="仿宋"/>
          <w:i w:val="0"/>
          <w:caps w:val="0"/>
          <w:color w:val="000000"/>
          <w:spacing w:val="0"/>
          <w:kern w:val="0"/>
          <w:sz w:val="32"/>
          <w:szCs w:val="32"/>
          <w:lang w:val="en-US" w:eastAsia="zh-CN" w:bidi="ar"/>
        </w:rPr>
        <w:t>面通知供方，供方必须在2小时之内予以答复并在48小时内到达需方现场解决。具体要求如下：</w:t>
      </w:r>
    </w:p>
    <w:p w14:paraId="0A9A612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1）</w:t>
      </w:r>
      <w:r>
        <w:rPr>
          <w:rFonts w:hint="eastAsia" w:ascii="仿宋" w:hAnsi="仿宋" w:eastAsia="仿宋" w:cs="仿宋"/>
          <w:i w:val="0"/>
          <w:caps w:val="0"/>
          <w:color w:val="000000"/>
          <w:spacing w:val="0"/>
          <w:sz w:val="32"/>
          <w:szCs w:val="32"/>
        </w:rPr>
        <w:t>供方必须及时提供与</w:t>
      </w:r>
      <w:r>
        <w:rPr>
          <w:rFonts w:hint="eastAsia" w:ascii="仿宋" w:hAnsi="仿宋" w:eastAsia="仿宋" w:cs="仿宋"/>
          <w:i w:val="0"/>
          <w:caps w:val="0"/>
          <w:color w:val="000000"/>
          <w:spacing w:val="0"/>
          <w:sz w:val="32"/>
          <w:szCs w:val="32"/>
          <w:lang w:val="en-US" w:eastAsia="zh-CN"/>
        </w:rPr>
        <w:t>询比</w:t>
      </w:r>
      <w:r>
        <w:rPr>
          <w:rFonts w:hint="eastAsia" w:ascii="仿宋" w:hAnsi="仿宋" w:eastAsia="仿宋" w:cs="仿宋"/>
          <w:i w:val="0"/>
          <w:caps w:val="0"/>
          <w:color w:val="000000"/>
          <w:spacing w:val="0"/>
          <w:sz w:val="32"/>
          <w:szCs w:val="32"/>
        </w:rPr>
        <w:t>设备有关的工作（如检验、土建、安装、调试、验收、性能验收试验、运行、检修等）的技术指导、技术配合、技术培训等全过程的服务。</w:t>
      </w:r>
    </w:p>
    <w:p w14:paraId="763F070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2）</w:t>
      </w:r>
      <w:r>
        <w:rPr>
          <w:rFonts w:hint="eastAsia" w:ascii="仿宋" w:hAnsi="仿宋" w:eastAsia="仿宋" w:cs="仿宋"/>
          <w:i w:val="0"/>
          <w:caps w:val="0"/>
          <w:color w:val="000000"/>
          <w:spacing w:val="0"/>
          <w:sz w:val="32"/>
          <w:szCs w:val="32"/>
        </w:rPr>
        <w:t>如需方认为有必要，则供方需到现场进行指导安装、调试。</w:t>
      </w:r>
    </w:p>
    <w:p w14:paraId="3559CAC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3）</w:t>
      </w:r>
      <w:r>
        <w:rPr>
          <w:rFonts w:hint="eastAsia" w:ascii="仿宋" w:hAnsi="仿宋" w:eastAsia="仿宋" w:cs="仿宋"/>
          <w:i w:val="0"/>
          <w:caps w:val="0"/>
          <w:color w:val="000000"/>
          <w:spacing w:val="0"/>
          <w:sz w:val="32"/>
          <w:szCs w:val="32"/>
        </w:rPr>
        <w:t>供方负责解决</w:t>
      </w:r>
      <w:r>
        <w:rPr>
          <w:rFonts w:hint="eastAsia" w:ascii="仿宋" w:hAnsi="仿宋" w:eastAsia="仿宋" w:cs="仿宋"/>
          <w:i w:val="0"/>
          <w:caps w:val="0"/>
          <w:color w:val="000000"/>
          <w:spacing w:val="0"/>
          <w:sz w:val="32"/>
          <w:szCs w:val="32"/>
          <w:lang w:val="en-US" w:eastAsia="zh-CN"/>
        </w:rPr>
        <w:t>询比</w:t>
      </w:r>
      <w:r>
        <w:rPr>
          <w:rFonts w:hint="eastAsia" w:ascii="仿宋" w:hAnsi="仿宋" w:eastAsia="仿宋" w:cs="仿宋"/>
          <w:i w:val="0"/>
          <w:caps w:val="0"/>
          <w:color w:val="000000"/>
          <w:spacing w:val="0"/>
          <w:sz w:val="32"/>
          <w:szCs w:val="32"/>
        </w:rPr>
        <w:t>设备在安装调试及运行中发生的制造质量及性能等有关问题。</w:t>
      </w:r>
    </w:p>
    <w:p w14:paraId="269D8BA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4）</w:t>
      </w:r>
      <w:r>
        <w:rPr>
          <w:rFonts w:hint="eastAsia" w:ascii="仿宋" w:hAnsi="仿宋" w:eastAsia="仿宋" w:cs="仿宋"/>
          <w:i w:val="0"/>
          <w:caps w:val="0"/>
          <w:color w:val="000000"/>
          <w:spacing w:val="0"/>
          <w:sz w:val="32"/>
          <w:szCs w:val="32"/>
        </w:rPr>
        <w:t>供方有义务在必要时邀请需方参与供方的技术设计，并向需方解释技术设计。</w:t>
      </w:r>
    </w:p>
    <w:p w14:paraId="6A7C087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5）</w:t>
      </w:r>
      <w:r>
        <w:rPr>
          <w:rFonts w:hint="eastAsia" w:ascii="仿宋" w:hAnsi="仿宋" w:eastAsia="仿宋" w:cs="仿宋"/>
          <w:i w:val="0"/>
          <w:caps w:val="0"/>
          <w:color w:val="000000"/>
          <w:spacing w:val="0"/>
          <w:sz w:val="32"/>
          <w:szCs w:val="32"/>
        </w:rPr>
        <w:t>质保期内，及时就设备的质量及技术问题提供现场或远程服务。</w:t>
      </w:r>
    </w:p>
    <w:p w14:paraId="0D8BAAA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6）</w:t>
      </w:r>
      <w:r>
        <w:rPr>
          <w:rFonts w:hint="eastAsia" w:ascii="仿宋" w:hAnsi="仿宋" w:eastAsia="仿宋" w:cs="仿宋"/>
          <w:i w:val="0"/>
          <w:caps w:val="0"/>
          <w:color w:val="000000"/>
          <w:spacing w:val="0"/>
          <w:sz w:val="32"/>
          <w:szCs w:val="32"/>
        </w:rPr>
        <w:t>质保期外，如需方向供方购买相关备品备件，供方收费应合理。</w:t>
      </w:r>
    </w:p>
    <w:p w14:paraId="2A86EDE0">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i w:val="0"/>
          <w:caps w:val="0"/>
          <w:color w:val="000000"/>
          <w:spacing w:val="0"/>
          <w:sz w:val="32"/>
          <w:szCs w:val="32"/>
          <w:lang w:val="en-US" w:eastAsia="zh-CN"/>
        </w:rPr>
        <w:t>7）</w:t>
      </w:r>
      <w:r>
        <w:rPr>
          <w:rFonts w:hint="eastAsia" w:ascii="仿宋" w:hAnsi="仿宋" w:eastAsia="仿宋" w:cs="仿宋"/>
          <w:i w:val="0"/>
          <w:caps w:val="0"/>
          <w:color w:val="000000"/>
          <w:spacing w:val="0"/>
          <w:sz w:val="32"/>
          <w:szCs w:val="32"/>
        </w:rPr>
        <w:t>质保期外，需方要求提供的技术支持，供方不得以任何理由推诿。</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33795778"/>
      <w:bookmarkStart w:id="9" w:name="_Toc29895"/>
      <w:bookmarkStart w:id="10" w:name="_Toc14688"/>
      <w:bookmarkStart w:id="11" w:name="_Toc14196"/>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w:t>
      </w:r>
      <w:r>
        <w:rPr>
          <w:rFonts w:hint="eastAsia" w:ascii="仿宋" w:hAnsi="仿宋" w:eastAsia="仿宋" w:cs="仿宋"/>
          <w:b w:val="0"/>
          <w:bCs w:val="0"/>
          <w:i w:val="0"/>
          <w:caps w:val="0"/>
          <w:color w:val="000000"/>
          <w:spacing w:val="0"/>
          <w:sz w:val="32"/>
          <w:szCs w:val="32"/>
        </w:rPr>
        <w:t>标志、起吊、</w:t>
      </w:r>
      <w:r>
        <w:rPr>
          <w:rFonts w:hint="eastAsia" w:ascii="仿宋" w:hAnsi="仿宋" w:eastAsia="仿宋" w:cs="仿宋"/>
          <w:b w:val="0"/>
          <w:bCs w:val="0"/>
          <w:i w:val="0"/>
          <w:caps w:val="0"/>
          <w:color w:val="000000"/>
          <w:spacing w:val="0"/>
          <w:sz w:val="32"/>
          <w:szCs w:val="32"/>
          <w:lang w:val="en-US" w:eastAsia="zh-CN"/>
        </w:rPr>
        <w:t>安装、</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46AA947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b w:val="0"/>
          <w:bCs w:val="0"/>
          <w:i w:val="0"/>
          <w:caps w:val="0"/>
          <w:color w:val="000000"/>
          <w:spacing w:val="0"/>
          <w:sz w:val="32"/>
          <w:szCs w:val="32"/>
          <w:lang w:val="en-US" w:eastAsia="zh-CN"/>
        </w:rPr>
        <w:t>1）</w:t>
      </w:r>
      <w:r>
        <w:rPr>
          <w:rFonts w:hint="eastAsia" w:ascii="仿宋" w:hAnsi="仿宋" w:eastAsia="仿宋" w:cs="仿宋"/>
          <w:b w:val="0"/>
          <w:bCs w:val="0"/>
          <w:i w:val="0"/>
          <w:caps w:val="0"/>
          <w:color w:val="000000"/>
          <w:spacing w:val="0"/>
          <w:sz w:val="32"/>
          <w:szCs w:val="32"/>
        </w:rPr>
        <w:t>设备（材料）包装由厂家负责。产品标</w:t>
      </w:r>
      <w:r>
        <w:rPr>
          <w:rFonts w:hint="eastAsia" w:ascii="仿宋" w:hAnsi="仿宋" w:eastAsia="仿宋" w:cs="仿宋"/>
          <w:i w:val="0"/>
          <w:caps w:val="0"/>
          <w:color w:val="000000"/>
          <w:spacing w:val="0"/>
          <w:sz w:val="32"/>
          <w:szCs w:val="32"/>
        </w:rPr>
        <w:t>有明晰的制造厂家标识。其内容包含：型号、规格、制造厂名称、生产日期。产品外包装标志有：产品名称、制造厂名称、出厂日期、收货单位、起吊位置、总重和净重。包装箱内附带装箱清单、产品合格证书、出厂检验报告、技术说明书等。</w:t>
      </w:r>
    </w:p>
    <w:p w14:paraId="0E3978B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2）</w:t>
      </w:r>
      <w:r>
        <w:rPr>
          <w:rFonts w:hint="eastAsia" w:ascii="仿宋" w:hAnsi="仿宋" w:eastAsia="仿宋" w:cs="仿宋"/>
          <w:i w:val="0"/>
          <w:caps w:val="0"/>
          <w:color w:val="000000"/>
          <w:spacing w:val="0"/>
          <w:sz w:val="32"/>
          <w:szCs w:val="32"/>
        </w:rPr>
        <w:t>运输由供方负责，运输时需保护设备（材料）的所有组件、部件等不损坏和受潮。</w:t>
      </w:r>
    </w:p>
    <w:p w14:paraId="63977EF2">
      <w:pPr>
        <w:keepNext w:val="0"/>
        <w:keepLines w:val="0"/>
        <w:pageBreakBefore w:val="0"/>
        <w:widowControl w:val="0"/>
        <w:kinsoku/>
        <w:wordWrap/>
        <w:overflowPunct w:val="0"/>
        <w:topLinePunct w:val="0"/>
        <w:autoSpaceDE/>
        <w:autoSpaceDN/>
        <w:bidi w:val="0"/>
        <w:adjustRightInd w:val="0"/>
        <w:snapToGrid/>
        <w:spacing w:line="500" w:lineRule="exact"/>
        <w:ind w:firstLine="640" w:firstLineChars="200"/>
        <w:jc w:val="both"/>
        <w:textAlignment w:val="auto"/>
        <w:rPr>
          <w:rFonts w:hint="eastAsia" w:ascii="仿宋" w:hAnsi="仿宋" w:eastAsia="仿宋" w:cs="仿宋"/>
          <w:bCs/>
          <w:color w:val="auto"/>
          <w:sz w:val="32"/>
          <w:szCs w:val="32"/>
          <w:lang w:eastAsia="zh-CN"/>
        </w:rPr>
      </w:pPr>
      <w:r>
        <w:rPr>
          <w:rFonts w:hint="eastAsia" w:ascii="仿宋" w:hAnsi="仿宋" w:eastAsia="仿宋" w:cs="仿宋"/>
          <w:i w:val="0"/>
          <w:caps w:val="0"/>
          <w:color w:val="000000"/>
          <w:spacing w:val="0"/>
          <w:sz w:val="32"/>
          <w:szCs w:val="32"/>
          <w:lang w:val="en-US" w:eastAsia="zh-CN"/>
        </w:rPr>
        <w:t>3）</w:t>
      </w:r>
      <w:r>
        <w:rPr>
          <w:rFonts w:hint="eastAsia" w:ascii="仿宋" w:hAnsi="仿宋" w:eastAsia="仿宋" w:cs="仿宋"/>
          <w:i w:val="0"/>
          <w:caps w:val="0"/>
          <w:color w:val="000000"/>
          <w:spacing w:val="0"/>
          <w:sz w:val="32"/>
          <w:szCs w:val="32"/>
        </w:rPr>
        <w:t>成套拆卸的组件和零件的包装应保证经过运输、储存直至安装不损伤和受潮。</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caps w:val="0"/>
          <w:color w:val="000000"/>
          <w:spacing w:val="0"/>
          <w:sz w:val="32"/>
          <w:szCs w:val="32"/>
        </w:rPr>
        <w:t>设备制造企业</w:t>
      </w:r>
      <w:r>
        <w:rPr>
          <w:rFonts w:hint="eastAsia" w:ascii="仿宋" w:hAnsi="仿宋" w:eastAsia="仿宋" w:cs="仿宋"/>
          <w:i w:val="0"/>
          <w:caps w:val="0"/>
          <w:color w:val="000000"/>
          <w:spacing w:val="0"/>
          <w:sz w:val="32"/>
          <w:szCs w:val="32"/>
          <w:lang w:val="en-US" w:eastAsia="zh-CN"/>
        </w:rPr>
        <w:t>具有</w:t>
      </w:r>
      <w:r>
        <w:rPr>
          <w:rFonts w:hint="eastAsia" w:ascii="仿宋" w:hAnsi="仿宋" w:eastAsia="仿宋" w:cs="仿宋"/>
          <w:i w:val="0"/>
          <w:caps w:val="0"/>
          <w:color w:val="000000"/>
          <w:spacing w:val="0"/>
          <w:sz w:val="32"/>
          <w:szCs w:val="32"/>
        </w:rPr>
        <w:t>ISO9001质量管理体系认证证书</w:t>
      </w:r>
      <w:r>
        <w:rPr>
          <w:rFonts w:hint="eastAsia" w:ascii="仿宋" w:hAnsi="仿宋" w:eastAsia="仿宋" w:cs="仿宋"/>
          <w:i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61508598"/>
      <w:bookmarkStart w:id="13" w:name="_Toc152045542"/>
      <w:bookmarkStart w:id="14" w:name="_Toc144974510"/>
      <w:bookmarkStart w:id="15" w:name="_Toc384308223"/>
      <w:bookmarkStart w:id="16" w:name="_Toc369531529"/>
      <w:bookmarkStart w:id="17" w:name="_Toc247513966"/>
      <w:bookmarkStart w:id="18" w:name="_Toc352691486"/>
      <w:bookmarkStart w:id="19" w:name="_Toc247527567"/>
      <w:bookmarkStart w:id="20" w:name="_Toc152042318"/>
      <w:bookmarkStart w:id="21" w:name="_Toc300834963"/>
      <w:bookmarkStart w:id="22" w:name="_Toc25772"/>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144974511"/>
      <w:bookmarkStart w:id="24" w:name="_Toc352691487"/>
      <w:bookmarkStart w:id="25" w:name="_Toc247513967"/>
      <w:bookmarkStart w:id="26" w:name="_Toc152042319"/>
      <w:bookmarkStart w:id="27" w:name="_Toc300834964"/>
      <w:bookmarkStart w:id="28" w:name="_Toc369531530"/>
      <w:bookmarkStart w:id="29" w:name="_Toc384308224"/>
      <w:bookmarkStart w:id="30" w:name="_Toc361508599"/>
      <w:bookmarkStart w:id="31" w:name="_Toc247527568"/>
      <w:bookmarkStart w:id="32" w:name="_Toc152045543"/>
      <w:bookmarkStart w:id="33" w:name="_Toc15242"/>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b/>
          <w:bCs/>
          <w:color w:val="auto"/>
          <w:sz w:val="32"/>
          <w:szCs w:val="32"/>
          <w:lang w:val="en-US" w:eastAsia="zh-CN"/>
        </w:rPr>
        <w:t>贰仟</w:t>
      </w:r>
      <w:r>
        <w:rPr>
          <w:rFonts w:hint="eastAsia" w:ascii="仿宋" w:hAnsi="仿宋" w:eastAsia="仿宋" w:cs="仿宋"/>
          <w:color w:val="auto"/>
          <w:sz w:val="32"/>
          <w:szCs w:val="32"/>
          <w:lang w:val="en-US" w:eastAsia="zh-CN"/>
        </w:rPr>
        <w:t>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29025"/>
      <w:bookmarkStart w:id="35" w:name="_Toc361508602"/>
      <w:bookmarkStart w:id="36" w:name="_Toc384308227"/>
      <w:bookmarkStart w:id="37" w:name="_Toc352691490"/>
      <w:bookmarkStart w:id="38" w:name="_Toc369531533"/>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69531534"/>
      <w:bookmarkStart w:id="40" w:name="_Toc152045546"/>
      <w:bookmarkStart w:id="41" w:name="_Toc300834967"/>
      <w:bookmarkStart w:id="42" w:name="_Toc352691491"/>
      <w:bookmarkStart w:id="43" w:name="_Toc152042322"/>
      <w:bookmarkStart w:id="44" w:name="_Toc14751"/>
      <w:bookmarkStart w:id="45" w:name="_Toc247513970"/>
      <w:bookmarkStart w:id="46" w:name="_Toc247527571"/>
      <w:bookmarkStart w:id="47" w:name="_Toc361508603"/>
      <w:bookmarkStart w:id="48" w:name="_Toc144974514"/>
      <w:bookmarkStart w:id="49" w:name="_Toc384308228"/>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247513971"/>
      <w:bookmarkStart w:id="51" w:name="_Toc247527572"/>
      <w:bookmarkStart w:id="52" w:name="_Toc300834968"/>
      <w:bookmarkStart w:id="53" w:name="_Toc17952"/>
      <w:bookmarkStart w:id="54" w:name="_Toc384308229"/>
      <w:bookmarkStart w:id="55" w:name="_Toc152045547"/>
      <w:bookmarkStart w:id="56" w:name="_Toc369531535"/>
      <w:bookmarkStart w:id="57" w:name="_Toc152042323"/>
      <w:bookmarkStart w:id="58" w:name="_Toc361508604"/>
      <w:bookmarkStart w:id="59" w:name="_Toc144974515"/>
      <w:bookmarkStart w:id="60" w:name="_Toc352691492"/>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4514"/>
      <w:bookmarkStart w:id="62" w:name="_Toc33795794"/>
      <w:bookmarkStart w:id="63" w:name="_Toc28216"/>
      <w:bookmarkStart w:id="64" w:name="_Toc2187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8月 4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8月4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144974570"/>
      <w:bookmarkStart w:id="66" w:name="_Toc247514027"/>
      <w:bookmarkStart w:id="67" w:name="_Toc369531582"/>
      <w:bookmarkStart w:id="68" w:name="_Toc352691538"/>
      <w:bookmarkStart w:id="69" w:name="_Toc300835013"/>
      <w:bookmarkStart w:id="70" w:name="_Toc152042380"/>
      <w:bookmarkStart w:id="71" w:name="_Toc152045603"/>
      <w:bookmarkStart w:id="72" w:name="_Toc361508651"/>
      <w:bookmarkStart w:id="73" w:name="_Toc384308277"/>
      <w:bookmarkStart w:id="74" w:name="_Toc2907"/>
      <w:bookmarkStart w:id="75" w:name="_Toc247527628"/>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29291"/>
      <w:bookmarkStart w:id="77" w:name="_Toc16955"/>
      <w:bookmarkStart w:id="78" w:name="_Toc33795835"/>
      <w:bookmarkStart w:id="79" w:name="_Toc13563"/>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22DE887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33795836"/>
      <w:bookmarkStart w:id="81" w:name="_Toc15253"/>
      <w:bookmarkStart w:id="82" w:name="_Toc3366"/>
      <w:bookmarkStart w:id="83" w:name="_Toc3266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到高（或综合得分由高到低）</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33795807"/>
      <w:bookmarkStart w:id="85" w:name="_Toc8518"/>
      <w:bookmarkStart w:id="86" w:name="_Toc9481"/>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16094"/>
      <w:bookmarkStart w:id="88" w:name="_Toc21093"/>
      <w:bookmarkStart w:id="89" w:name="_Toc33795808"/>
      <w:bookmarkStart w:id="90" w:name="_Toc3085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0372"/>
      <w:bookmarkStart w:id="92" w:name="_Toc7018"/>
      <w:bookmarkStart w:id="93" w:name="_Toc19079"/>
      <w:bookmarkStart w:id="94" w:name="_Toc3379580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152042337"/>
      <w:bookmarkStart w:id="96" w:name="_Toc247513985"/>
      <w:bookmarkStart w:id="97" w:name="_Toc247527586"/>
      <w:bookmarkStart w:id="98" w:name="_Toc384308243"/>
      <w:bookmarkStart w:id="99" w:name="_Toc352691505"/>
      <w:bookmarkStart w:id="100" w:name="_Toc369531549"/>
      <w:bookmarkStart w:id="101" w:name="_Toc361508618"/>
      <w:bookmarkStart w:id="102" w:name="_Toc300834982"/>
      <w:bookmarkStart w:id="103" w:name="_Toc152045561"/>
      <w:bookmarkStart w:id="104" w:name="_Toc144974529"/>
      <w:bookmarkStart w:id="105" w:name="_Toc30095"/>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33795810"/>
      <w:bookmarkStart w:id="107" w:name="_Toc21648"/>
      <w:bookmarkStart w:id="108" w:name="_Toc25590"/>
      <w:bookmarkStart w:id="109" w:name="_Toc2875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19470"/>
      <w:bookmarkStart w:id="111" w:name="_Toc33795811"/>
      <w:bookmarkStart w:id="112" w:name="_Toc2191"/>
      <w:bookmarkStart w:id="113" w:name="_Toc2466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1681"/>
      <w:bookmarkStart w:id="115" w:name="_Toc6928"/>
      <w:bookmarkStart w:id="116" w:name="_Toc33795812"/>
      <w:bookmarkStart w:id="117" w:name="_Toc10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5668"/>
      <w:bookmarkStart w:id="119" w:name="_Toc352691506"/>
      <w:bookmarkStart w:id="120" w:name="_Toc361508619"/>
      <w:bookmarkStart w:id="121" w:name="_Toc384308244"/>
      <w:bookmarkStart w:id="122" w:name="_Toc369531550"/>
      <w:bookmarkStart w:id="123" w:name="_Toc300834983"/>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0705"/>
      <w:bookmarkStart w:id="125" w:name="_Toc33795813"/>
      <w:bookmarkStart w:id="126" w:name="_Toc21613"/>
      <w:bookmarkStart w:id="127" w:name="_Toc434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11183"/>
      <w:bookmarkStart w:id="129" w:name="_Toc3671"/>
      <w:bookmarkStart w:id="130" w:name="_Toc33795814"/>
      <w:bookmarkStart w:id="131" w:name="_Toc14362"/>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144974532"/>
      <w:bookmarkStart w:id="133" w:name="_Toc247513988"/>
      <w:bookmarkStart w:id="134" w:name="_Toc352691509"/>
      <w:bookmarkStart w:id="135" w:name="_Toc152042340"/>
      <w:bookmarkStart w:id="136" w:name="_Toc300834986"/>
      <w:bookmarkStart w:id="137" w:name="_Toc384308247"/>
      <w:bookmarkStart w:id="138" w:name="_Toc4656"/>
      <w:bookmarkStart w:id="139" w:name="_Toc152045564"/>
      <w:bookmarkStart w:id="140" w:name="_Toc361508622"/>
      <w:bookmarkStart w:id="141" w:name="_Toc369531553"/>
      <w:bookmarkStart w:id="142" w:name="_Toc247527589"/>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152045565"/>
      <w:bookmarkStart w:id="144" w:name="_Toc247513989"/>
      <w:bookmarkStart w:id="145" w:name="_Toc361508623"/>
      <w:bookmarkStart w:id="146" w:name="_Toc384308248"/>
      <w:bookmarkStart w:id="147" w:name="_Toc352691510"/>
      <w:bookmarkStart w:id="148" w:name="_Toc152042341"/>
      <w:bookmarkStart w:id="149" w:name="_Toc369531554"/>
      <w:bookmarkStart w:id="150" w:name="_Toc18247"/>
      <w:bookmarkStart w:id="151" w:name="_Toc144974533"/>
      <w:bookmarkStart w:id="152" w:name="_Toc300834987"/>
      <w:bookmarkStart w:id="153" w:name="_Toc247527590"/>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61508627"/>
      <w:bookmarkStart w:id="155" w:name="_Toc24067"/>
      <w:bookmarkStart w:id="156" w:name="_Toc384308252"/>
      <w:bookmarkStart w:id="157" w:name="_Toc152045568"/>
      <w:bookmarkStart w:id="158" w:name="_Toc144974536"/>
      <w:bookmarkStart w:id="159" w:name="_Toc300834991"/>
      <w:bookmarkStart w:id="160" w:name="_Toc152042344"/>
      <w:bookmarkStart w:id="161" w:name="_Toc247513992"/>
      <w:bookmarkStart w:id="162" w:name="_Toc247527593"/>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33795815"/>
      <w:bookmarkStart w:id="164" w:name="_Toc25347"/>
      <w:bookmarkStart w:id="165"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84308253"/>
      <w:bookmarkStart w:id="167" w:name="_Toc369531559"/>
      <w:bookmarkStart w:id="168" w:name="_Toc13644"/>
      <w:bookmarkStart w:id="169" w:name="_Toc361508628"/>
      <w:bookmarkStart w:id="170" w:name="_Toc352691515"/>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4957"/>
      <w:bookmarkStart w:id="172" w:name="_Toc18070"/>
      <w:bookmarkStart w:id="173" w:name="_Toc33795820"/>
      <w:bookmarkStart w:id="174" w:name="_Toc22294"/>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D00F75B">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53F57161">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521F77C3">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404928A1">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2025年08月01日</w:t>
      </w:r>
    </w:p>
    <w:p w14:paraId="6DDA92B8">
      <w:pPr>
        <w:pStyle w:val="2"/>
        <w:jc w:val="both"/>
        <w:rPr>
          <w:rFonts w:hint="eastAsia" w:ascii="宋体" w:hAnsi="宋体" w:eastAsia="宋体" w:cs="宋体"/>
          <w:color w:val="auto"/>
          <w:sz w:val="36"/>
          <w:szCs w:val="36"/>
          <w:lang w:val="en-US" w:eastAsia="zh-CN"/>
        </w:rPr>
      </w:pPr>
    </w:p>
    <w:p w14:paraId="44011187">
      <w:pPr>
        <w:rPr>
          <w:rFonts w:hint="eastAsia" w:ascii="宋体" w:hAnsi="宋体" w:eastAsia="宋体" w:cs="宋体"/>
          <w:color w:val="auto"/>
          <w:sz w:val="36"/>
          <w:szCs w:val="36"/>
          <w:lang w:val="en-US" w:eastAsia="zh-CN"/>
        </w:rPr>
      </w:pPr>
    </w:p>
    <w:p w14:paraId="256B8430">
      <w:pPr>
        <w:rPr>
          <w:rFonts w:hint="eastAsia" w:ascii="宋体" w:hAnsi="宋体" w:eastAsia="宋体" w:cs="宋体"/>
          <w:color w:val="auto"/>
          <w:sz w:val="36"/>
          <w:szCs w:val="36"/>
          <w:lang w:val="en-US" w:eastAsia="zh-CN"/>
        </w:rPr>
      </w:pPr>
    </w:p>
    <w:p w14:paraId="5D4C45FD">
      <w:pPr>
        <w:rPr>
          <w:rFonts w:hint="eastAsia" w:ascii="宋体" w:hAnsi="宋体" w:eastAsia="宋体" w:cs="宋体"/>
          <w:color w:val="auto"/>
          <w:sz w:val="36"/>
          <w:szCs w:val="36"/>
          <w:lang w:val="en-US" w:eastAsia="zh-CN"/>
        </w:rPr>
      </w:pPr>
    </w:p>
    <w:p w14:paraId="42023C19">
      <w:pPr>
        <w:rPr>
          <w:rFonts w:hint="eastAsia" w:ascii="宋体" w:hAnsi="宋体" w:eastAsia="宋体" w:cs="宋体"/>
          <w:color w:val="auto"/>
          <w:sz w:val="36"/>
          <w:szCs w:val="36"/>
          <w:lang w:val="en-US" w:eastAsia="zh-CN"/>
        </w:rPr>
      </w:pPr>
    </w:p>
    <w:p w14:paraId="3369B25C">
      <w:pPr>
        <w:rPr>
          <w:rFonts w:hint="eastAsia" w:ascii="宋体" w:hAnsi="宋体" w:eastAsia="宋体" w:cs="宋体"/>
          <w:color w:val="auto"/>
          <w:sz w:val="36"/>
          <w:szCs w:val="36"/>
          <w:lang w:val="en-US" w:eastAsia="zh-CN"/>
        </w:rPr>
      </w:pPr>
    </w:p>
    <w:p w14:paraId="7FE7A117">
      <w:pPr>
        <w:rPr>
          <w:rFonts w:hint="eastAsia" w:ascii="宋体" w:hAnsi="宋体" w:eastAsia="宋体" w:cs="宋体"/>
          <w:color w:val="auto"/>
          <w:sz w:val="36"/>
          <w:szCs w:val="36"/>
          <w:lang w:val="en-US" w:eastAsia="zh-CN"/>
        </w:rPr>
      </w:pPr>
    </w:p>
    <w:p w14:paraId="65CC0BCD">
      <w:pPr>
        <w:rPr>
          <w:rFonts w:hint="eastAsia" w:ascii="宋体" w:hAnsi="宋体" w:eastAsia="宋体" w:cs="宋体"/>
          <w:color w:val="auto"/>
          <w:sz w:val="36"/>
          <w:szCs w:val="36"/>
          <w:lang w:val="en-US" w:eastAsia="zh-CN"/>
        </w:rPr>
      </w:pPr>
    </w:p>
    <w:p w14:paraId="44D19C74">
      <w:pPr>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14363837">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5D283E59">
      <w:pPr>
        <w:spacing w:line="400" w:lineRule="exact"/>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XB20250728-02</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2025年8月</w:t>
      </w:r>
      <w:r>
        <w:rPr>
          <w:rFonts w:hint="eastAsia" w:ascii="Times New Roman" w:hAnsi="Times New Roman" w:eastAsia="黑体"/>
          <w:color w:val="auto"/>
          <w:sz w:val="44"/>
          <w:szCs w:val="44"/>
          <w:highlight w:val="none"/>
          <w:lang w:val="en-US" w:eastAsia="zh-CN"/>
        </w:rPr>
        <w:t>机动车间10KV柜式高压并联电容器成套装置</w:t>
      </w:r>
      <w:r>
        <w:rPr>
          <w:rFonts w:hint="eastAsia" w:ascii="黑体" w:hAnsi="黑体" w:eastAsia="黑体" w:cs="黑体"/>
          <w:b/>
          <w:bCs/>
          <w:color w:val="auto"/>
          <w:sz w:val="44"/>
          <w:szCs w:val="44"/>
          <w:lang w:val="en-US" w:eastAsia="zh-CN"/>
        </w:rPr>
        <w:t>采购项目二次询比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27897"/>
      <w:bookmarkStart w:id="183" w:name="_Toc369531698"/>
      <w:bookmarkStart w:id="184"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247514248"/>
      <w:bookmarkStart w:id="186" w:name="_Toc247527829"/>
      <w:bookmarkStart w:id="187" w:name="_Toc15573"/>
      <w:bookmarkStart w:id="188" w:name="_Toc300835211"/>
      <w:bookmarkStart w:id="189" w:name="_Toc369531699"/>
      <w:bookmarkStart w:id="190" w:name="_Toc152042578"/>
      <w:bookmarkStart w:id="191" w:name="_Toc352691663"/>
      <w:bookmarkStart w:id="192" w:name="_Toc152045789"/>
      <w:bookmarkStart w:id="193" w:name="_Toc144974858"/>
      <w:bookmarkStart w:id="194" w:name="_Toc384308377"/>
      <w:bookmarkStart w:id="195" w:name="_Toc361508754"/>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57ADCE4C">
      <w:pPr>
        <w:rPr>
          <w:rFonts w:hint="default"/>
          <w:lang w:val="en-US" w:eastAsia="zh-CN"/>
        </w:rPr>
      </w:pPr>
      <w:r>
        <w:rPr>
          <w:rFonts w:hint="eastAsia" w:ascii="黑体" w:hAnsi="黑体" w:cs="黑体"/>
          <w:b/>
          <w:bCs/>
          <w:color w:val="auto"/>
          <w:kern w:val="2"/>
          <w:sz w:val="36"/>
          <w:szCs w:val="36"/>
          <w:lang w:val="en-US" w:eastAsia="zh-CN" w:bidi="ar-SA"/>
        </w:rPr>
        <w:t>10KV柜式高压并联电容器成套装置报价表：二次询比</w:t>
      </w:r>
    </w:p>
    <w:tbl>
      <w:tblPr>
        <w:tblStyle w:val="10"/>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879"/>
        <w:gridCol w:w="3555"/>
        <w:gridCol w:w="525"/>
        <w:gridCol w:w="495"/>
        <w:gridCol w:w="990"/>
        <w:gridCol w:w="861"/>
        <w:gridCol w:w="870"/>
      </w:tblGrid>
      <w:tr w14:paraId="18B2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7AC468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879" w:type="dxa"/>
            <w:vAlign w:val="center"/>
          </w:tcPr>
          <w:p w14:paraId="7B50C506">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555" w:type="dxa"/>
            <w:vAlign w:val="center"/>
          </w:tcPr>
          <w:p w14:paraId="6FC787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25" w:type="dxa"/>
            <w:vAlign w:val="center"/>
          </w:tcPr>
          <w:p w14:paraId="5C1DAB6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数量</w:t>
            </w:r>
          </w:p>
        </w:tc>
        <w:tc>
          <w:tcPr>
            <w:tcW w:w="495" w:type="dxa"/>
            <w:vAlign w:val="center"/>
          </w:tcPr>
          <w:p w14:paraId="7BE0CA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90" w:type="dxa"/>
            <w:vAlign w:val="center"/>
          </w:tcPr>
          <w:p w14:paraId="178ECB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w:t>
            </w: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tc>
        <w:tc>
          <w:tcPr>
            <w:tcW w:w="861" w:type="dxa"/>
            <w:vAlign w:val="center"/>
          </w:tcPr>
          <w:p w14:paraId="7BB7F11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870" w:type="dxa"/>
            <w:vAlign w:val="center"/>
          </w:tcPr>
          <w:p w14:paraId="71AEA79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交货期限</w:t>
            </w:r>
          </w:p>
        </w:tc>
      </w:tr>
      <w:tr w14:paraId="49C9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Merge w:val="restart"/>
            <w:vAlign w:val="center"/>
          </w:tcPr>
          <w:p w14:paraId="7E45312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b/>
                <w:bCs/>
                <w:i w:val="0"/>
                <w:iCs w:val="0"/>
                <w:color w:val="000000"/>
                <w:kern w:val="0"/>
                <w:sz w:val="21"/>
                <w:szCs w:val="21"/>
                <w:u w:val="none"/>
                <w:lang w:val="en-US" w:eastAsia="zh-CN" w:bidi="ar"/>
              </w:rPr>
              <w:t>1</w:t>
            </w:r>
          </w:p>
        </w:tc>
        <w:tc>
          <w:tcPr>
            <w:tcW w:w="879" w:type="dxa"/>
            <w:vMerge w:val="restart"/>
            <w:vAlign w:val="center"/>
          </w:tcPr>
          <w:p w14:paraId="5ABE8044">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10KV柜式高压并联电容器成套装置</w:t>
            </w:r>
          </w:p>
        </w:tc>
        <w:tc>
          <w:tcPr>
            <w:tcW w:w="3555" w:type="dxa"/>
            <w:vAlign w:val="center"/>
          </w:tcPr>
          <w:p w14:paraId="2D7B0B8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b/>
                <w:bCs/>
                <w:i w:val="0"/>
                <w:iCs w:val="0"/>
                <w:color w:val="000000"/>
                <w:kern w:val="0"/>
                <w:sz w:val="21"/>
                <w:szCs w:val="21"/>
                <w:u w:val="none"/>
                <w:lang w:val="en-US" w:eastAsia="zh-CN" w:bidi="ar"/>
              </w:rPr>
              <w:t>技术要求：</w:t>
            </w:r>
          </w:p>
        </w:tc>
        <w:tc>
          <w:tcPr>
            <w:tcW w:w="525" w:type="dxa"/>
            <w:vMerge w:val="restart"/>
            <w:vAlign w:val="center"/>
          </w:tcPr>
          <w:p w14:paraId="0EE2B8D0">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1</w:t>
            </w:r>
          </w:p>
        </w:tc>
        <w:tc>
          <w:tcPr>
            <w:tcW w:w="495" w:type="dxa"/>
            <w:vMerge w:val="restart"/>
            <w:vAlign w:val="center"/>
          </w:tcPr>
          <w:p w14:paraId="2024B43E">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套</w:t>
            </w:r>
          </w:p>
        </w:tc>
        <w:tc>
          <w:tcPr>
            <w:tcW w:w="990" w:type="dxa"/>
            <w:vMerge w:val="restart"/>
            <w:vAlign w:val="center"/>
          </w:tcPr>
          <w:p w14:paraId="7C8F310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61" w:type="dxa"/>
            <w:vMerge w:val="restart"/>
            <w:vAlign w:val="center"/>
          </w:tcPr>
          <w:p w14:paraId="39F3F11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Merge w:val="restart"/>
            <w:vAlign w:val="center"/>
          </w:tcPr>
          <w:p w14:paraId="4B3F98C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18ED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Merge w:val="continue"/>
            <w:vAlign w:val="center"/>
          </w:tcPr>
          <w:p w14:paraId="66640E0E">
            <w:pPr>
              <w:jc w:val="center"/>
              <w:rPr>
                <w:rFonts w:hint="eastAsia" w:ascii="宋体" w:hAnsi="宋体" w:eastAsia="宋体" w:cs="宋体"/>
                <w:color w:val="auto"/>
                <w:sz w:val="21"/>
                <w:szCs w:val="21"/>
                <w:vertAlign w:val="baseline"/>
                <w:lang w:eastAsia="zh-CN"/>
              </w:rPr>
            </w:pPr>
          </w:p>
        </w:tc>
        <w:tc>
          <w:tcPr>
            <w:tcW w:w="879" w:type="dxa"/>
            <w:vMerge w:val="continue"/>
            <w:vAlign w:val="center"/>
          </w:tcPr>
          <w:p w14:paraId="2C6BA8D5">
            <w:pPr>
              <w:jc w:val="center"/>
              <w:rPr>
                <w:rFonts w:hint="eastAsia" w:ascii="宋体" w:hAnsi="宋体" w:eastAsia="宋体" w:cs="宋体"/>
                <w:color w:val="auto"/>
                <w:sz w:val="21"/>
                <w:szCs w:val="21"/>
                <w:vertAlign w:val="baseline"/>
                <w:lang w:eastAsia="zh-CN"/>
              </w:rPr>
            </w:pPr>
          </w:p>
        </w:tc>
        <w:tc>
          <w:tcPr>
            <w:tcW w:w="3555" w:type="dxa"/>
            <w:vAlign w:val="center"/>
          </w:tcPr>
          <w:p w14:paraId="01151A34">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额定总容量：900kVar；分为二组补偿：每组容量450kVar；</w:t>
            </w:r>
          </w:p>
        </w:tc>
        <w:tc>
          <w:tcPr>
            <w:tcW w:w="525" w:type="dxa"/>
            <w:vMerge w:val="continue"/>
            <w:vAlign w:val="center"/>
          </w:tcPr>
          <w:p w14:paraId="64D2EFB4">
            <w:pPr>
              <w:jc w:val="center"/>
              <w:rPr>
                <w:rFonts w:hint="eastAsia" w:ascii="宋体" w:hAnsi="宋体" w:eastAsia="宋体" w:cs="宋体"/>
                <w:color w:val="auto"/>
                <w:sz w:val="21"/>
                <w:szCs w:val="21"/>
                <w:vertAlign w:val="baseline"/>
                <w:lang w:eastAsia="zh-CN"/>
              </w:rPr>
            </w:pPr>
          </w:p>
        </w:tc>
        <w:tc>
          <w:tcPr>
            <w:tcW w:w="495" w:type="dxa"/>
            <w:vMerge w:val="continue"/>
            <w:vAlign w:val="center"/>
          </w:tcPr>
          <w:p w14:paraId="7A38252A">
            <w:pPr>
              <w:jc w:val="center"/>
              <w:rPr>
                <w:rFonts w:hint="eastAsia" w:ascii="宋体" w:hAnsi="宋体" w:eastAsia="宋体" w:cs="宋体"/>
                <w:color w:val="auto"/>
                <w:sz w:val="21"/>
                <w:szCs w:val="21"/>
                <w:vertAlign w:val="baseline"/>
                <w:lang w:eastAsia="zh-CN"/>
              </w:rPr>
            </w:pPr>
          </w:p>
        </w:tc>
        <w:tc>
          <w:tcPr>
            <w:tcW w:w="990" w:type="dxa"/>
            <w:vMerge w:val="continue"/>
            <w:vAlign w:val="center"/>
          </w:tcPr>
          <w:p w14:paraId="5E251C7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61" w:type="dxa"/>
            <w:vMerge w:val="continue"/>
            <w:vAlign w:val="center"/>
          </w:tcPr>
          <w:p w14:paraId="4732ACA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Merge w:val="continue"/>
            <w:vAlign w:val="center"/>
          </w:tcPr>
          <w:p w14:paraId="5F9F06F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16D0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Merge w:val="continue"/>
            <w:vAlign w:val="center"/>
          </w:tcPr>
          <w:p w14:paraId="13B92B61">
            <w:pPr>
              <w:jc w:val="center"/>
              <w:rPr>
                <w:rFonts w:hint="eastAsia" w:ascii="宋体" w:hAnsi="宋体" w:eastAsia="宋体" w:cs="宋体"/>
                <w:color w:val="auto"/>
                <w:sz w:val="21"/>
                <w:szCs w:val="21"/>
                <w:vertAlign w:val="baseline"/>
                <w:lang w:eastAsia="zh-CN"/>
              </w:rPr>
            </w:pPr>
          </w:p>
        </w:tc>
        <w:tc>
          <w:tcPr>
            <w:tcW w:w="879" w:type="dxa"/>
            <w:vMerge w:val="continue"/>
            <w:vAlign w:val="center"/>
          </w:tcPr>
          <w:p w14:paraId="45569FBD">
            <w:pPr>
              <w:jc w:val="center"/>
              <w:rPr>
                <w:rFonts w:hint="eastAsia" w:ascii="宋体" w:hAnsi="宋体" w:eastAsia="宋体" w:cs="宋体"/>
                <w:color w:val="auto"/>
                <w:sz w:val="21"/>
                <w:szCs w:val="21"/>
                <w:vertAlign w:val="baseline"/>
                <w:lang w:eastAsia="zh-CN"/>
              </w:rPr>
            </w:pPr>
          </w:p>
        </w:tc>
        <w:tc>
          <w:tcPr>
            <w:tcW w:w="3555" w:type="dxa"/>
            <w:vAlign w:val="center"/>
          </w:tcPr>
          <w:p w14:paraId="29874DC9">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系统额定电压：10kV；最高工作电压：11.5kV；电容器组额定电压：12kV；额定频率：50Hz；</w:t>
            </w:r>
          </w:p>
        </w:tc>
        <w:tc>
          <w:tcPr>
            <w:tcW w:w="525" w:type="dxa"/>
            <w:vMerge w:val="continue"/>
            <w:vAlign w:val="center"/>
          </w:tcPr>
          <w:p w14:paraId="497C10A4">
            <w:pPr>
              <w:jc w:val="center"/>
              <w:rPr>
                <w:rFonts w:hint="eastAsia" w:ascii="宋体" w:hAnsi="宋体" w:eastAsia="宋体" w:cs="宋体"/>
                <w:color w:val="auto"/>
                <w:sz w:val="21"/>
                <w:szCs w:val="21"/>
                <w:vertAlign w:val="baseline"/>
                <w:lang w:eastAsia="zh-CN"/>
              </w:rPr>
            </w:pPr>
          </w:p>
        </w:tc>
        <w:tc>
          <w:tcPr>
            <w:tcW w:w="495" w:type="dxa"/>
            <w:vMerge w:val="continue"/>
            <w:vAlign w:val="center"/>
          </w:tcPr>
          <w:p w14:paraId="4322D0F5">
            <w:pPr>
              <w:jc w:val="center"/>
              <w:rPr>
                <w:rFonts w:hint="eastAsia" w:ascii="宋体" w:hAnsi="宋体" w:eastAsia="宋体" w:cs="宋体"/>
                <w:color w:val="auto"/>
                <w:sz w:val="21"/>
                <w:szCs w:val="21"/>
                <w:vertAlign w:val="baseline"/>
                <w:lang w:eastAsia="zh-CN"/>
              </w:rPr>
            </w:pPr>
          </w:p>
        </w:tc>
        <w:tc>
          <w:tcPr>
            <w:tcW w:w="990" w:type="dxa"/>
            <w:vMerge w:val="continue"/>
            <w:vAlign w:val="center"/>
          </w:tcPr>
          <w:p w14:paraId="59F2EB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61" w:type="dxa"/>
            <w:vMerge w:val="continue"/>
            <w:vAlign w:val="center"/>
          </w:tcPr>
          <w:p w14:paraId="01353C4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Merge w:val="continue"/>
            <w:vAlign w:val="center"/>
          </w:tcPr>
          <w:p w14:paraId="63023AD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07F2C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Merge w:val="continue"/>
            <w:vAlign w:val="center"/>
          </w:tcPr>
          <w:p w14:paraId="3C4A4F44">
            <w:pPr>
              <w:jc w:val="center"/>
              <w:rPr>
                <w:rFonts w:hint="eastAsia" w:ascii="宋体" w:hAnsi="宋体" w:eastAsia="宋体" w:cs="宋体"/>
                <w:color w:val="auto"/>
                <w:sz w:val="21"/>
                <w:szCs w:val="21"/>
                <w:vertAlign w:val="baseline"/>
                <w:lang w:eastAsia="zh-CN"/>
              </w:rPr>
            </w:pPr>
          </w:p>
        </w:tc>
        <w:tc>
          <w:tcPr>
            <w:tcW w:w="879" w:type="dxa"/>
            <w:vMerge w:val="continue"/>
            <w:vAlign w:val="center"/>
          </w:tcPr>
          <w:p w14:paraId="5D67DA44">
            <w:pPr>
              <w:jc w:val="center"/>
              <w:rPr>
                <w:rFonts w:hint="eastAsia" w:ascii="宋体" w:hAnsi="宋体" w:eastAsia="宋体" w:cs="宋体"/>
                <w:color w:val="auto"/>
                <w:sz w:val="21"/>
                <w:szCs w:val="21"/>
                <w:vertAlign w:val="baseline"/>
                <w:lang w:eastAsia="zh-CN"/>
              </w:rPr>
            </w:pPr>
          </w:p>
        </w:tc>
        <w:tc>
          <w:tcPr>
            <w:tcW w:w="3555" w:type="dxa"/>
            <w:vAlign w:val="center"/>
          </w:tcPr>
          <w:p w14:paraId="7F301032">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热稳定电流(3s)：40kA；动稳定电流：100kA；</w:t>
            </w:r>
          </w:p>
        </w:tc>
        <w:tc>
          <w:tcPr>
            <w:tcW w:w="525" w:type="dxa"/>
            <w:vMerge w:val="continue"/>
            <w:vAlign w:val="center"/>
          </w:tcPr>
          <w:p w14:paraId="4A37BBE4">
            <w:pPr>
              <w:jc w:val="center"/>
              <w:rPr>
                <w:rFonts w:hint="eastAsia" w:ascii="宋体" w:hAnsi="宋体" w:eastAsia="宋体" w:cs="宋体"/>
                <w:color w:val="auto"/>
                <w:sz w:val="21"/>
                <w:szCs w:val="21"/>
                <w:vertAlign w:val="baseline"/>
                <w:lang w:eastAsia="zh-CN"/>
              </w:rPr>
            </w:pPr>
          </w:p>
        </w:tc>
        <w:tc>
          <w:tcPr>
            <w:tcW w:w="495" w:type="dxa"/>
            <w:vMerge w:val="continue"/>
            <w:vAlign w:val="center"/>
          </w:tcPr>
          <w:p w14:paraId="3B25C89E">
            <w:pPr>
              <w:jc w:val="center"/>
              <w:rPr>
                <w:rFonts w:hint="eastAsia" w:ascii="宋体" w:hAnsi="宋体" w:eastAsia="宋体" w:cs="宋体"/>
                <w:color w:val="auto"/>
                <w:sz w:val="21"/>
                <w:szCs w:val="21"/>
                <w:vertAlign w:val="baseline"/>
                <w:lang w:eastAsia="zh-CN"/>
              </w:rPr>
            </w:pPr>
          </w:p>
        </w:tc>
        <w:tc>
          <w:tcPr>
            <w:tcW w:w="990" w:type="dxa"/>
            <w:vMerge w:val="continue"/>
            <w:vAlign w:val="center"/>
          </w:tcPr>
          <w:p w14:paraId="598D7D2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61" w:type="dxa"/>
            <w:vMerge w:val="continue"/>
            <w:vAlign w:val="center"/>
          </w:tcPr>
          <w:p w14:paraId="64568E4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Merge w:val="continue"/>
            <w:vAlign w:val="center"/>
          </w:tcPr>
          <w:p w14:paraId="5E3442F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0EF06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Merge w:val="continue"/>
            <w:vAlign w:val="center"/>
          </w:tcPr>
          <w:p w14:paraId="6F9558C0">
            <w:pPr>
              <w:jc w:val="center"/>
              <w:rPr>
                <w:rFonts w:hint="eastAsia" w:ascii="宋体" w:hAnsi="宋体" w:eastAsia="宋体" w:cs="宋体"/>
                <w:color w:val="auto"/>
                <w:sz w:val="21"/>
                <w:szCs w:val="21"/>
                <w:vertAlign w:val="baseline"/>
                <w:lang w:eastAsia="zh-CN"/>
              </w:rPr>
            </w:pPr>
          </w:p>
        </w:tc>
        <w:tc>
          <w:tcPr>
            <w:tcW w:w="879" w:type="dxa"/>
            <w:vMerge w:val="continue"/>
            <w:vAlign w:val="center"/>
          </w:tcPr>
          <w:p w14:paraId="197FCAAB">
            <w:pPr>
              <w:jc w:val="center"/>
              <w:rPr>
                <w:rFonts w:hint="eastAsia" w:ascii="宋体" w:hAnsi="宋体" w:eastAsia="宋体" w:cs="宋体"/>
                <w:color w:val="auto"/>
                <w:sz w:val="21"/>
                <w:szCs w:val="21"/>
                <w:vertAlign w:val="baseline"/>
                <w:lang w:eastAsia="zh-CN"/>
              </w:rPr>
            </w:pPr>
          </w:p>
        </w:tc>
        <w:tc>
          <w:tcPr>
            <w:tcW w:w="3555" w:type="dxa"/>
            <w:vAlign w:val="center"/>
          </w:tcPr>
          <w:p w14:paraId="231F05C2">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温升：母线之间连接处及主电路中各电气连接处的温升不超过50K。</w:t>
            </w:r>
          </w:p>
        </w:tc>
        <w:tc>
          <w:tcPr>
            <w:tcW w:w="525" w:type="dxa"/>
            <w:vMerge w:val="continue"/>
            <w:vAlign w:val="center"/>
          </w:tcPr>
          <w:p w14:paraId="5C5144FA">
            <w:pPr>
              <w:jc w:val="center"/>
              <w:rPr>
                <w:rFonts w:hint="eastAsia" w:ascii="宋体" w:hAnsi="宋体" w:eastAsia="宋体" w:cs="宋体"/>
                <w:color w:val="auto"/>
                <w:sz w:val="21"/>
                <w:szCs w:val="21"/>
                <w:vertAlign w:val="baseline"/>
                <w:lang w:eastAsia="zh-CN"/>
              </w:rPr>
            </w:pPr>
          </w:p>
        </w:tc>
        <w:tc>
          <w:tcPr>
            <w:tcW w:w="495" w:type="dxa"/>
            <w:vMerge w:val="continue"/>
            <w:vAlign w:val="center"/>
          </w:tcPr>
          <w:p w14:paraId="24E0FE5B">
            <w:pPr>
              <w:jc w:val="center"/>
              <w:rPr>
                <w:rFonts w:hint="eastAsia" w:ascii="宋体" w:hAnsi="宋体" w:eastAsia="宋体" w:cs="宋体"/>
                <w:color w:val="auto"/>
                <w:sz w:val="21"/>
                <w:szCs w:val="21"/>
                <w:vertAlign w:val="baseline"/>
                <w:lang w:eastAsia="zh-CN"/>
              </w:rPr>
            </w:pPr>
          </w:p>
        </w:tc>
        <w:tc>
          <w:tcPr>
            <w:tcW w:w="990" w:type="dxa"/>
            <w:vMerge w:val="continue"/>
            <w:vAlign w:val="center"/>
          </w:tcPr>
          <w:p w14:paraId="090655D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61" w:type="dxa"/>
            <w:vMerge w:val="continue"/>
            <w:vAlign w:val="center"/>
          </w:tcPr>
          <w:p w14:paraId="68923A7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Merge w:val="continue"/>
            <w:vAlign w:val="center"/>
          </w:tcPr>
          <w:p w14:paraId="0F86DE0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1DE7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Merge w:val="continue"/>
            <w:vAlign w:val="center"/>
          </w:tcPr>
          <w:p w14:paraId="07D3FA22">
            <w:pPr>
              <w:jc w:val="center"/>
              <w:rPr>
                <w:rFonts w:hint="eastAsia" w:ascii="宋体" w:hAnsi="宋体" w:eastAsia="宋体" w:cs="宋体"/>
                <w:color w:val="auto"/>
                <w:sz w:val="21"/>
                <w:szCs w:val="21"/>
                <w:vertAlign w:val="baseline"/>
                <w:lang w:eastAsia="zh-CN"/>
              </w:rPr>
            </w:pPr>
          </w:p>
        </w:tc>
        <w:tc>
          <w:tcPr>
            <w:tcW w:w="879" w:type="dxa"/>
            <w:vMerge w:val="continue"/>
            <w:vAlign w:val="center"/>
          </w:tcPr>
          <w:p w14:paraId="6EB6FAA5">
            <w:pPr>
              <w:jc w:val="center"/>
              <w:rPr>
                <w:rFonts w:hint="eastAsia" w:ascii="宋体" w:hAnsi="宋体" w:eastAsia="宋体" w:cs="宋体"/>
                <w:color w:val="auto"/>
                <w:sz w:val="21"/>
                <w:szCs w:val="21"/>
                <w:vertAlign w:val="baseline"/>
                <w:lang w:eastAsia="zh-CN"/>
              </w:rPr>
            </w:pPr>
          </w:p>
        </w:tc>
        <w:tc>
          <w:tcPr>
            <w:tcW w:w="3555" w:type="dxa"/>
            <w:vAlign w:val="center"/>
          </w:tcPr>
          <w:p w14:paraId="0FA4CBEF">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额定绝缘水平：1min工频耐受电压(有效值)：42kV；冲击耐受电压(峰值)：75kV；</w:t>
            </w:r>
          </w:p>
        </w:tc>
        <w:tc>
          <w:tcPr>
            <w:tcW w:w="525" w:type="dxa"/>
            <w:vMerge w:val="continue"/>
            <w:vAlign w:val="center"/>
          </w:tcPr>
          <w:p w14:paraId="5FB3E769">
            <w:pPr>
              <w:jc w:val="center"/>
              <w:rPr>
                <w:rFonts w:hint="eastAsia" w:ascii="宋体" w:hAnsi="宋体" w:eastAsia="宋体" w:cs="宋体"/>
                <w:color w:val="auto"/>
                <w:sz w:val="21"/>
                <w:szCs w:val="21"/>
                <w:vertAlign w:val="baseline"/>
                <w:lang w:eastAsia="zh-CN"/>
              </w:rPr>
            </w:pPr>
          </w:p>
        </w:tc>
        <w:tc>
          <w:tcPr>
            <w:tcW w:w="495" w:type="dxa"/>
            <w:vMerge w:val="continue"/>
            <w:vAlign w:val="center"/>
          </w:tcPr>
          <w:p w14:paraId="16F9AE10">
            <w:pPr>
              <w:jc w:val="center"/>
              <w:rPr>
                <w:rFonts w:hint="eastAsia" w:ascii="宋体" w:hAnsi="宋体" w:eastAsia="宋体" w:cs="宋体"/>
                <w:color w:val="auto"/>
                <w:sz w:val="21"/>
                <w:szCs w:val="21"/>
                <w:vertAlign w:val="baseline"/>
                <w:lang w:eastAsia="zh-CN"/>
              </w:rPr>
            </w:pPr>
          </w:p>
        </w:tc>
        <w:tc>
          <w:tcPr>
            <w:tcW w:w="990" w:type="dxa"/>
            <w:vMerge w:val="continue"/>
            <w:vAlign w:val="center"/>
          </w:tcPr>
          <w:p w14:paraId="52E0CCD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61" w:type="dxa"/>
            <w:vMerge w:val="continue"/>
            <w:vAlign w:val="center"/>
          </w:tcPr>
          <w:p w14:paraId="5F76000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Merge w:val="continue"/>
            <w:vAlign w:val="center"/>
          </w:tcPr>
          <w:p w14:paraId="4DF4B5B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492F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Merge w:val="continue"/>
            <w:vAlign w:val="center"/>
          </w:tcPr>
          <w:p w14:paraId="7FD793CA">
            <w:pPr>
              <w:jc w:val="center"/>
              <w:rPr>
                <w:rFonts w:hint="eastAsia" w:ascii="宋体" w:hAnsi="宋体" w:eastAsia="宋体" w:cs="宋体"/>
                <w:color w:val="auto"/>
                <w:sz w:val="21"/>
                <w:szCs w:val="21"/>
                <w:vertAlign w:val="baseline"/>
                <w:lang w:eastAsia="zh-CN"/>
              </w:rPr>
            </w:pPr>
          </w:p>
        </w:tc>
        <w:tc>
          <w:tcPr>
            <w:tcW w:w="879" w:type="dxa"/>
            <w:vMerge w:val="continue"/>
            <w:vAlign w:val="center"/>
          </w:tcPr>
          <w:p w14:paraId="143058AD">
            <w:pPr>
              <w:jc w:val="center"/>
              <w:rPr>
                <w:rFonts w:hint="eastAsia" w:ascii="宋体" w:hAnsi="宋体" w:eastAsia="宋体" w:cs="宋体"/>
                <w:color w:val="auto"/>
                <w:sz w:val="21"/>
                <w:szCs w:val="21"/>
                <w:vertAlign w:val="baseline"/>
                <w:lang w:eastAsia="zh-CN"/>
              </w:rPr>
            </w:pPr>
          </w:p>
        </w:tc>
        <w:tc>
          <w:tcPr>
            <w:tcW w:w="3555" w:type="dxa"/>
            <w:vAlign w:val="center"/>
          </w:tcPr>
          <w:p w14:paraId="64D70FB8">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二次控制系统工作电源：DC220V±15%</w:t>
            </w:r>
          </w:p>
        </w:tc>
        <w:tc>
          <w:tcPr>
            <w:tcW w:w="525" w:type="dxa"/>
            <w:vMerge w:val="continue"/>
            <w:vAlign w:val="center"/>
          </w:tcPr>
          <w:p w14:paraId="50D4BC10">
            <w:pPr>
              <w:jc w:val="center"/>
              <w:rPr>
                <w:rFonts w:hint="eastAsia" w:ascii="宋体" w:hAnsi="宋体" w:eastAsia="宋体" w:cs="宋体"/>
                <w:color w:val="auto"/>
                <w:sz w:val="21"/>
                <w:szCs w:val="21"/>
                <w:vertAlign w:val="baseline"/>
                <w:lang w:eastAsia="zh-CN"/>
              </w:rPr>
            </w:pPr>
          </w:p>
        </w:tc>
        <w:tc>
          <w:tcPr>
            <w:tcW w:w="495" w:type="dxa"/>
            <w:vMerge w:val="continue"/>
            <w:vAlign w:val="center"/>
          </w:tcPr>
          <w:p w14:paraId="63468B2C">
            <w:pPr>
              <w:jc w:val="center"/>
              <w:rPr>
                <w:rFonts w:hint="eastAsia" w:ascii="宋体" w:hAnsi="宋体" w:eastAsia="宋体" w:cs="宋体"/>
                <w:color w:val="auto"/>
                <w:sz w:val="21"/>
                <w:szCs w:val="21"/>
                <w:vertAlign w:val="baseline"/>
                <w:lang w:eastAsia="zh-CN"/>
              </w:rPr>
            </w:pPr>
          </w:p>
        </w:tc>
        <w:tc>
          <w:tcPr>
            <w:tcW w:w="990" w:type="dxa"/>
            <w:vMerge w:val="continue"/>
            <w:vAlign w:val="center"/>
          </w:tcPr>
          <w:p w14:paraId="292E725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61" w:type="dxa"/>
            <w:vMerge w:val="continue"/>
            <w:vAlign w:val="center"/>
          </w:tcPr>
          <w:p w14:paraId="0C7BA02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Merge w:val="continue"/>
            <w:vAlign w:val="center"/>
          </w:tcPr>
          <w:p w14:paraId="64F7077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3F466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Merge w:val="continue"/>
            <w:vAlign w:val="center"/>
          </w:tcPr>
          <w:p w14:paraId="568DDF57">
            <w:pPr>
              <w:jc w:val="center"/>
              <w:rPr>
                <w:rFonts w:hint="eastAsia" w:ascii="宋体" w:hAnsi="宋体" w:eastAsia="宋体" w:cs="宋体"/>
                <w:color w:val="auto"/>
                <w:sz w:val="21"/>
                <w:szCs w:val="21"/>
                <w:vertAlign w:val="baseline"/>
                <w:lang w:eastAsia="zh-CN"/>
              </w:rPr>
            </w:pPr>
          </w:p>
        </w:tc>
        <w:tc>
          <w:tcPr>
            <w:tcW w:w="879" w:type="dxa"/>
            <w:vMerge w:val="continue"/>
            <w:vAlign w:val="center"/>
          </w:tcPr>
          <w:p w14:paraId="209541F6">
            <w:pPr>
              <w:jc w:val="center"/>
              <w:rPr>
                <w:rFonts w:hint="eastAsia" w:ascii="宋体" w:hAnsi="宋体" w:eastAsia="宋体" w:cs="宋体"/>
                <w:color w:val="auto"/>
                <w:sz w:val="21"/>
                <w:szCs w:val="21"/>
                <w:vertAlign w:val="baseline"/>
                <w:lang w:eastAsia="zh-CN"/>
              </w:rPr>
            </w:pPr>
          </w:p>
        </w:tc>
        <w:tc>
          <w:tcPr>
            <w:tcW w:w="3555" w:type="dxa"/>
            <w:vAlign w:val="center"/>
          </w:tcPr>
          <w:p w14:paraId="2068F987">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b/>
                <w:bCs/>
                <w:i w:val="0"/>
                <w:iCs w:val="0"/>
                <w:color w:val="000000"/>
                <w:kern w:val="0"/>
                <w:sz w:val="21"/>
                <w:szCs w:val="21"/>
                <w:u w:val="none"/>
                <w:lang w:val="en-US" w:eastAsia="zh-CN" w:bidi="ar"/>
              </w:rPr>
              <w:t>设备成套性</w:t>
            </w:r>
            <w:r>
              <w:rPr>
                <w:rFonts w:hint="eastAsia" w:ascii="宋体" w:hAnsi="宋体" w:eastAsia="宋体" w:cs="宋体"/>
                <w:i w:val="0"/>
                <w:iCs w:val="0"/>
                <w:color w:val="000000"/>
                <w:kern w:val="0"/>
                <w:sz w:val="21"/>
                <w:szCs w:val="21"/>
                <w:u w:val="none"/>
                <w:lang w:val="en-US" w:eastAsia="zh-CN" w:bidi="ar"/>
              </w:rPr>
              <w:t>：10kV柜式高压并联电容器成套装置由控制器（自带保护功能）、真空接触器、并联电容器、串联电抗器、放电线圈、喷逐熔断器、氧化锌避雷器、电流互感器、隔离开关、负荷开关、柜体及其二次附件等组成成套设备。</w:t>
            </w:r>
          </w:p>
        </w:tc>
        <w:tc>
          <w:tcPr>
            <w:tcW w:w="525" w:type="dxa"/>
            <w:vMerge w:val="continue"/>
            <w:vAlign w:val="center"/>
          </w:tcPr>
          <w:p w14:paraId="71AF0D31">
            <w:pPr>
              <w:jc w:val="center"/>
              <w:rPr>
                <w:rFonts w:hint="eastAsia" w:ascii="宋体" w:hAnsi="宋体" w:eastAsia="宋体" w:cs="宋体"/>
                <w:color w:val="auto"/>
                <w:sz w:val="21"/>
                <w:szCs w:val="21"/>
                <w:vertAlign w:val="baseline"/>
                <w:lang w:eastAsia="zh-CN"/>
              </w:rPr>
            </w:pPr>
          </w:p>
        </w:tc>
        <w:tc>
          <w:tcPr>
            <w:tcW w:w="495" w:type="dxa"/>
            <w:vMerge w:val="continue"/>
            <w:vAlign w:val="center"/>
          </w:tcPr>
          <w:p w14:paraId="65EF8126">
            <w:pPr>
              <w:jc w:val="center"/>
              <w:rPr>
                <w:rFonts w:hint="eastAsia" w:ascii="宋体" w:hAnsi="宋体" w:eastAsia="宋体" w:cs="宋体"/>
                <w:color w:val="auto"/>
                <w:sz w:val="21"/>
                <w:szCs w:val="21"/>
                <w:vertAlign w:val="baseline"/>
                <w:lang w:eastAsia="zh-CN"/>
              </w:rPr>
            </w:pPr>
          </w:p>
        </w:tc>
        <w:tc>
          <w:tcPr>
            <w:tcW w:w="990" w:type="dxa"/>
            <w:vMerge w:val="continue"/>
            <w:vAlign w:val="center"/>
          </w:tcPr>
          <w:p w14:paraId="28D87A8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61" w:type="dxa"/>
            <w:vMerge w:val="continue"/>
            <w:vAlign w:val="center"/>
          </w:tcPr>
          <w:p w14:paraId="6D199A3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Merge w:val="continue"/>
            <w:vAlign w:val="center"/>
          </w:tcPr>
          <w:p w14:paraId="2CFCBED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0338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Merge w:val="continue"/>
            <w:vAlign w:val="center"/>
          </w:tcPr>
          <w:p w14:paraId="5AA7E273">
            <w:pPr>
              <w:jc w:val="center"/>
              <w:rPr>
                <w:rFonts w:hint="eastAsia" w:ascii="宋体" w:hAnsi="宋体" w:eastAsia="宋体" w:cs="宋体"/>
                <w:color w:val="auto"/>
                <w:sz w:val="21"/>
                <w:szCs w:val="21"/>
                <w:vertAlign w:val="baseline"/>
                <w:lang w:eastAsia="zh-CN"/>
              </w:rPr>
            </w:pPr>
          </w:p>
        </w:tc>
        <w:tc>
          <w:tcPr>
            <w:tcW w:w="879" w:type="dxa"/>
            <w:vMerge w:val="continue"/>
            <w:vAlign w:val="center"/>
          </w:tcPr>
          <w:p w14:paraId="6717CE10">
            <w:pPr>
              <w:jc w:val="center"/>
              <w:rPr>
                <w:rFonts w:hint="eastAsia" w:ascii="宋体" w:hAnsi="宋体" w:eastAsia="宋体" w:cs="宋体"/>
                <w:color w:val="auto"/>
                <w:sz w:val="21"/>
                <w:szCs w:val="21"/>
                <w:vertAlign w:val="baseline"/>
                <w:lang w:eastAsia="zh-CN"/>
              </w:rPr>
            </w:pPr>
          </w:p>
        </w:tc>
        <w:tc>
          <w:tcPr>
            <w:tcW w:w="3555" w:type="dxa"/>
            <w:vAlign w:val="center"/>
          </w:tcPr>
          <w:p w14:paraId="69019A20">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密闭柜式结构，成套设备总宽度不大于4000mm，总高度2200mm左右，总深度不大于1800mm；</w:t>
            </w:r>
          </w:p>
        </w:tc>
        <w:tc>
          <w:tcPr>
            <w:tcW w:w="525" w:type="dxa"/>
            <w:vMerge w:val="continue"/>
            <w:vAlign w:val="center"/>
          </w:tcPr>
          <w:p w14:paraId="4E224ED9">
            <w:pPr>
              <w:jc w:val="center"/>
              <w:rPr>
                <w:rFonts w:hint="eastAsia" w:ascii="宋体" w:hAnsi="宋体" w:eastAsia="宋体" w:cs="宋体"/>
                <w:color w:val="auto"/>
                <w:sz w:val="21"/>
                <w:szCs w:val="21"/>
                <w:vertAlign w:val="baseline"/>
                <w:lang w:eastAsia="zh-CN"/>
              </w:rPr>
            </w:pPr>
          </w:p>
        </w:tc>
        <w:tc>
          <w:tcPr>
            <w:tcW w:w="495" w:type="dxa"/>
            <w:vMerge w:val="continue"/>
            <w:vAlign w:val="center"/>
          </w:tcPr>
          <w:p w14:paraId="44FFBBD0">
            <w:pPr>
              <w:jc w:val="center"/>
              <w:rPr>
                <w:rFonts w:hint="eastAsia" w:ascii="宋体" w:hAnsi="宋体" w:eastAsia="宋体" w:cs="宋体"/>
                <w:color w:val="auto"/>
                <w:sz w:val="21"/>
                <w:szCs w:val="21"/>
                <w:vertAlign w:val="baseline"/>
                <w:lang w:eastAsia="zh-CN"/>
              </w:rPr>
            </w:pPr>
          </w:p>
        </w:tc>
        <w:tc>
          <w:tcPr>
            <w:tcW w:w="990" w:type="dxa"/>
            <w:vMerge w:val="continue"/>
            <w:vAlign w:val="center"/>
          </w:tcPr>
          <w:p w14:paraId="2027DAA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61" w:type="dxa"/>
            <w:vMerge w:val="continue"/>
            <w:vAlign w:val="center"/>
          </w:tcPr>
          <w:p w14:paraId="5150893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Merge w:val="continue"/>
            <w:vAlign w:val="center"/>
          </w:tcPr>
          <w:p w14:paraId="5E6F85C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552D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Merge w:val="continue"/>
            <w:vAlign w:val="center"/>
          </w:tcPr>
          <w:p w14:paraId="6B359267">
            <w:pPr>
              <w:jc w:val="center"/>
              <w:rPr>
                <w:rFonts w:hint="eastAsia" w:ascii="宋体" w:hAnsi="宋体" w:eastAsia="宋体" w:cs="宋体"/>
                <w:color w:val="auto"/>
                <w:sz w:val="21"/>
                <w:szCs w:val="21"/>
                <w:vertAlign w:val="baseline"/>
                <w:lang w:eastAsia="zh-CN"/>
              </w:rPr>
            </w:pPr>
          </w:p>
        </w:tc>
        <w:tc>
          <w:tcPr>
            <w:tcW w:w="879" w:type="dxa"/>
            <w:vMerge w:val="continue"/>
            <w:vAlign w:val="center"/>
          </w:tcPr>
          <w:p w14:paraId="0E181EA6">
            <w:pPr>
              <w:jc w:val="center"/>
              <w:rPr>
                <w:rFonts w:hint="eastAsia" w:ascii="宋体" w:hAnsi="宋体" w:eastAsia="宋体" w:cs="宋体"/>
                <w:color w:val="auto"/>
                <w:sz w:val="21"/>
                <w:szCs w:val="21"/>
                <w:vertAlign w:val="baseline"/>
                <w:lang w:eastAsia="zh-CN"/>
              </w:rPr>
            </w:pPr>
          </w:p>
        </w:tc>
        <w:tc>
          <w:tcPr>
            <w:tcW w:w="3555" w:type="dxa"/>
            <w:vAlign w:val="center"/>
          </w:tcPr>
          <w:p w14:paraId="6CE466B2">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b/>
                <w:bCs/>
                <w:i w:val="0"/>
                <w:iCs w:val="0"/>
                <w:color w:val="000000"/>
                <w:kern w:val="0"/>
                <w:sz w:val="21"/>
                <w:szCs w:val="21"/>
                <w:u w:val="none"/>
                <w:lang w:val="en-US" w:eastAsia="zh-CN" w:bidi="ar"/>
              </w:rPr>
              <w:t>投切方式</w:t>
            </w:r>
            <w:r>
              <w:rPr>
                <w:rFonts w:hint="eastAsia" w:ascii="宋体" w:hAnsi="宋体" w:eastAsia="宋体" w:cs="宋体"/>
                <w:i w:val="0"/>
                <w:iCs w:val="0"/>
                <w:color w:val="000000"/>
                <w:kern w:val="0"/>
                <w:sz w:val="21"/>
                <w:szCs w:val="21"/>
                <w:u w:val="none"/>
                <w:lang w:val="en-US" w:eastAsia="zh-CN" w:bidi="ar"/>
              </w:rPr>
              <w:t>：自动+手动无扰动切换；</w:t>
            </w:r>
          </w:p>
        </w:tc>
        <w:tc>
          <w:tcPr>
            <w:tcW w:w="525" w:type="dxa"/>
            <w:vMerge w:val="continue"/>
            <w:vAlign w:val="center"/>
          </w:tcPr>
          <w:p w14:paraId="7AD4F8F4">
            <w:pPr>
              <w:jc w:val="center"/>
              <w:rPr>
                <w:rFonts w:hint="eastAsia" w:ascii="宋体" w:hAnsi="宋体" w:eastAsia="宋体" w:cs="宋体"/>
                <w:color w:val="auto"/>
                <w:sz w:val="21"/>
                <w:szCs w:val="21"/>
                <w:vertAlign w:val="baseline"/>
                <w:lang w:eastAsia="zh-CN"/>
              </w:rPr>
            </w:pPr>
          </w:p>
        </w:tc>
        <w:tc>
          <w:tcPr>
            <w:tcW w:w="495" w:type="dxa"/>
            <w:vMerge w:val="continue"/>
            <w:vAlign w:val="center"/>
          </w:tcPr>
          <w:p w14:paraId="479BC130">
            <w:pPr>
              <w:jc w:val="center"/>
              <w:rPr>
                <w:rFonts w:hint="eastAsia" w:ascii="宋体" w:hAnsi="宋体" w:eastAsia="宋体" w:cs="宋体"/>
                <w:color w:val="auto"/>
                <w:sz w:val="21"/>
                <w:szCs w:val="21"/>
                <w:vertAlign w:val="baseline"/>
                <w:lang w:eastAsia="zh-CN"/>
              </w:rPr>
            </w:pPr>
          </w:p>
        </w:tc>
        <w:tc>
          <w:tcPr>
            <w:tcW w:w="990" w:type="dxa"/>
            <w:vMerge w:val="continue"/>
            <w:vAlign w:val="center"/>
          </w:tcPr>
          <w:p w14:paraId="1A8551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61" w:type="dxa"/>
            <w:vMerge w:val="continue"/>
            <w:vAlign w:val="center"/>
          </w:tcPr>
          <w:p w14:paraId="59FD407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Merge w:val="continue"/>
            <w:vAlign w:val="center"/>
          </w:tcPr>
          <w:p w14:paraId="134D329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08EE7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Align w:val="center"/>
          </w:tcPr>
          <w:p w14:paraId="10120403">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b/>
                <w:bCs/>
                <w:i w:val="0"/>
                <w:iCs w:val="0"/>
                <w:color w:val="000000"/>
                <w:kern w:val="0"/>
                <w:sz w:val="21"/>
                <w:szCs w:val="21"/>
                <w:u w:val="none"/>
                <w:lang w:val="en-US" w:eastAsia="zh-CN" w:bidi="ar"/>
              </w:rPr>
              <w:t>2</w:t>
            </w:r>
          </w:p>
        </w:tc>
        <w:tc>
          <w:tcPr>
            <w:tcW w:w="879" w:type="dxa"/>
            <w:vAlign w:val="center"/>
          </w:tcPr>
          <w:p w14:paraId="57167145">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母线温度控制变压器</w:t>
            </w:r>
          </w:p>
        </w:tc>
        <w:tc>
          <w:tcPr>
            <w:tcW w:w="3555" w:type="dxa"/>
            <w:vAlign w:val="center"/>
          </w:tcPr>
          <w:p w14:paraId="68E7CB1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CPC-WT-6 中电CPC</w:t>
            </w:r>
          </w:p>
        </w:tc>
        <w:tc>
          <w:tcPr>
            <w:tcW w:w="525" w:type="dxa"/>
            <w:vAlign w:val="center"/>
          </w:tcPr>
          <w:p w14:paraId="2811F662">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2</w:t>
            </w:r>
          </w:p>
        </w:tc>
        <w:tc>
          <w:tcPr>
            <w:tcW w:w="495" w:type="dxa"/>
            <w:vAlign w:val="center"/>
          </w:tcPr>
          <w:p w14:paraId="787D5907">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990" w:type="dxa"/>
            <w:vAlign w:val="center"/>
          </w:tcPr>
          <w:p w14:paraId="44A1DD4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61" w:type="dxa"/>
            <w:vAlign w:val="center"/>
          </w:tcPr>
          <w:p w14:paraId="3185B9F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Align w:val="center"/>
          </w:tcPr>
          <w:p w14:paraId="15F491F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46FF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vAlign w:val="center"/>
          </w:tcPr>
          <w:p w14:paraId="4CF966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w:t>
            </w:r>
          </w:p>
        </w:tc>
        <w:tc>
          <w:tcPr>
            <w:tcW w:w="879" w:type="dxa"/>
            <w:vAlign w:val="center"/>
          </w:tcPr>
          <w:p w14:paraId="38AB7CF2">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宋体" w:hAnsi="宋体" w:eastAsia="宋体" w:cs="宋体"/>
                <w:color w:val="auto"/>
                <w:sz w:val="21"/>
                <w:szCs w:val="21"/>
                <w:vertAlign w:val="baseline"/>
                <w:lang w:eastAsia="zh-CN"/>
              </w:rPr>
            </w:pPr>
          </w:p>
        </w:tc>
        <w:tc>
          <w:tcPr>
            <w:tcW w:w="3555" w:type="dxa"/>
            <w:vAlign w:val="center"/>
          </w:tcPr>
          <w:p w14:paraId="15502718">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宋体" w:hAnsi="宋体" w:eastAsia="宋体" w:cs="宋体"/>
                <w:color w:val="auto"/>
                <w:sz w:val="21"/>
                <w:szCs w:val="21"/>
                <w:vertAlign w:val="baseline"/>
                <w:lang w:eastAsia="zh-CN"/>
              </w:rPr>
            </w:pPr>
          </w:p>
        </w:tc>
        <w:tc>
          <w:tcPr>
            <w:tcW w:w="525" w:type="dxa"/>
            <w:vAlign w:val="center"/>
          </w:tcPr>
          <w:p w14:paraId="3BCFAAE7">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宋体" w:hAnsi="宋体" w:eastAsia="宋体" w:cs="宋体"/>
                <w:color w:val="auto"/>
                <w:sz w:val="21"/>
                <w:szCs w:val="21"/>
                <w:vertAlign w:val="baseline"/>
                <w:lang w:eastAsia="zh-CN"/>
              </w:rPr>
            </w:pPr>
          </w:p>
        </w:tc>
        <w:tc>
          <w:tcPr>
            <w:tcW w:w="495" w:type="dxa"/>
            <w:vAlign w:val="center"/>
          </w:tcPr>
          <w:p w14:paraId="54B026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990" w:type="dxa"/>
            <w:vAlign w:val="center"/>
          </w:tcPr>
          <w:p w14:paraId="731901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61" w:type="dxa"/>
            <w:vAlign w:val="center"/>
          </w:tcPr>
          <w:p w14:paraId="0605480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Align w:val="center"/>
          </w:tcPr>
          <w:p w14:paraId="5CD1347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22C4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761" w:type="dxa"/>
            <w:gridSpan w:val="8"/>
            <w:vAlign w:val="center"/>
          </w:tcPr>
          <w:p w14:paraId="179F9E0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备注：</w:t>
            </w:r>
            <w:r>
              <w:rPr>
                <w:rFonts w:hint="eastAsia" w:ascii="宋体" w:hAnsi="宋体" w:eastAsia="宋体" w:cs="宋体"/>
                <w:sz w:val="21"/>
                <w:szCs w:val="21"/>
                <w:lang w:val="en-US" w:eastAsia="zh-CN"/>
              </w:rPr>
              <w:t>必须按规格型号参数及品牌要求报价；无品牌要求的必须注明生产厂家及品牌名称，生产厂家必须具有投报产品的生产许可证；第1项必须附成套设备配置清单，以上两项必须报全，否则报价无效</w:t>
            </w:r>
            <w:r>
              <w:rPr>
                <w:rFonts w:hint="eastAsia" w:ascii="宋体" w:hAnsi="宋体" w:eastAsia="宋体" w:cs="宋体"/>
                <w:sz w:val="21"/>
                <w:szCs w:val="21"/>
              </w:rPr>
              <w:t>。</w:t>
            </w:r>
          </w:p>
        </w:tc>
      </w:tr>
    </w:tbl>
    <w:p w14:paraId="745E0631">
      <w:pPr>
        <w:rPr>
          <w:rFonts w:hint="default" w:ascii="Times New Roman" w:hAnsi="Times New Roman"/>
          <w:color w:val="auto"/>
          <w:kern w:val="0"/>
          <w:lang w:val="en-US" w:eastAsia="zh-CN"/>
        </w:rPr>
      </w:pPr>
      <w:r>
        <w:rPr>
          <w:rFonts w:hint="eastAsia" w:ascii="Times New Roman" w:hAnsi="Times New Roman"/>
          <w:color w:val="auto"/>
          <w:kern w:val="0"/>
          <w:lang w:val="en-US" w:eastAsia="zh-CN"/>
        </w:rPr>
        <w:t>报价单位：            签字盖章：</w:t>
      </w:r>
      <w:bookmarkStart w:id="207" w:name="_GoBack"/>
      <w:bookmarkEnd w:id="207"/>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504488776"/>
      <w:bookmarkStart w:id="204" w:name="_Toc1390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54E9527B">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A07565-8F19-4630-B4E1-7981696818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EDCF8DF8-4BEC-47A9-9A12-B8C5232C5E63}"/>
  </w:font>
  <w:font w:name="方正小标宋简体">
    <w:panose1 w:val="02000000000000000000"/>
    <w:charset w:val="86"/>
    <w:family w:val="auto"/>
    <w:pitch w:val="default"/>
    <w:sig w:usb0="00000001" w:usb1="08000000" w:usb2="00000000" w:usb3="00000000" w:csb0="00040000" w:csb1="00000000"/>
    <w:embedRegular r:id="rId3" w:fontKey="{842361F4-FF7E-4284-9219-D8DAB6846245}"/>
  </w:font>
  <w:font w:name="微软雅黑">
    <w:panose1 w:val="020B0503020204020204"/>
    <w:charset w:val="86"/>
    <w:family w:val="auto"/>
    <w:pitch w:val="default"/>
    <w:sig w:usb0="80000287" w:usb1="2ACF3C50" w:usb2="00000016" w:usb3="00000000" w:csb0="0004001F" w:csb1="00000000"/>
    <w:embedRegular r:id="rId4" w:fontKey="{1F4B3775-54DC-472F-8523-D640D1D1DCC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CB6297"/>
    <w:rsid w:val="01251650"/>
    <w:rsid w:val="01A67659"/>
    <w:rsid w:val="023E2922"/>
    <w:rsid w:val="026A1189"/>
    <w:rsid w:val="03EB7101"/>
    <w:rsid w:val="051379D8"/>
    <w:rsid w:val="05BE40FB"/>
    <w:rsid w:val="06141C07"/>
    <w:rsid w:val="076A5F83"/>
    <w:rsid w:val="07720B9B"/>
    <w:rsid w:val="08E236EE"/>
    <w:rsid w:val="0AA3355A"/>
    <w:rsid w:val="0EFB5712"/>
    <w:rsid w:val="102F1EF5"/>
    <w:rsid w:val="112221FC"/>
    <w:rsid w:val="114161E7"/>
    <w:rsid w:val="130628D8"/>
    <w:rsid w:val="14F90946"/>
    <w:rsid w:val="14FD19B0"/>
    <w:rsid w:val="15350822"/>
    <w:rsid w:val="15AE1730"/>
    <w:rsid w:val="17725CE9"/>
    <w:rsid w:val="178169D1"/>
    <w:rsid w:val="19B65298"/>
    <w:rsid w:val="19BF0744"/>
    <w:rsid w:val="19BF485E"/>
    <w:rsid w:val="19EF056A"/>
    <w:rsid w:val="1B177D78"/>
    <w:rsid w:val="1CD41EF8"/>
    <w:rsid w:val="1DA8115B"/>
    <w:rsid w:val="1DB27CC5"/>
    <w:rsid w:val="1DD30B53"/>
    <w:rsid w:val="1E34479D"/>
    <w:rsid w:val="1F36284E"/>
    <w:rsid w:val="207E073E"/>
    <w:rsid w:val="21834158"/>
    <w:rsid w:val="220426D8"/>
    <w:rsid w:val="22507BC3"/>
    <w:rsid w:val="22F5715A"/>
    <w:rsid w:val="241430A6"/>
    <w:rsid w:val="2452597D"/>
    <w:rsid w:val="26341C2C"/>
    <w:rsid w:val="26A7481C"/>
    <w:rsid w:val="28FC5319"/>
    <w:rsid w:val="296B5579"/>
    <w:rsid w:val="297D7484"/>
    <w:rsid w:val="2A2E0C3A"/>
    <w:rsid w:val="2A4B3DED"/>
    <w:rsid w:val="2AB02639"/>
    <w:rsid w:val="2CE0789D"/>
    <w:rsid w:val="2DE05E9B"/>
    <w:rsid w:val="2DF50016"/>
    <w:rsid w:val="2E033918"/>
    <w:rsid w:val="2EA4771D"/>
    <w:rsid w:val="2F8A5E72"/>
    <w:rsid w:val="31832E12"/>
    <w:rsid w:val="32B71655"/>
    <w:rsid w:val="33260700"/>
    <w:rsid w:val="333C7F24"/>
    <w:rsid w:val="333D3C9C"/>
    <w:rsid w:val="339B5162"/>
    <w:rsid w:val="34DF16EF"/>
    <w:rsid w:val="358E6037"/>
    <w:rsid w:val="370C2303"/>
    <w:rsid w:val="37991DE9"/>
    <w:rsid w:val="38C369F1"/>
    <w:rsid w:val="39974106"/>
    <w:rsid w:val="39B85B5E"/>
    <w:rsid w:val="3A3A65D2"/>
    <w:rsid w:val="3A561988"/>
    <w:rsid w:val="3BAE3989"/>
    <w:rsid w:val="3BFF184D"/>
    <w:rsid w:val="3C1557B6"/>
    <w:rsid w:val="3CB63F34"/>
    <w:rsid w:val="3CFB6595"/>
    <w:rsid w:val="3CFD6BB7"/>
    <w:rsid w:val="3E3C01FF"/>
    <w:rsid w:val="3E416D36"/>
    <w:rsid w:val="3FE9293F"/>
    <w:rsid w:val="405A4224"/>
    <w:rsid w:val="427A5715"/>
    <w:rsid w:val="433C5D1E"/>
    <w:rsid w:val="43E91A02"/>
    <w:rsid w:val="44107006"/>
    <w:rsid w:val="44920CB0"/>
    <w:rsid w:val="45726E52"/>
    <w:rsid w:val="460F14C8"/>
    <w:rsid w:val="46637C62"/>
    <w:rsid w:val="4B896DF6"/>
    <w:rsid w:val="4CB27A82"/>
    <w:rsid w:val="4CEE4569"/>
    <w:rsid w:val="4D66647C"/>
    <w:rsid w:val="4D7B7211"/>
    <w:rsid w:val="4E6B74B7"/>
    <w:rsid w:val="4F18763F"/>
    <w:rsid w:val="4F2D1733"/>
    <w:rsid w:val="4F400944"/>
    <w:rsid w:val="500261D8"/>
    <w:rsid w:val="50153B7F"/>
    <w:rsid w:val="50610B72"/>
    <w:rsid w:val="509B2FD7"/>
    <w:rsid w:val="51095774"/>
    <w:rsid w:val="51BA0636"/>
    <w:rsid w:val="523676EA"/>
    <w:rsid w:val="524F1A19"/>
    <w:rsid w:val="54004D75"/>
    <w:rsid w:val="55EF7BB3"/>
    <w:rsid w:val="55F20E2B"/>
    <w:rsid w:val="56737851"/>
    <w:rsid w:val="5680683F"/>
    <w:rsid w:val="56F815DC"/>
    <w:rsid w:val="57711FE2"/>
    <w:rsid w:val="59907EED"/>
    <w:rsid w:val="5A715E56"/>
    <w:rsid w:val="5ADC35B6"/>
    <w:rsid w:val="5B97061C"/>
    <w:rsid w:val="5C02145B"/>
    <w:rsid w:val="5C2B04AE"/>
    <w:rsid w:val="5D042FB1"/>
    <w:rsid w:val="5DCA09A3"/>
    <w:rsid w:val="5E8D407E"/>
    <w:rsid w:val="5F213A10"/>
    <w:rsid w:val="5F8C5DB5"/>
    <w:rsid w:val="5F9B340E"/>
    <w:rsid w:val="61137C66"/>
    <w:rsid w:val="61483E9A"/>
    <w:rsid w:val="66452F0C"/>
    <w:rsid w:val="671D4BFD"/>
    <w:rsid w:val="67AF051E"/>
    <w:rsid w:val="69E314DA"/>
    <w:rsid w:val="69F446AA"/>
    <w:rsid w:val="6A445335"/>
    <w:rsid w:val="6BD87931"/>
    <w:rsid w:val="6C2347F8"/>
    <w:rsid w:val="6CCD1611"/>
    <w:rsid w:val="6CE26D5D"/>
    <w:rsid w:val="6DB30807"/>
    <w:rsid w:val="6E6C09B6"/>
    <w:rsid w:val="6E8D6012"/>
    <w:rsid w:val="6F4D07E7"/>
    <w:rsid w:val="70626755"/>
    <w:rsid w:val="707458D8"/>
    <w:rsid w:val="72E3289C"/>
    <w:rsid w:val="736305DA"/>
    <w:rsid w:val="73F6144E"/>
    <w:rsid w:val="74F87447"/>
    <w:rsid w:val="74FB2D4D"/>
    <w:rsid w:val="76307735"/>
    <w:rsid w:val="76987E92"/>
    <w:rsid w:val="76A35191"/>
    <w:rsid w:val="77FB6984"/>
    <w:rsid w:val="7A6E7EF3"/>
    <w:rsid w:val="7CA0464C"/>
    <w:rsid w:val="7F06435D"/>
    <w:rsid w:val="7F0D7F93"/>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368</Words>
  <Characters>402</Characters>
  <Lines>0</Lines>
  <Paragraphs>0</Paragraphs>
  <TotalTime>7</TotalTime>
  <ScaleCrop>false</ScaleCrop>
  <LinksUpToDate>false</LinksUpToDate>
  <CharactersWithSpaces>412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2025-08-01T02:27:47Z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