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XB20250804-01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36"/>
          <w:szCs w:val="36"/>
          <w:highlight w:val="yellow"/>
          <w:lang w:val="en-US" w:eastAsia="zh-CN"/>
        </w:rPr>
      </w:pPr>
      <w:r>
        <w:rPr>
          <w:rFonts w:hint="eastAsia" w:ascii="Times New Roman" w:hAnsi="Times New Roman" w:eastAsia="黑体"/>
          <w:color w:val="auto"/>
          <w:sz w:val="36"/>
          <w:szCs w:val="36"/>
          <w:highlight w:val="none"/>
          <w:lang w:val="en-US" w:eastAsia="zh-CN"/>
        </w:rPr>
        <w:t>电锌车间智能超声波探伤仪采购项目</w:t>
      </w:r>
    </w:p>
    <w:p w14:paraId="0440D2AD">
      <w:pPr>
        <w:rPr>
          <w:rFonts w:ascii="Times New Roman" w:hAnsi="Times New Roman"/>
          <w:color w:val="auto"/>
          <w:sz w:val="36"/>
          <w:szCs w:val="36"/>
        </w:rPr>
      </w:pPr>
    </w:p>
    <w:p w14:paraId="5F5A5715">
      <w:pPr>
        <w:jc w:val="center"/>
        <w:rPr>
          <w:rFonts w:hint="eastAsia" w:ascii="Times New Roman" w:hAnsi="Times New Roman" w:eastAsia="黑体"/>
          <w:color w:val="auto"/>
          <w:sz w:val="36"/>
          <w:szCs w:val="36"/>
          <w:lang w:eastAsia="zh-CN"/>
        </w:rPr>
      </w:pPr>
      <w:r>
        <w:rPr>
          <w:rFonts w:hint="eastAsia" w:ascii="Times New Roman" w:hAnsi="Times New Roman" w:eastAsia="黑体"/>
          <w:color w:val="auto"/>
          <w:sz w:val="36"/>
          <w:szCs w:val="36"/>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电锌车间智能超声波探伤仪采购项目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智能超声波探伤仪壹台</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电锌车间智能超声波探伤仪</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2025年8月30日前到货，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详见电锌车间智能超声波探伤仪询比采购清单。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6E623AB4">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541F5539">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lang w:val="en-US" w:eastAsia="zh-CN"/>
        </w:rPr>
        <w:t>4、要求</w:t>
      </w:r>
      <w:r>
        <w:rPr>
          <w:rFonts w:hint="eastAsia" w:ascii="仿宋" w:hAnsi="仿宋" w:eastAsia="仿宋" w:cs="仿宋"/>
          <w:i w:val="0"/>
          <w:iCs w:val="0"/>
          <w:caps w:val="0"/>
          <w:color w:val="auto"/>
          <w:spacing w:val="0"/>
          <w:sz w:val="32"/>
          <w:szCs w:val="32"/>
          <w:shd w:val="clear" w:color="auto" w:fill="FEFEFE"/>
        </w:rPr>
        <w:t xml:space="preserve">：扫描范围： 0~6000MM钢纵波 </w:t>
      </w:r>
    </w:p>
    <w:p w14:paraId="4B4C30E2">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脉冲强度： 可调 </w:t>
      </w:r>
    </w:p>
    <w:p w14:paraId="05051411">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工作频率： 0.4MHZ~20MHZ </w:t>
      </w:r>
    </w:p>
    <w:p w14:paraId="354DA625">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垂直线性误差： ≤3% </w:t>
      </w:r>
    </w:p>
    <w:p w14:paraId="3064C1D8">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水平线性误差： ≤0.1% </w:t>
      </w:r>
    </w:p>
    <w:p w14:paraId="00BEA314">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增益：120DB </w:t>
      </w:r>
    </w:p>
    <w:p w14:paraId="4BCD880D">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灵敏度余量： &gt;62DB(深200MMΦ2平底孔) </w:t>
      </w:r>
    </w:p>
    <w:p w14:paraId="618D936A">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分辨力：&gt;40DB(5N20) </w:t>
      </w:r>
    </w:p>
    <w:p w14:paraId="06838E1B">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探头阻尼：50Ω~400Ω多个档位可调 </w:t>
      </w:r>
    </w:p>
    <w:p w14:paraId="6962CAFD">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动态范围： ≥32DB </w:t>
      </w:r>
    </w:p>
    <w:p w14:paraId="7512150E">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电噪声电平：&lt;8% </w:t>
      </w:r>
    </w:p>
    <w:p w14:paraId="6F8F36E5">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硬采样频率：320MHZ </w:t>
      </w:r>
    </w:p>
    <w:p w14:paraId="544B92F8">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重复发射频率：100~1000HZ </w:t>
      </w:r>
    </w:p>
    <w:p w14:paraId="737FA9CD">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声速范围：100-15000(M/S) </w:t>
      </w:r>
    </w:p>
    <w:p w14:paraId="6DD548CE">
      <w:pPr>
        <w:spacing w:line="500" w:lineRule="exact"/>
        <w:ind w:firstLine="640" w:firstLineChars="200"/>
        <w:jc w:val="left"/>
        <w:rPr>
          <w:rFonts w:hint="eastAsia" w:ascii="仿宋" w:hAnsi="仿宋" w:eastAsia="仿宋" w:cs="仿宋"/>
          <w:i w:val="0"/>
          <w:iCs w:val="0"/>
          <w:caps w:val="0"/>
          <w:color w:val="auto"/>
          <w:spacing w:val="0"/>
          <w:sz w:val="32"/>
          <w:szCs w:val="32"/>
          <w:shd w:val="clear" w:color="auto" w:fill="FEFEFE"/>
        </w:rPr>
      </w:pPr>
      <w:r>
        <w:rPr>
          <w:rFonts w:hint="eastAsia" w:ascii="仿宋" w:hAnsi="仿宋" w:eastAsia="仿宋" w:cs="仿宋"/>
          <w:i w:val="0"/>
          <w:iCs w:val="0"/>
          <w:caps w:val="0"/>
          <w:color w:val="auto"/>
          <w:spacing w:val="0"/>
          <w:sz w:val="32"/>
          <w:szCs w:val="32"/>
          <w:shd w:val="clear" w:color="auto" w:fill="FEFEFE"/>
        </w:rPr>
        <w:t xml:space="preserve">工作方式：单品直探头探伤、单晶斜探头探伤，双晶探伤、穿透探伤 </w:t>
      </w:r>
    </w:p>
    <w:p w14:paraId="2BF8A270">
      <w:pPr>
        <w:spacing w:line="50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shd w:val="clear" w:color="auto" w:fill="FEFEFE"/>
        </w:rPr>
        <w:t>要求：仪器自带第三方检定报告。</w:t>
      </w:r>
    </w:p>
    <w:p w14:paraId="6CE0813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5、竞价方对供应竞购方的货物质量负责，了解清楚竞购方使用环境、工况、规格型号、使用目的以及所达到的效果，确保竞购方的正常使用。</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152042318"/>
      <w:bookmarkStart w:id="14" w:name="_Toc352691486"/>
      <w:bookmarkStart w:id="15" w:name="_Toc144974510"/>
      <w:bookmarkStart w:id="16" w:name="_Toc247513966"/>
      <w:bookmarkStart w:id="17" w:name="_Toc300834963"/>
      <w:bookmarkStart w:id="18" w:name="_Toc369531529"/>
      <w:bookmarkStart w:id="19" w:name="_Toc361508598"/>
      <w:bookmarkStart w:id="20" w:name="_Toc152045542"/>
      <w:bookmarkStart w:id="21" w:name="_Toc384308223"/>
      <w:bookmarkStart w:id="22" w:name="_Toc247527567"/>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52691487"/>
      <w:bookmarkStart w:id="25" w:name="_Toc361508599"/>
      <w:bookmarkStart w:id="26" w:name="_Toc15242"/>
      <w:bookmarkStart w:id="27" w:name="_Toc152042319"/>
      <w:bookmarkStart w:id="28" w:name="_Toc384308224"/>
      <w:bookmarkStart w:id="29" w:name="_Toc369531530"/>
      <w:bookmarkStart w:id="30" w:name="_Toc152045543"/>
      <w:bookmarkStart w:id="31" w:name="_Toc247527568"/>
      <w:bookmarkStart w:id="32" w:name="_Toc144974511"/>
      <w:bookmarkStart w:id="33" w:name="_Toc30083496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1000元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29025"/>
      <w:bookmarkStart w:id="36" w:name="_Toc352691490"/>
      <w:bookmarkStart w:id="37" w:name="_Toc361508602"/>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361508603"/>
      <w:bookmarkStart w:id="41" w:name="_Toc152042322"/>
      <w:bookmarkStart w:id="42" w:name="_Toc384308228"/>
      <w:bookmarkStart w:id="43" w:name="_Toc247527571"/>
      <w:bookmarkStart w:id="44" w:name="_Toc152045546"/>
      <w:bookmarkStart w:id="45" w:name="_Toc300834967"/>
      <w:bookmarkStart w:id="46" w:name="_Toc14751"/>
      <w:bookmarkStart w:id="47" w:name="_Toc144974514"/>
      <w:bookmarkStart w:id="48" w:name="_Toc369531534"/>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84308229"/>
      <w:bookmarkStart w:id="51" w:name="_Toc300834968"/>
      <w:bookmarkStart w:id="52" w:name="_Toc152045547"/>
      <w:bookmarkStart w:id="53" w:name="_Toc361508604"/>
      <w:bookmarkStart w:id="54" w:name="_Toc352691492"/>
      <w:bookmarkStart w:id="55" w:name="_Toc152042323"/>
      <w:bookmarkStart w:id="56" w:name="_Toc369531535"/>
      <w:bookmarkStart w:id="57" w:name="_Toc247513971"/>
      <w:bookmarkStart w:id="58" w:name="_Toc144974515"/>
      <w:bookmarkStart w:id="59" w:name="_Toc247527572"/>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响应文件提交截止时间：2025年8月8日13时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2025年8月8日14时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144974570"/>
      <w:bookmarkStart w:id="67" w:name="_Toc247514027"/>
      <w:bookmarkStart w:id="68" w:name="_Toc152042380"/>
      <w:bookmarkStart w:id="69" w:name="_Toc352691538"/>
      <w:bookmarkStart w:id="70" w:name="_Toc369531582"/>
      <w:bookmarkStart w:id="71" w:name="_Toc361508651"/>
      <w:bookmarkStart w:id="72" w:name="_Toc384308277"/>
      <w:bookmarkStart w:id="73" w:name="_Toc152045603"/>
      <w:bookmarkStart w:id="74" w:name="_Toc2907"/>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13563"/>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0852"/>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247513985"/>
      <w:bookmarkStart w:id="97" w:name="_Toc30095"/>
      <w:bookmarkStart w:id="98" w:name="_Toc152042337"/>
      <w:bookmarkStart w:id="99" w:name="_Toc144974529"/>
      <w:bookmarkStart w:id="100" w:name="_Toc247527586"/>
      <w:bookmarkStart w:id="101" w:name="_Toc369531549"/>
      <w:bookmarkStart w:id="102" w:name="_Toc352691505"/>
      <w:bookmarkStart w:id="103" w:name="_Toc361508618"/>
      <w:bookmarkStart w:id="104" w:name="_Toc152045561"/>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1508619"/>
      <w:bookmarkStart w:id="120" w:name="_Toc369531550"/>
      <w:bookmarkStart w:id="121" w:name="_Toc352691506"/>
      <w:bookmarkStart w:id="122" w:name="_Toc384308244"/>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14362"/>
      <w:bookmarkStart w:id="125" w:name="_Toc33795814"/>
      <w:bookmarkStart w:id="126" w:name="_Toc3671"/>
      <w:bookmarkStart w:id="127" w:name="_Toc11183"/>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144974532"/>
      <w:bookmarkStart w:id="129" w:name="_Toc152045564"/>
      <w:bookmarkStart w:id="130" w:name="_Toc247527589"/>
      <w:bookmarkStart w:id="131" w:name="_Toc4656"/>
      <w:bookmarkStart w:id="132" w:name="_Toc247513988"/>
      <w:bookmarkStart w:id="133" w:name="_Toc300834986"/>
      <w:bookmarkStart w:id="134" w:name="_Toc361508622"/>
      <w:bookmarkStart w:id="135" w:name="_Toc352691509"/>
      <w:bookmarkStart w:id="136" w:name="_Toc369531553"/>
      <w:bookmarkStart w:id="137" w:name="_Toc152042340"/>
      <w:bookmarkStart w:id="138"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247527590"/>
      <w:bookmarkStart w:id="140" w:name="_Toc384308248"/>
      <w:bookmarkStart w:id="141" w:name="_Toc152045565"/>
      <w:bookmarkStart w:id="142" w:name="_Toc369531554"/>
      <w:bookmarkStart w:id="143" w:name="_Toc352691510"/>
      <w:bookmarkStart w:id="144" w:name="_Toc18247"/>
      <w:bookmarkStart w:id="145" w:name="_Toc144974533"/>
      <w:bookmarkStart w:id="146" w:name="_Toc152042341"/>
      <w:bookmarkStart w:id="147" w:name="_Toc247513989"/>
      <w:bookmarkStart w:id="148" w:name="_Toc361508623"/>
      <w:bookmarkStart w:id="149" w:name="_Toc300834987"/>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384308252"/>
      <w:bookmarkStart w:id="151" w:name="_Toc24067"/>
      <w:bookmarkStart w:id="152" w:name="_Toc361508627"/>
      <w:bookmarkStart w:id="153" w:name="_Toc152045568"/>
      <w:bookmarkStart w:id="154" w:name="_Toc300834991"/>
      <w:bookmarkStart w:id="155" w:name="_Toc144974536"/>
      <w:bookmarkStart w:id="156" w:name="_Toc152042344"/>
      <w:bookmarkStart w:id="157" w:name="_Toc247513992"/>
      <w:bookmarkStart w:id="158" w:name="_Toc247527593"/>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14752"/>
      <w:bookmarkStart w:id="160" w:name="_Toc33795815"/>
      <w:bookmarkStart w:id="161"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84308253"/>
      <w:bookmarkStart w:id="163" w:name="_Toc369531559"/>
      <w:bookmarkStart w:id="164" w:name="_Toc352691515"/>
      <w:bookmarkStart w:id="165" w:name="_Toc361508628"/>
      <w:bookmarkStart w:id="166" w:name="_Toc13644"/>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18070"/>
      <w:bookmarkStart w:id="168" w:name="_Toc22294"/>
      <w:bookmarkStart w:id="169" w:name="_Toc24957"/>
      <w:bookmarkStart w:id="170" w:name="_Toc33795820"/>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D483DF">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75309C9">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0A9FED4">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0011FC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50028EC">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2025年8月4日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202" w:name="_GoBack"/>
      <w:bookmarkEnd w:id="202"/>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XB20250804-01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新宋体" w:hAnsi="新宋体" w:eastAsia="新宋体" w:cs="新宋体"/>
          <w:b/>
          <w:bCs/>
          <w:color w:val="auto"/>
          <w:sz w:val="36"/>
          <w:szCs w:val="36"/>
          <w:lang w:eastAsia="zh-CN"/>
        </w:rPr>
      </w:pPr>
      <w:r>
        <w:rPr>
          <w:rFonts w:hint="eastAsia" w:ascii="新宋体" w:hAnsi="新宋体" w:eastAsia="新宋体" w:cs="新宋体"/>
          <w:b/>
          <w:bCs/>
          <w:color w:val="auto"/>
          <w:sz w:val="36"/>
          <w:szCs w:val="36"/>
          <w:lang w:eastAsia="zh-CN"/>
        </w:rPr>
        <w:t>陕西锌业有限公司</w:t>
      </w:r>
    </w:p>
    <w:p w14:paraId="33EBD329">
      <w:pPr>
        <w:spacing w:line="360" w:lineRule="auto"/>
        <w:jc w:val="center"/>
        <w:rPr>
          <w:rFonts w:hint="eastAsia" w:ascii="黑体" w:hAnsi="黑体" w:eastAsia="黑体" w:cs="黑体"/>
          <w:b/>
          <w:bCs/>
          <w:color w:val="auto"/>
          <w:sz w:val="36"/>
          <w:szCs w:val="36"/>
          <w:lang w:val="en-US" w:eastAsia="zh-CN"/>
        </w:rPr>
      </w:pPr>
      <w:r>
        <w:rPr>
          <w:rFonts w:hint="eastAsia" w:ascii="新宋体" w:hAnsi="新宋体" w:eastAsia="新宋体" w:cs="新宋体"/>
          <w:b/>
          <w:bCs/>
          <w:color w:val="auto"/>
          <w:sz w:val="36"/>
          <w:szCs w:val="36"/>
          <w:lang w:val="en-US" w:eastAsia="zh-CN"/>
        </w:rPr>
        <w:t>电锌车间智能超声波探伤仪采购项目询比</w:t>
      </w:r>
      <w:r>
        <w:rPr>
          <w:rFonts w:hint="eastAsia" w:ascii="新宋体" w:hAnsi="新宋体" w:eastAsia="新宋体" w:cs="新宋体"/>
          <w:b/>
          <w:bCs/>
          <w:color w:val="auto"/>
          <w:sz w:val="36"/>
          <w:szCs w:val="36"/>
          <w:lang w:eastAsia="zh-CN"/>
        </w:rPr>
        <w:t>采购</w:t>
      </w:r>
    </w:p>
    <w:p w14:paraId="03361B3F">
      <w:pPr>
        <w:rPr>
          <w:rFonts w:hint="eastAsia" w:ascii="黑体" w:hAnsi="黑体" w:eastAsia="黑体" w:cs="黑体"/>
          <w:b/>
          <w:bCs/>
          <w:color w:val="auto"/>
          <w:sz w:val="36"/>
          <w:szCs w:val="36"/>
        </w:rPr>
      </w:pPr>
    </w:p>
    <w:p w14:paraId="28C73C99">
      <w:pPr>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响 应</w:t>
      </w:r>
      <w:r>
        <w:rPr>
          <w:rFonts w:hint="eastAsia" w:ascii="黑体" w:hAnsi="黑体" w:eastAsia="黑体" w:cs="黑体"/>
          <w:b/>
          <w:bCs/>
          <w:color w:val="auto"/>
          <w:sz w:val="36"/>
          <w:szCs w:val="36"/>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504488768"/>
      <w:bookmarkStart w:id="174" w:name="_Toc16531"/>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504488769"/>
      <w:bookmarkStart w:id="177"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27897"/>
      <w:bookmarkStart w:id="179" w:name="_Toc352691662"/>
      <w:bookmarkStart w:id="180"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247514248"/>
      <w:bookmarkStart w:id="182" w:name="_Toc361508754"/>
      <w:bookmarkStart w:id="183" w:name="_Toc144974858"/>
      <w:bookmarkStart w:id="184" w:name="_Toc369531699"/>
      <w:bookmarkStart w:id="185" w:name="_Toc247527829"/>
      <w:bookmarkStart w:id="186" w:name="_Toc152045789"/>
      <w:bookmarkStart w:id="187" w:name="_Toc152042578"/>
      <w:bookmarkStart w:id="188" w:name="_Toc300835211"/>
      <w:bookmarkStart w:id="189" w:name="_Toc384308377"/>
      <w:bookmarkStart w:id="190" w:name="_Toc352691663"/>
      <w:bookmarkStart w:id="191" w:name="_Toc15573"/>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504488770"/>
      <w:bookmarkStart w:id="193" w:name="_Toc2777"/>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7842"/>
      <w:bookmarkStart w:id="195" w:name="_Toc50448877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504488775"/>
      <w:bookmarkStart w:id="197" w:name="_Toc175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电锌车间智能超声波探伤仪询比采购清单。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13906"/>
      <w:bookmarkStart w:id="199" w:name="_Toc50448877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504488778"/>
      <w:bookmarkStart w:id="201"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F03CCD-8142-45B3-AA25-62C425BDD7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09808C48-65E9-4DF0-9748-82F47E69957C}"/>
  </w:font>
  <w:font w:name="方正小标宋简体">
    <w:panose1 w:val="02000000000000000000"/>
    <w:charset w:val="86"/>
    <w:family w:val="auto"/>
    <w:pitch w:val="default"/>
    <w:sig w:usb0="00000001" w:usb1="08000000" w:usb2="00000000" w:usb3="00000000" w:csb0="00040000" w:csb1="00000000"/>
    <w:embedRegular r:id="rId3" w:fontKey="{FF880CBD-C2AA-4383-B689-21764CEC01F5}"/>
  </w:font>
  <w:font w:name="微软雅黑">
    <w:panose1 w:val="020B0503020204020204"/>
    <w:charset w:val="86"/>
    <w:family w:val="auto"/>
    <w:pitch w:val="default"/>
    <w:sig w:usb0="80000287" w:usb1="2ACF3C50" w:usb2="00000016" w:usb3="00000000" w:csb0="0004001F" w:csb1="00000000"/>
    <w:embedRegular r:id="rId4" w:fontKey="{0AE47897-CE87-41F3-840D-A13AC60FB5D7}"/>
  </w:font>
  <w:font w:name="新宋体">
    <w:panose1 w:val="02010609030101010101"/>
    <w:charset w:val="86"/>
    <w:family w:val="auto"/>
    <w:pitch w:val="default"/>
    <w:sig w:usb0="00000203" w:usb1="288F0000" w:usb2="00000006" w:usb3="00000000" w:csb0="00040001" w:csb1="00000000"/>
    <w:embedRegular r:id="rId5" w:fontKey="{48AA839E-C281-40A6-8560-C693D5DB4A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4F04030"/>
    <w:rsid w:val="051379D8"/>
    <w:rsid w:val="05BE40FB"/>
    <w:rsid w:val="06141C07"/>
    <w:rsid w:val="076A5F83"/>
    <w:rsid w:val="07720B9B"/>
    <w:rsid w:val="096557EE"/>
    <w:rsid w:val="0A9B11BE"/>
    <w:rsid w:val="0AA3355A"/>
    <w:rsid w:val="0F4F141C"/>
    <w:rsid w:val="102F1EF5"/>
    <w:rsid w:val="114161E7"/>
    <w:rsid w:val="12C10A21"/>
    <w:rsid w:val="130628D8"/>
    <w:rsid w:val="14F90946"/>
    <w:rsid w:val="14FD19B0"/>
    <w:rsid w:val="15350822"/>
    <w:rsid w:val="158D48A8"/>
    <w:rsid w:val="17725CE9"/>
    <w:rsid w:val="18D45CEF"/>
    <w:rsid w:val="19B65298"/>
    <w:rsid w:val="19BF0744"/>
    <w:rsid w:val="19BF485E"/>
    <w:rsid w:val="19EF056A"/>
    <w:rsid w:val="1B177D78"/>
    <w:rsid w:val="1DA8115B"/>
    <w:rsid w:val="1DB27CC5"/>
    <w:rsid w:val="1DD30B53"/>
    <w:rsid w:val="1E34479D"/>
    <w:rsid w:val="1FCD1950"/>
    <w:rsid w:val="207E073E"/>
    <w:rsid w:val="209E644A"/>
    <w:rsid w:val="21096496"/>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9B5162"/>
    <w:rsid w:val="34DF16EF"/>
    <w:rsid w:val="358E6037"/>
    <w:rsid w:val="359D7D4A"/>
    <w:rsid w:val="37991DE9"/>
    <w:rsid w:val="38C369F1"/>
    <w:rsid w:val="39974106"/>
    <w:rsid w:val="3A3A65D2"/>
    <w:rsid w:val="3A561988"/>
    <w:rsid w:val="3BFF184D"/>
    <w:rsid w:val="3C6D73A0"/>
    <w:rsid w:val="3CB63F34"/>
    <w:rsid w:val="3CFB6595"/>
    <w:rsid w:val="3CFD6BB7"/>
    <w:rsid w:val="3E3C01FF"/>
    <w:rsid w:val="3FE9293F"/>
    <w:rsid w:val="403C0E2B"/>
    <w:rsid w:val="405A4224"/>
    <w:rsid w:val="413546F6"/>
    <w:rsid w:val="427A5715"/>
    <w:rsid w:val="433C5D1E"/>
    <w:rsid w:val="438B4930"/>
    <w:rsid w:val="44107006"/>
    <w:rsid w:val="44920CB0"/>
    <w:rsid w:val="454E76FE"/>
    <w:rsid w:val="45726E52"/>
    <w:rsid w:val="460F14C8"/>
    <w:rsid w:val="46637C62"/>
    <w:rsid w:val="49337BD4"/>
    <w:rsid w:val="4B6346E7"/>
    <w:rsid w:val="4B896DF6"/>
    <w:rsid w:val="4CB27A82"/>
    <w:rsid w:val="4D66647C"/>
    <w:rsid w:val="4E6B74B7"/>
    <w:rsid w:val="4F18763F"/>
    <w:rsid w:val="4F2D1733"/>
    <w:rsid w:val="500261D8"/>
    <w:rsid w:val="50610B72"/>
    <w:rsid w:val="509B2FD7"/>
    <w:rsid w:val="523676EA"/>
    <w:rsid w:val="524F1A19"/>
    <w:rsid w:val="55EF7BB3"/>
    <w:rsid w:val="55F20E2B"/>
    <w:rsid w:val="56737851"/>
    <w:rsid w:val="5680683F"/>
    <w:rsid w:val="56F815DC"/>
    <w:rsid w:val="57711FE2"/>
    <w:rsid w:val="59907EED"/>
    <w:rsid w:val="5A1B7FE4"/>
    <w:rsid w:val="5A715E56"/>
    <w:rsid w:val="5B97061C"/>
    <w:rsid w:val="5C02145B"/>
    <w:rsid w:val="5C2B04AE"/>
    <w:rsid w:val="5D042FB1"/>
    <w:rsid w:val="5DCA09A3"/>
    <w:rsid w:val="5E8D407E"/>
    <w:rsid w:val="5F213A10"/>
    <w:rsid w:val="5F8C5DB5"/>
    <w:rsid w:val="61137C66"/>
    <w:rsid w:val="61483E9A"/>
    <w:rsid w:val="61592355"/>
    <w:rsid w:val="61946B17"/>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383BD3"/>
    <w:rsid w:val="74F87447"/>
    <w:rsid w:val="75A031D5"/>
    <w:rsid w:val="7684647F"/>
    <w:rsid w:val="76987E92"/>
    <w:rsid w:val="7AF3769D"/>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6259</Words>
  <Characters>6512</Characters>
  <Lines>0</Lines>
  <Paragraphs>0</Paragraphs>
  <TotalTime>8</TotalTime>
  <ScaleCrop>false</ScaleCrop>
  <LinksUpToDate>false</LinksUpToDate>
  <CharactersWithSpaces>6839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田建利</cp:lastModifiedBy>
  <dcterms:modified xsi:type="dcterms:W3CDTF">2025-08-04T03:41:09Z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eyJoZGlkIjoiOGNhZDU5N2ZlYzljMDE5N2FhNzY5MWNjMjg3MWNjY2YiLCJ1c2VySWQiOiI2OTk4MjEyNTcifQ==</vt:lpwstr>
  </property>
</Properties>
</file>