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8E2535">
      <w:pPr>
        <w:pStyle w:val="9"/>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i w:val="0"/>
          <w:iCs w:val="0"/>
          <w:caps w:val="0"/>
          <w:color w:val="000000"/>
          <w:spacing w:val="0"/>
          <w:sz w:val="32"/>
          <w:szCs w:val="32"/>
        </w:rPr>
      </w:pPr>
      <w:r>
        <w:rPr>
          <w:rStyle w:val="12"/>
          <w:rFonts w:hint="eastAsia" w:ascii="方正小标宋简体" w:hAnsi="方正小标宋简体" w:eastAsia="方正小标宋简体" w:cs="方正小标宋简体"/>
          <w:i w:val="0"/>
          <w:iCs w:val="0"/>
          <w:caps w:val="0"/>
          <w:color w:val="000000"/>
          <w:spacing w:val="0"/>
          <w:sz w:val="32"/>
          <w:szCs w:val="32"/>
        </w:rPr>
        <w:t>陕西锌业有限公司</w:t>
      </w:r>
    </w:p>
    <w:p w14:paraId="1EC36912">
      <w:pPr>
        <w:pStyle w:val="9"/>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Style w:val="12"/>
          <w:rFonts w:hint="eastAsia" w:ascii="方正小标宋简体" w:hAnsi="方正小标宋简体" w:eastAsia="方正小标宋简体" w:cs="方正小标宋简体"/>
          <w:i w:val="0"/>
          <w:iCs w:val="0"/>
          <w:caps w:val="0"/>
          <w:color w:val="000000"/>
          <w:spacing w:val="0"/>
          <w:sz w:val="32"/>
          <w:szCs w:val="32"/>
          <w:lang w:val="en-US" w:eastAsia="zh-CN"/>
        </w:rPr>
        <w:t>2025年9月份</w:t>
      </w:r>
      <w:r>
        <w:rPr>
          <w:rStyle w:val="12"/>
          <w:rFonts w:hint="eastAsia" w:ascii="方正小标宋简体" w:hAnsi="方正小标宋简体" w:eastAsia="方正小标宋简体" w:cs="方正小标宋简体"/>
          <w:b/>
          <w:bCs w:val="0"/>
          <w:i w:val="0"/>
          <w:iCs w:val="0"/>
          <w:caps w:val="0"/>
          <w:color w:val="000000"/>
          <w:spacing w:val="0"/>
          <w:sz w:val="32"/>
          <w:szCs w:val="32"/>
          <w:lang w:val="en-US" w:eastAsia="zh-CN"/>
        </w:rPr>
        <w:t>二工区</w:t>
      </w:r>
      <w:r>
        <w:rPr>
          <w:rStyle w:val="12"/>
          <w:rFonts w:hint="eastAsia" w:ascii="方正小标宋简体" w:hAnsi="方正小标宋简体" w:eastAsia="方正小标宋简体" w:cs="方正小标宋简体"/>
          <w:i w:val="0"/>
          <w:iCs w:val="0"/>
          <w:caps w:val="0"/>
          <w:color w:val="000000"/>
          <w:spacing w:val="0"/>
          <w:sz w:val="32"/>
          <w:szCs w:val="32"/>
          <w:lang w:val="en-US" w:eastAsia="zh-CN"/>
        </w:rPr>
        <w:t>用焦沫采购项目</w:t>
      </w:r>
      <w:r>
        <w:rPr>
          <w:rStyle w:val="12"/>
          <w:rFonts w:hint="eastAsia" w:ascii="方正小标宋简体" w:hAnsi="方正小标宋简体" w:eastAsia="方正小标宋简体" w:cs="方正小标宋简体"/>
          <w:i w:val="0"/>
          <w:iCs w:val="0"/>
          <w:caps w:val="0"/>
          <w:color w:val="000000"/>
          <w:spacing w:val="0"/>
          <w:sz w:val="32"/>
          <w:szCs w:val="32"/>
        </w:rPr>
        <w:t>询比采购</w:t>
      </w:r>
      <w:r>
        <w:rPr>
          <w:rStyle w:val="12"/>
          <w:rFonts w:hint="eastAsia" w:ascii="方正小标宋简体" w:hAnsi="方正小标宋简体" w:eastAsia="方正小标宋简体" w:cs="方正小标宋简体"/>
          <w:i w:val="0"/>
          <w:iCs w:val="0"/>
          <w:caps w:val="0"/>
          <w:color w:val="000000"/>
          <w:spacing w:val="0"/>
          <w:sz w:val="32"/>
          <w:szCs w:val="32"/>
          <w:lang w:val="en-US" w:eastAsia="zh-CN"/>
        </w:rPr>
        <w:t>邀请函</w:t>
      </w:r>
      <w:r>
        <w:rPr>
          <w:rFonts w:hint="eastAsia" w:ascii="仿宋" w:hAnsi="仿宋" w:eastAsia="仿宋" w:cs="仿宋"/>
          <w:i w:val="0"/>
          <w:iCs w:val="0"/>
          <w:caps w:val="0"/>
          <w:color w:val="000000"/>
          <w:spacing w:val="0"/>
          <w:sz w:val="32"/>
          <w:szCs w:val="32"/>
        </w:rPr>
        <w:t> </w:t>
      </w:r>
    </w:p>
    <w:p w14:paraId="608C3DBF">
      <w:pPr>
        <w:keepNext w:val="0"/>
        <w:keepLines w:val="0"/>
        <w:pageBreakBefore w:val="0"/>
        <w:kinsoku/>
        <w:wordWrap/>
        <w:overflowPunct/>
        <w:topLinePunct w:val="0"/>
        <w:autoSpaceDE/>
        <w:autoSpaceDN/>
        <w:bidi w:val="0"/>
        <w:adjustRightInd/>
        <w:snapToGrid/>
        <w:spacing w:line="480" w:lineRule="exact"/>
        <w:ind w:firstLine="560" w:firstLineChars="200"/>
        <w:jc w:val="left"/>
        <w:textAlignment w:val="auto"/>
        <w:outlineLvl w:val="9"/>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陕西锌业有限公司</w:t>
      </w:r>
      <w:r>
        <w:rPr>
          <w:rFonts w:hint="eastAsia" w:ascii="仿宋" w:hAnsi="仿宋" w:eastAsia="仿宋" w:cs="仿宋"/>
          <w:i w:val="0"/>
          <w:iCs w:val="0"/>
          <w:caps w:val="0"/>
          <w:color w:val="000000"/>
          <w:spacing w:val="0"/>
          <w:sz w:val="28"/>
          <w:szCs w:val="28"/>
          <w:lang w:val="en-US" w:eastAsia="zh-CN"/>
        </w:rPr>
        <w:t>因生产需要，</w:t>
      </w:r>
      <w:r>
        <w:rPr>
          <w:rFonts w:hint="eastAsia" w:ascii="仿宋" w:hAnsi="仿宋" w:eastAsia="仿宋" w:cs="仿宋"/>
          <w:i w:val="0"/>
          <w:iCs w:val="0"/>
          <w:caps w:val="0"/>
          <w:color w:val="000000"/>
          <w:spacing w:val="0"/>
          <w:sz w:val="28"/>
          <w:szCs w:val="28"/>
        </w:rPr>
        <w:t>拟</w:t>
      </w:r>
      <w:r>
        <w:rPr>
          <w:rFonts w:hint="eastAsia" w:ascii="仿宋" w:hAnsi="仿宋" w:eastAsia="仿宋" w:cs="仿宋"/>
          <w:i w:val="0"/>
          <w:iCs w:val="0"/>
          <w:caps w:val="0"/>
          <w:color w:val="000000"/>
          <w:spacing w:val="0"/>
          <w:sz w:val="28"/>
          <w:szCs w:val="28"/>
          <w:lang w:val="en-US" w:eastAsia="zh-CN"/>
        </w:rPr>
        <w:t>采购2000吨干量焦沫</w:t>
      </w:r>
      <w:r>
        <w:rPr>
          <w:rFonts w:hint="eastAsia" w:ascii="仿宋" w:hAnsi="仿宋" w:eastAsia="仿宋" w:cs="仿宋"/>
          <w:i w:val="0"/>
          <w:iCs w:val="0"/>
          <w:caps w:val="0"/>
          <w:color w:val="000000"/>
          <w:spacing w:val="0"/>
          <w:sz w:val="28"/>
          <w:szCs w:val="28"/>
          <w:lang w:eastAsia="zh-CN"/>
        </w:rPr>
        <w:t>，</w:t>
      </w:r>
      <w:r>
        <w:rPr>
          <w:rFonts w:hint="eastAsia" w:ascii="仿宋" w:hAnsi="仿宋" w:eastAsia="仿宋" w:cs="仿宋"/>
          <w:i w:val="0"/>
          <w:iCs w:val="0"/>
          <w:caps w:val="0"/>
          <w:color w:val="000000"/>
          <w:spacing w:val="0"/>
          <w:sz w:val="28"/>
          <w:szCs w:val="28"/>
          <w:lang w:val="en-US" w:eastAsia="zh-CN"/>
        </w:rPr>
        <w:t>按照公司有关规定，拟通过</w:t>
      </w:r>
      <w:r>
        <w:rPr>
          <w:rFonts w:hint="eastAsia" w:ascii="仿宋" w:hAnsi="仿宋" w:eastAsia="仿宋" w:cs="仿宋"/>
          <w:i w:val="0"/>
          <w:iCs w:val="0"/>
          <w:caps w:val="0"/>
          <w:color w:val="000000"/>
          <w:spacing w:val="0"/>
          <w:sz w:val="28"/>
          <w:szCs w:val="28"/>
        </w:rPr>
        <w:t>询比</w:t>
      </w:r>
      <w:r>
        <w:rPr>
          <w:rFonts w:hint="eastAsia" w:ascii="仿宋" w:hAnsi="仿宋" w:eastAsia="仿宋" w:cs="仿宋"/>
          <w:i w:val="0"/>
          <w:iCs w:val="0"/>
          <w:caps w:val="0"/>
          <w:color w:val="000000"/>
          <w:spacing w:val="0"/>
          <w:sz w:val="28"/>
          <w:szCs w:val="28"/>
          <w:lang w:val="en-US" w:eastAsia="zh-CN"/>
        </w:rPr>
        <w:t>方式确定供应商，欢迎</w:t>
      </w:r>
      <w:r>
        <w:rPr>
          <w:rFonts w:hint="eastAsia" w:ascii="仿宋" w:hAnsi="仿宋" w:eastAsia="仿宋" w:cs="仿宋"/>
          <w:i w:val="0"/>
          <w:iCs w:val="0"/>
          <w:caps w:val="0"/>
          <w:color w:val="000000"/>
          <w:spacing w:val="0"/>
          <w:sz w:val="28"/>
          <w:szCs w:val="28"/>
        </w:rPr>
        <w:t>具备相应资质</w:t>
      </w:r>
      <w:r>
        <w:rPr>
          <w:rFonts w:hint="eastAsia" w:ascii="仿宋" w:hAnsi="仿宋" w:eastAsia="仿宋" w:cs="仿宋"/>
          <w:i w:val="0"/>
          <w:iCs w:val="0"/>
          <w:caps w:val="0"/>
          <w:color w:val="000000"/>
          <w:spacing w:val="0"/>
          <w:sz w:val="28"/>
          <w:szCs w:val="28"/>
          <w:lang w:val="en-US" w:eastAsia="zh-CN"/>
        </w:rPr>
        <w:t>及能力</w:t>
      </w:r>
      <w:r>
        <w:rPr>
          <w:rFonts w:hint="eastAsia" w:ascii="仿宋" w:hAnsi="仿宋" w:eastAsia="仿宋" w:cs="仿宋"/>
          <w:i w:val="0"/>
          <w:iCs w:val="0"/>
          <w:caps w:val="0"/>
          <w:color w:val="000000"/>
          <w:spacing w:val="0"/>
          <w:sz w:val="28"/>
          <w:szCs w:val="28"/>
        </w:rPr>
        <w:t>的单位</w:t>
      </w:r>
      <w:r>
        <w:rPr>
          <w:rFonts w:hint="eastAsia" w:ascii="仿宋" w:hAnsi="仿宋" w:eastAsia="仿宋" w:cs="仿宋"/>
          <w:i w:val="0"/>
          <w:iCs w:val="0"/>
          <w:caps w:val="0"/>
          <w:color w:val="000000"/>
          <w:spacing w:val="0"/>
          <w:sz w:val="28"/>
          <w:szCs w:val="28"/>
          <w:lang w:val="en-US" w:eastAsia="zh-CN"/>
        </w:rPr>
        <w:t>参与该项目询比采购</w:t>
      </w:r>
      <w:r>
        <w:rPr>
          <w:rFonts w:hint="eastAsia" w:ascii="仿宋" w:hAnsi="仿宋" w:eastAsia="仿宋" w:cs="仿宋"/>
          <w:i w:val="0"/>
          <w:iCs w:val="0"/>
          <w:caps w:val="0"/>
          <w:color w:val="000000"/>
          <w:spacing w:val="0"/>
          <w:sz w:val="28"/>
          <w:szCs w:val="28"/>
        </w:rPr>
        <w:t>，具体内容如下：</w:t>
      </w:r>
    </w:p>
    <w:p w14:paraId="20336658">
      <w:pPr>
        <w:pStyle w:val="3"/>
        <w:numPr>
          <w:ilvl w:val="0"/>
          <w:numId w:val="0"/>
        </w:numPr>
        <w:kinsoku/>
        <w:wordWrap/>
        <w:overflowPunct/>
        <w:topLinePunct w:val="0"/>
        <w:autoSpaceDE/>
        <w:autoSpaceDN/>
        <w:bidi w:val="0"/>
        <w:snapToGrid/>
        <w:spacing w:before="0" w:after="0" w:line="520" w:lineRule="exact"/>
        <w:ind w:firstLine="562" w:firstLineChars="200"/>
        <w:jc w:val="both"/>
        <w:rPr>
          <w:rFonts w:hint="eastAsia" w:ascii="仿宋" w:hAnsi="仿宋" w:eastAsia="仿宋" w:cs="仿宋"/>
          <w:b/>
          <w:bCs/>
          <w:color w:val="auto"/>
          <w:sz w:val="28"/>
          <w:szCs w:val="28"/>
          <w:lang w:val="en-US"/>
        </w:rPr>
      </w:pPr>
      <w:bookmarkStart w:id="0" w:name="_Toc14440"/>
      <w:bookmarkStart w:id="1" w:name="_Toc20230"/>
      <w:bookmarkStart w:id="2" w:name="_Toc33795775"/>
      <w:bookmarkStart w:id="3" w:name="_Toc4593"/>
      <w:r>
        <w:rPr>
          <w:rFonts w:hint="eastAsia" w:ascii="仿宋" w:hAnsi="仿宋" w:eastAsia="仿宋" w:cs="仿宋"/>
          <w:b/>
          <w:bCs/>
          <w:color w:val="auto"/>
          <w:sz w:val="28"/>
          <w:szCs w:val="28"/>
          <w:lang w:val="en-US" w:eastAsia="zh-CN"/>
        </w:rPr>
        <w:t>一、</w:t>
      </w:r>
      <w:r>
        <w:rPr>
          <w:rFonts w:hint="eastAsia" w:ascii="仿宋" w:hAnsi="仿宋" w:eastAsia="仿宋" w:cs="仿宋"/>
          <w:b/>
          <w:bCs/>
          <w:color w:val="auto"/>
          <w:sz w:val="28"/>
          <w:szCs w:val="28"/>
          <w:lang w:eastAsia="zh-CN"/>
        </w:rPr>
        <w:t>采购项目</w:t>
      </w:r>
      <w:bookmarkEnd w:id="0"/>
      <w:bookmarkEnd w:id="1"/>
      <w:bookmarkEnd w:id="2"/>
      <w:bookmarkEnd w:id="3"/>
      <w:r>
        <w:rPr>
          <w:rFonts w:hint="eastAsia" w:ascii="仿宋" w:hAnsi="仿宋" w:eastAsia="仿宋" w:cs="仿宋"/>
          <w:b/>
          <w:bCs/>
          <w:color w:val="auto"/>
          <w:sz w:val="28"/>
          <w:szCs w:val="28"/>
          <w:lang w:val="en-US" w:eastAsia="zh-CN"/>
        </w:rPr>
        <w:t>基本要求</w:t>
      </w:r>
    </w:p>
    <w:p w14:paraId="4F6BD7C7">
      <w:pPr>
        <w:pStyle w:val="3"/>
        <w:numPr>
          <w:ilvl w:val="0"/>
          <w:numId w:val="0"/>
        </w:numPr>
        <w:kinsoku/>
        <w:wordWrap/>
        <w:overflowPunct/>
        <w:topLinePunct w:val="0"/>
        <w:autoSpaceDE/>
        <w:autoSpaceDN/>
        <w:bidi w:val="0"/>
        <w:snapToGrid/>
        <w:spacing w:before="0" w:after="0" w:line="520" w:lineRule="exact"/>
        <w:ind w:firstLine="280" w:firstLineChars="100"/>
        <w:jc w:val="both"/>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（一）采购人：陕西锌业有限公司</w:t>
      </w:r>
    </w:p>
    <w:p w14:paraId="29D945B0">
      <w:pPr>
        <w:kinsoku/>
        <w:wordWrap/>
        <w:overflowPunct/>
        <w:topLinePunct w:val="0"/>
        <w:autoSpaceDE/>
        <w:autoSpaceDN/>
        <w:bidi w:val="0"/>
        <w:snapToGrid/>
        <w:spacing w:line="520" w:lineRule="exact"/>
        <w:ind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采购项目</w:t>
      </w:r>
      <w:r>
        <w:rPr>
          <w:rFonts w:hint="eastAsia" w:ascii="仿宋" w:hAnsi="仿宋" w:eastAsia="仿宋" w:cs="仿宋"/>
          <w:color w:val="auto"/>
          <w:sz w:val="28"/>
          <w:szCs w:val="28"/>
        </w:rPr>
        <w:t>名称：</w:t>
      </w:r>
      <w:bookmarkStart w:id="4" w:name="_Toc33795776"/>
      <w:bookmarkStart w:id="5" w:name="_Toc11471"/>
      <w:bookmarkStart w:id="6" w:name="_Toc14565"/>
      <w:bookmarkStart w:id="7" w:name="_Toc7037"/>
      <w:r>
        <w:rPr>
          <w:rFonts w:hint="eastAsia" w:ascii="仿宋" w:hAnsi="仿宋" w:eastAsia="仿宋" w:cs="仿宋"/>
          <w:color w:val="auto"/>
          <w:sz w:val="28"/>
          <w:szCs w:val="28"/>
          <w:lang w:eastAsia="zh-CN"/>
        </w:rPr>
        <w:t>陕西锌业有限公司</w:t>
      </w:r>
      <w:r>
        <w:rPr>
          <w:rFonts w:hint="eastAsia" w:ascii="仿宋" w:hAnsi="仿宋" w:eastAsia="仿宋" w:cs="仿宋"/>
          <w:color w:val="auto"/>
          <w:sz w:val="28"/>
          <w:szCs w:val="28"/>
          <w:lang w:val="en-US" w:eastAsia="zh-CN"/>
        </w:rPr>
        <w:t>焦沫采购项目</w:t>
      </w:r>
      <w:bookmarkEnd w:id="4"/>
      <w:bookmarkEnd w:id="5"/>
      <w:bookmarkEnd w:id="6"/>
      <w:bookmarkEnd w:id="7"/>
      <w:r>
        <w:rPr>
          <w:rFonts w:hint="eastAsia" w:ascii="仿宋" w:hAnsi="仿宋" w:eastAsia="仿宋" w:cs="仿宋"/>
          <w:color w:val="auto"/>
          <w:sz w:val="28"/>
          <w:szCs w:val="28"/>
          <w:lang w:val="en-US" w:eastAsia="zh-CN"/>
        </w:rPr>
        <w:t>。</w:t>
      </w:r>
    </w:p>
    <w:p w14:paraId="11214224">
      <w:pPr>
        <w:kinsoku/>
        <w:wordWrap/>
        <w:overflowPunct/>
        <w:topLinePunct w:val="0"/>
        <w:autoSpaceDE/>
        <w:autoSpaceDN/>
        <w:bidi w:val="0"/>
        <w:snapToGrid/>
        <w:spacing w:line="52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交货数量、时间</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2000吨干量送完为止。在此期间，如遇采购人检修、减产、生产工艺调整等，采购人根据实际情况适时调整采购量。</w:t>
      </w:r>
    </w:p>
    <w:p w14:paraId="774E62B6">
      <w:pPr>
        <w:kinsoku/>
        <w:wordWrap/>
        <w:overflowPunct/>
        <w:topLinePunct w:val="0"/>
        <w:autoSpaceDE/>
        <w:autoSpaceDN/>
        <w:bidi w:val="0"/>
        <w:snapToGrid/>
        <w:spacing w:line="520" w:lineRule="exact"/>
        <w:ind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（四）交货地点：采购方公司焦沫堆存场（带原始出厂磅码单）。</w:t>
      </w:r>
    </w:p>
    <w:p w14:paraId="70B87450">
      <w:pPr>
        <w:keepNext w:val="0"/>
        <w:keepLines w:val="0"/>
        <w:pageBreakBefore w:val="0"/>
        <w:widowControl w:val="0"/>
        <w:kinsoku/>
        <w:wordWrap/>
        <w:overflowPunct/>
        <w:topLinePunct w:val="0"/>
        <w:autoSpaceDE/>
        <w:autoSpaceDN/>
        <w:bidi w:val="0"/>
        <w:adjustRightInd w:val="0"/>
        <w:snapToGrid/>
        <w:spacing w:line="520" w:lineRule="exact"/>
        <w:ind w:left="0" w:firstLine="280" w:firstLineChars="100"/>
        <w:jc w:val="both"/>
        <w:textAlignment w:val="baseline"/>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质量</w:t>
      </w:r>
      <w:r>
        <w:rPr>
          <w:rFonts w:hint="eastAsia" w:ascii="仿宋" w:hAnsi="仿宋" w:eastAsia="仿宋" w:cs="仿宋"/>
          <w:color w:val="auto"/>
          <w:sz w:val="28"/>
          <w:szCs w:val="28"/>
          <w:lang w:val="en-US" w:eastAsia="zh-CN"/>
        </w:rPr>
        <w:t>要求</w:t>
      </w:r>
      <w:r>
        <w:rPr>
          <w:rFonts w:hint="eastAsia" w:ascii="仿宋" w:hAnsi="仿宋" w:eastAsia="仿宋" w:cs="仿宋"/>
          <w:color w:val="auto"/>
          <w:sz w:val="28"/>
          <w:szCs w:val="28"/>
        </w:rPr>
        <w:t>：</w:t>
      </w:r>
    </w:p>
    <w:p w14:paraId="4A28D605">
      <w:pPr>
        <w:keepNext w:val="0"/>
        <w:keepLines w:val="0"/>
        <w:pageBreakBefore w:val="0"/>
        <w:widowControl w:val="0"/>
        <w:kinsoku/>
        <w:wordWrap/>
        <w:overflowPunct/>
        <w:topLinePunct w:val="0"/>
        <w:autoSpaceDE/>
        <w:autoSpaceDN/>
        <w:bidi w:val="0"/>
        <w:adjustRightInd w:val="0"/>
        <w:snapToGrid/>
        <w:spacing w:line="520" w:lineRule="exact"/>
        <w:ind w:left="0" w:firstLine="560" w:firstLineChars="200"/>
        <w:jc w:val="both"/>
        <w:textAlignment w:val="baseline"/>
        <w:rPr>
          <w:rFonts w:hint="default" w:ascii="仿宋" w:hAnsi="仿宋" w:eastAsia="仿宋" w:cs="仿宋"/>
          <w:bCs/>
          <w:color w:val="auto"/>
          <w:sz w:val="28"/>
          <w:szCs w:val="28"/>
          <w:lang w:val="en-US" w:eastAsia="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质量要求：C≥</w:t>
      </w:r>
      <w:r>
        <w:rPr>
          <w:rFonts w:hint="eastAsia" w:ascii="仿宋" w:hAnsi="仿宋" w:eastAsia="仿宋" w:cs="仿宋"/>
          <w:color w:val="auto"/>
          <w:sz w:val="28"/>
          <w:szCs w:val="28"/>
          <w:lang w:val="en-US" w:eastAsia="zh-CN"/>
        </w:rPr>
        <w:t>78</w:t>
      </w:r>
      <w:r>
        <w:rPr>
          <w:rFonts w:hint="eastAsia" w:ascii="仿宋" w:hAnsi="仿宋" w:eastAsia="仿宋" w:cs="仿宋"/>
          <w:color w:val="auto"/>
          <w:sz w:val="28"/>
          <w:szCs w:val="28"/>
        </w:rPr>
        <w:t>%，挥发份≤</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.0%，灰分≤15.0%，S≤</w:t>
      </w:r>
      <w:r>
        <w:rPr>
          <w:rFonts w:hint="eastAsia" w:ascii="仿宋" w:hAnsi="仿宋" w:eastAsia="仿宋" w:cs="仿宋"/>
          <w:color w:val="auto"/>
          <w:sz w:val="28"/>
          <w:szCs w:val="28"/>
          <w:lang w:val="en-US" w:eastAsia="zh-CN"/>
        </w:rPr>
        <w:t>0.8</w:t>
      </w:r>
      <w:r>
        <w:rPr>
          <w:rFonts w:hint="eastAsia" w:ascii="仿宋" w:hAnsi="仿宋" w:eastAsia="仿宋" w:cs="仿宋"/>
          <w:color w:val="auto"/>
          <w:sz w:val="28"/>
          <w:szCs w:val="28"/>
        </w:rPr>
        <w:t>%,水分≤</w:t>
      </w:r>
      <w:r>
        <w:rPr>
          <w:rFonts w:hint="eastAsia" w:ascii="仿宋" w:hAnsi="仿宋" w:eastAsia="仿宋" w:cs="仿宋"/>
          <w:color w:val="auto"/>
          <w:sz w:val="28"/>
          <w:szCs w:val="28"/>
          <w:lang w:val="en-US" w:eastAsia="zh-CN"/>
        </w:rPr>
        <w:t>15</w:t>
      </w:r>
      <w:r>
        <w:rPr>
          <w:rFonts w:hint="eastAsia" w:ascii="仿宋" w:hAnsi="仿宋" w:eastAsia="仿宋" w:cs="仿宋"/>
          <w:color w:val="auto"/>
          <w:sz w:val="28"/>
          <w:szCs w:val="28"/>
        </w:rPr>
        <w:t>%，粒度符合5-10mm≤</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0%</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15mm＜</w:t>
      </w: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%，5mm＜</w:t>
      </w:r>
      <w:r>
        <w:rPr>
          <w:rFonts w:hint="eastAsia" w:ascii="仿宋" w:hAnsi="仿宋" w:eastAsia="仿宋" w:cs="仿宋"/>
          <w:color w:val="auto"/>
          <w:sz w:val="28"/>
          <w:szCs w:val="28"/>
          <w:lang w:val="en-US" w:eastAsia="zh-CN"/>
        </w:rPr>
        <w:t>50</w:t>
      </w:r>
      <w:r>
        <w:rPr>
          <w:rFonts w:hint="eastAsia" w:ascii="仿宋" w:hAnsi="仿宋" w:eastAsia="仿宋" w:cs="仿宋"/>
          <w:color w:val="auto"/>
          <w:sz w:val="28"/>
          <w:szCs w:val="28"/>
        </w:rPr>
        <w:t>%，且不能混入外来夹杂物（如兰炭，无烟煤），同一车内颜色粒度应一致</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 xml:space="preserve">  </w:t>
      </w:r>
    </w:p>
    <w:p w14:paraId="0B4DFD63">
      <w:pPr>
        <w:keepNext w:val="0"/>
        <w:keepLines w:val="0"/>
        <w:pageBreakBefore w:val="0"/>
        <w:widowControl w:val="0"/>
        <w:kinsoku/>
        <w:wordWrap/>
        <w:overflowPunct/>
        <w:topLinePunct w:val="0"/>
        <w:autoSpaceDE/>
        <w:autoSpaceDN/>
        <w:bidi w:val="0"/>
        <w:adjustRightInd w:val="0"/>
        <w:snapToGrid/>
        <w:spacing w:line="520" w:lineRule="exact"/>
        <w:ind w:left="0" w:firstLine="560" w:firstLineChars="200"/>
        <w:jc w:val="both"/>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val="en-US" w:eastAsia="zh-CN"/>
        </w:rPr>
        <w:t>2.</w:t>
      </w:r>
      <w:r>
        <w:rPr>
          <w:rFonts w:hint="eastAsia" w:ascii="仿宋" w:hAnsi="仿宋" w:eastAsia="仿宋" w:cs="仿宋"/>
          <w:bCs/>
          <w:color w:val="auto"/>
          <w:sz w:val="28"/>
          <w:szCs w:val="28"/>
        </w:rPr>
        <w:t>如发生质量问题，</w:t>
      </w:r>
      <w:r>
        <w:rPr>
          <w:rFonts w:hint="eastAsia" w:ascii="仿宋" w:hAnsi="仿宋" w:eastAsia="仿宋" w:cs="仿宋"/>
          <w:color w:val="auto"/>
          <w:sz w:val="28"/>
          <w:szCs w:val="28"/>
        </w:rPr>
        <w:t>供</w:t>
      </w:r>
      <w:r>
        <w:rPr>
          <w:rFonts w:hint="eastAsia" w:ascii="仿宋" w:hAnsi="仿宋" w:eastAsia="仿宋" w:cs="仿宋"/>
          <w:color w:val="auto"/>
          <w:sz w:val="28"/>
          <w:szCs w:val="28"/>
          <w:lang w:val="en-US" w:eastAsia="zh-CN"/>
        </w:rPr>
        <w:t>货</w:t>
      </w:r>
      <w:r>
        <w:rPr>
          <w:rFonts w:hint="eastAsia" w:ascii="仿宋" w:hAnsi="仿宋" w:eastAsia="仿宋" w:cs="仿宋"/>
          <w:color w:val="auto"/>
          <w:sz w:val="28"/>
          <w:szCs w:val="28"/>
        </w:rPr>
        <w:t>方</w:t>
      </w:r>
      <w:r>
        <w:rPr>
          <w:rFonts w:hint="eastAsia" w:ascii="仿宋" w:hAnsi="仿宋" w:eastAsia="仿宋" w:cs="仿宋"/>
          <w:bCs/>
          <w:color w:val="auto"/>
          <w:sz w:val="28"/>
          <w:szCs w:val="28"/>
        </w:rPr>
        <w:t>包退、包换，确保</w:t>
      </w:r>
      <w:r>
        <w:rPr>
          <w:rFonts w:hint="eastAsia" w:ascii="仿宋" w:hAnsi="仿宋" w:eastAsia="仿宋" w:cs="仿宋"/>
          <w:bCs/>
          <w:color w:val="auto"/>
          <w:sz w:val="28"/>
          <w:szCs w:val="28"/>
          <w:lang w:val="en-US" w:eastAsia="zh-CN"/>
        </w:rPr>
        <w:t>货物</w:t>
      </w:r>
      <w:r>
        <w:rPr>
          <w:rFonts w:hint="eastAsia" w:ascii="仿宋" w:hAnsi="仿宋" w:eastAsia="仿宋" w:cs="仿宋"/>
          <w:bCs/>
          <w:color w:val="auto"/>
          <w:sz w:val="28"/>
          <w:szCs w:val="28"/>
        </w:rPr>
        <w:t>质量合格率100%</w:t>
      </w:r>
      <w:r>
        <w:rPr>
          <w:rFonts w:hint="eastAsia" w:ascii="仿宋" w:hAnsi="仿宋" w:eastAsia="仿宋" w:cs="仿宋"/>
          <w:bCs/>
          <w:color w:val="auto"/>
          <w:sz w:val="28"/>
          <w:szCs w:val="28"/>
          <w:lang w:eastAsia="zh-CN"/>
        </w:rPr>
        <w:t>。</w:t>
      </w:r>
      <w:bookmarkStart w:id="8" w:name="_Toc29895"/>
      <w:bookmarkStart w:id="9" w:name="_Toc33795778"/>
      <w:bookmarkStart w:id="10" w:name="_Toc14196"/>
      <w:bookmarkStart w:id="11" w:name="_Toc14688"/>
    </w:p>
    <w:p w14:paraId="44BCDE0E">
      <w:pPr>
        <w:keepNext w:val="0"/>
        <w:keepLines w:val="0"/>
        <w:pageBreakBefore w:val="0"/>
        <w:kinsoku/>
        <w:wordWrap/>
        <w:overflowPunct/>
        <w:topLinePunct w:val="0"/>
        <w:autoSpaceDE/>
        <w:autoSpaceDN/>
        <w:bidi w:val="0"/>
        <w:adjustRightInd/>
        <w:snapToGrid/>
        <w:spacing w:line="480" w:lineRule="exact"/>
        <w:ind w:left="513" w:leftChars="114" w:hanging="274" w:hangingChars="98"/>
        <w:textAlignment w:val="auto"/>
        <w:outlineLvl w:val="9"/>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六</w:t>
      </w:r>
      <w:r>
        <w:rPr>
          <w:rFonts w:hint="eastAsia" w:ascii="仿宋" w:hAnsi="仿宋" w:eastAsia="仿宋" w:cs="仿宋"/>
          <w:bCs/>
          <w:color w:val="auto"/>
          <w:sz w:val="28"/>
          <w:szCs w:val="28"/>
          <w:lang w:eastAsia="zh-CN"/>
        </w:rPr>
        <w:t>）运输方式及到达站港和费用负担：</w:t>
      </w:r>
      <w:r>
        <w:rPr>
          <w:rFonts w:hint="eastAsia" w:ascii="仿宋" w:hAnsi="仿宋" w:eastAsia="仿宋" w:cs="仿宋"/>
          <w:b w:val="0"/>
          <w:bCs/>
          <w:sz w:val="28"/>
          <w:szCs w:val="28"/>
        </w:rPr>
        <w:t>汽运</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lang w:val="en-US" w:eastAsia="zh-CN"/>
        </w:rPr>
        <w:t>车辆</w:t>
      </w:r>
      <w:r>
        <w:rPr>
          <w:rFonts w:hint="eastAsia" w:ascii="仿宋" w:hAnsi="仿宋" w:eastAsia="仿宋" w:cs="仿宋"/>
          <w:i w:val="0"/>
          <w:iCs w:val="0"/>
          <w:caps w:val="0"/>
          <w:color w:val="333333"/>
          <w:spacing w:val="0"/>
          <w:sz w:val="28"/>
          <w:szCs w:val="28"/>
          <w:shd w:val="clear" w:fill="FFFFFF"/>
        </w:rPr>
        <w:t>国五标准</w:t>
      </w:r>
      <w:r>
        <w:rPr>
          <w:rFonts w:hint="eastAsia" w:ascii="仿宋" w:hAnsi="仿宋" w:eastAsia="仿宋" w:cs="仿宋"/>
          <w:i w:val="0"/>
          <w:iCs w:val="0"/>
          <w:caps w:val="0"/>
          <w:color w:val="333333"/>
          <w:spacing w:val="0"/>
          <w:sz w:val="28"/>
          <w:szCs w:val="28"/>
          <w:shd w:val="clear" w:fill="FFFFFF"/>
          <w:lang w:val="en-US" w:eastAsia="zh-CN"/>
        </w:rPr>
        <w:t>或以</w:t>
      </w:r>
    </w:p>
    <w:p w14:paraId="507E28B5">
      <w:pPr>
        <w:keepNext w:val="0"/>
        <w:keepLines w:val="0"/>
        <w:pageBreakBefore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bCs/>
          <w:color w:val="auto"/>
          <w:sz w:val="28"/>
          <w:szCs w:val="28"/>
          <w:lang w:eastAsia="zh-CN"/>
        </w:rPr>
      </w:pPr>
      <w:r>
        <w:rPr>
          <w:rFonts w:hint="eastAsia" w:ascii="仿宋" w:hAnsi="仿宋" w:eastAsia="仿宋" w:cs="仿宋"/>
          <w:i w:val="0"/>
          <w:iCs w:val="0"/>
          <w:caps w:val="0"/>
          <w:color w:val="333333"/>
          <w:spacing w:val="0"/>
          <w:sz w:val="28"/>
          <w:szCs w:val="28"/>
          <w:shd w:val="clear" w:fill="FFFFFF"/>
          <w:lang w:val="en-US" w:eastAsia="zh-CN"/>
        </w:rPr>
        <w:t>上）</w:t>
      </w:r>
      <w:r>
        <w:rPr>
          <w:rFonts w:hint="eastAsia" w:ascii="仿宋" w:hAnsi="仿宋" w:eastAsia="仿宋" w:cs="仿宋"/>
          <w:b w:val="0"/>
          <w:bCs/>
          <w:sz w:val="28"/>
          <w:szCs w:val="28"/>
        </w:rPr>
        <w:t>，费用由</w:t>
      </w:r>
      <w:r>
        <w:rPr>
          <w:rFonts w:hint="eastAsia" w:ascii="仿宋" w:hAnsi="仿宋" w:eastAsia="仿宋" w:cs="仿宋"/>
          <w:b w:val="0"/>
          <w:bCs/>
          <w:sz w:val="28"/>
          <w:szCs w:val="28"/>
          <w:lang w:val="en-US" w:eastAsia="zh-CN"/>
        </w:rPr>
        <w:t>报价方</w:t>
      </w:r>
      <w:r>
        <w:rPr>
          <w:rFonts w:hint="eastAsia" w:ascii="仿宋" w:hAnsi="仿宋" w:eastAsia="仿宋" w:cs="仿宋"/>
          <w:b w:val="0"/>
          <w:bCs/>
          <w:sz w:val="28"/>
          <w:szCs w:val="28"/>
        </w:rPr>
        <w:t>承担</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rPr>
        <w:t>运输车辆必须符合国家</w:t>
      </w:r>
      <w:r>
        <w:rPr>
          <w:rFonts w:hint="eastAsia" w:ascii="仿宋" w:hAnsi="仿宋" w:eastAsia="仿宋" w:cs="仿宋"/>
          <w:b w:val="0"/>
          <w:bCs/>
          <w:sz w:val="28"/>
          <w:szCs w:val="28"/>
          <w:lang w:val="en-US" w:eastAsia="zh-CN"/>
        </w:rPr>
        <w:t>环保</w:t>
      </w:r>
      <w:r>
        <w:rPr>
          <w:rFonts w:hint="eastAsia" w:ascii="仿宋" w:hAnsi="仿宋" w:eastAsia="仿宋" w:cs="仿宋"/>
          <w:b w:val="0"/>
          <w:bCs/>
          <w:sz w:val="28"/>
          <w:szCs w:val="28"/>
        </w:rPr>
        <w:t>安全管理需要</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lang w:val="en-US" w:eastAsia="zh-CN"/>
        </w:rPr>
        <w:t>加装尾气排放装置，加盖防尘及</w:t>
      </w:r>
      <w:r>
        <w:rPr>
          <w:rFonts w:hint="eastAsia" w:ascii="仿宋" w:hAnsi="仿宋" w:eastAsia="仿宋" w:cs="仿宋"/>
          <w:b w:val="0"/>
          <w:bCs/>
          <w:sz w:val="28"/>
          <w:szCs w:val="28"/>
        </w:rPr>
        <w:t>防火安全相关设备，如灭火器、防火罩等，否则</w:t>
      </w:r>
      <w:r>
        <w:rPr>
          <w:rFonts w:hint="eastAsia" w:ascii="仿宋" w:hAnsi="仿宋" w:eastAsia="仿宋" w:cs="仿宋"/>
          <w:b w:val="0"/>
          <w:bCs/>
          <w:sz w:val="28"/>
          <w:szCs w:val="28"/>
          <w:lang w:eastAsia="zh-CN"/>
        </w:rPr>
        <w:t>不得</w:t>
      </w:r>
      <w:r>
        <w:rPr>
          <w:rFonts w:hint="eastAsia" w:ascii="仿宋" w:hAnsi="仿宋" w:eastAsia="仿宋" w:cs="仿宋"/>
          <w:b w:val="0"/>
          <w:bCs/>
          <w:sz w:val="28"/>
          <w:szCs w:val="28"/>
        </w:rPr>
        <w:t>进入</w:t>
      </w:r>
      <w:r>
        <w:rPr>
          <w:rFonts w:hint="eastAsia" w:ascii="仿宋" w:hAnsi="仿宋" w:eastAsia="仿宋" w:cs="仿宋"/>
          <w:b w:val="0"/>
          <w:bCs/>
          <w:sz w:val="28"/>
          <w:szCs w:val="28"/>
          <w:lang w:val="en-US" w:eastAsia="zh-CN"/>
        </w:rPr>
        <w:t>采购方</w:t>
      </w:r>
      <w:r>
        <w:rPr>
          <w:rFonts w:hint="eastAsia" w:ascii="仿宋" w:hAnsi="仿宋" w:eastAsia="仿宋" w:cs="仿宋"/>
          <w:b w:val="0"/>
          <w:bCs/>
          <w:sz w:val="28"/>
          <w:szCs w:val="28"/>
        </w:rPr>
        <w:t>公司厂内。</w:t>
      </w:r>
    </w:p>
    <w:p w14:paraId="24BAC03C">
      <w:pPr>
        <w:keepNext w:val="0"/>
        <w:keepLines w:val="0"/>
        <w:pageBreakBefore w:val="0"/>
        <w:widowControl w:val="0"/>
        <w:kinsoku/>
        <w:wordWrap/>
        <w:overflowPunct/>
        <w:topLinePunct w:val="0"/>
        <w:autoSpaceDE/>
        <w:autoSpaceDN/>
        <w:bidi w:val="0"/>
        <w:adjustRightInd w:val="0"/>
        <w:snapToGrid/>
        <w:spacing w:line="520" w:lineRule="exact"/>
        <w:ind w:firstLine="280" w:firstLineChars="100"/>
        <w:jc w:val="both"/>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七</w:t>
      </w:r>
      <w:r>
        <w:rPr>
          <w:rFonts w:hint="eastAsia" w:ascii="仿宋" w:hAnsi="仿宋" w:eastAsia="仿宋" w:cs="仿宋"/>
          <w:bCs/>
          <w:color w:val="auto"/>
          <w:sz w:val="28"/>
          <w:szCs w:val="28"/>
          <w:lang w:eastAsia="zh-CN"/>
        </w:rPr>
        <w:t>）合理损耗及计算方法：无损耗，以采购方计量为准。</w:t>
      </w:r>
    </w:p>
    <w:p w14:paraId="5299E127">
      <w:pPr>
        <w:keepNext w:val="0"/>
        <w:keepLines w:val="0"/>
        <w:pageBreakBefore w:val="0"/>
        <w:widowControl w:val="0"/>
        <w:kinsoku/>
        <w:wordWrap/>
        <w:overflowPunct/>
        <w:topLinePunct w:val="0"/>
        <w:autoSpaceDE/>
        <w:autoSpaceDN/>
        <w:bidi w:val="0"/>
        <w:adjustRightInd w:val="0"/>
        <w:snapToGrid/>
        <w:spacing w:line="520" w:lineRule="exact"/>
        <w:ind w:firstLine="280" w:firstLineChars="100"/>
        <w:jc w:val="both"/>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八</w:t>
      </w:r>
      <w:r>
        <w:rPr>
          <w:rFonts w:hint="eastAsia" w:ascii="仿宋" w:hAnsi="仿宋" w:eastAsia="仿宋" w:cs="仿宋"/>
          <w:bCs/>
          <w:color w:val="auto"/>
          <w:sz w:val="28"/>
          <w:szCs w:val="28"/>
          <w:lang w:eastAsia="zh-CN"/>
        </w:rPr>
        <w:t>）包装标准，包装物的供应及回收：散装。</w:t>
      </w:r>
    </w:p>
    <w:p w14:paraId="66177F4C">
      <w:pPr>
        <w:keepNext w:val="0"/>
        <w:keepLines w:val="0"/>
        <w:pageBreakBefore w:val="0"/>
        <w:widowControl w:val="0"/>
        <w:kinsoku/>
        <w:wordWrap/>
        <w:overflowPunct/>
        <w:topLinePunct w:val="0"/>
        <w:autoSpaceDE/>
        <w:autoSpaceDN/>
        <w:bidi w:val="0"/>
        <w:adjustRightInd w:val="0"/>
        <w:snapToGrid/>
        <w:spacing w:line="520" w:lineRule="exact"/>
        <w:ind w:firstLine="280" w:firstLineChars="100"/>
        <w:jc w:val="both"/>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九</w:t>
      </w:r>
      <w:r>
        <w:rPr>
          <w:rFonts w:hint="eastAsia" w:ascii="仿宋" w:hAnsi="仿宋" w:eastAsia="仿宋" w:cs="仿宋"/>
          <w:bCs/>
          <w:color w:val="auto"/>
          <w:sz w:val="28"/>
          <w:szCs w:val="28"/>
          <w:lang w:eastAsia="zh-CN"/>
        </w:rPr>
        <w:t>）验收标准、方法：依据本</w:t>
      </w:r>
      <w:r>
        <w:rPr>
          <w:rFonts w:hint="eastAsia" w:ascii="仿宋" w:hAnsi="仿宋" w:eastAsia="仿宋" w:cs="仿宋"/>
          <w:bCs/>
          <w:color w:val="auto"/>
          <w:sz w:val="28"/>
          <w:szCs w:val="28"/>
          <w:lang w:val="en-US" w:eastAsia="zh-CN"/>
        </w:rPr>
        <w:t>条</w:t>
      </w:r>
      <w:r>
        <w:rPr>
          <w:rFonts w:hint="eastAsia" w:ascii="仿宋" w:hAnsi="仿宋" w:eastAsia="仿宋" w:cs="仿宋"/>
          <w:bCs/>
          <w:color w:val="auto"/>
          <w:sz w:val="28"/>
          <w:szCs w:val="28"/>
          <w:lang w:eastAsia="zh-CN"/>
        </w:rPr>
        <w:t>第</w:t>
      </w:r>
      <w:r>
        <w:rPr>
          <w:rFonts w:hint="eastAsia" w:ascii="仿宋" w:hAnsi="仿宋" w:eastAsia="仿宋" w:cs="仿宋"/>
          <w:bCs/>
          <w:color w:val="auto"/>
          <w:sz w:val="28"/>
          <w:szCs w:val="28"/>
          <w:lang w:val="en-US" w:eastAsia="zh-CN"/>
        </w:rPr>
        <w:t>五款质量标准</w:t>
      </w:r>
      <w:r>
        <w:rPr>
          <w:rFonts w:hint="eastAsia" w:ascii="仿宋" w:hAnsi="仿宋" w:eastAsia="仿宋" w:cs="仿宋"/>
          <w:bCs/>
          <w:color w:val="auto"/>
          <w:sz w:val="28"/>
          <w:szCs w:val="28"/>
          <w:lang w:eastAsia="zh-CN"/>
        </w:rPr>
        <w:t>验收，双方共同采样，样品一式三份，双方各持一份，留仲裁样一份，以采购方化验为准结算，如一方对质量有异议，可在交货之日起7</w:t>
      </w:r>
      <w:r>
        <w:rPr>
          <w:rFonts w:hint="eastAsia" w:ascii="仿宋" w:hAnsi="仿宋" w:eastAsia="仿宋" w:cs="仿宋"/>
          <w:bCs/>
          <w:color w:val="auto"/>
          <w:sz w:val="28"/>
          <w:szCs w:val="28"/>
          <w:lang w:val="en-US" w:eastAsia="zh-CN"/>
        </w:rPr>
        <w:t>日</w:t>
      </w:r>
      <w:r>
        <w:rPr>
          <w:rFonts w:hint="eastAsia" w:ascii="仿宋" w:hAnsi="仿宋" w:eastAsia="仿宋" w:cs="仿宋"/>
          <w:bCs/>
          <w:color w:val="auto"/>
          <w:sz w:val="28"/>
          <w:szCs w:val="28"/>
          <w:lang w:eastAsia="zh-CN"/>
        </w:rPr>
        <w:t>内向有资质机构提请仲裁。</w:t>
      </w:r>
    </w:p>
    <w:p w14:paraId="4EE7A8B0">
      <w:pPr>
        <w:keepNext w:val="0"/>
        <w:keepLines w:val="0"/>
        <w:pageBreakBefore w:val="0"/>
        <w:widowControl w:val="0"/>
        <w:kinsoku/>
        <w:wordWrap/>
        <w:overflowPunct/>
        <w:topLinePunct w:val="0"/>
        <w:autoSpaceDE/>
        <w:autoSpaceDN/>
        <w:bidi w:val="0"/>
        <w:adjustRightInd w:val="0"/>
        <w:snapToGrid/>
        <w:spacing w:line="520" w:lineRule="exact"/>
        <w:ind w:firstLine="280" w:firstLineChars="100"/>
        <w:jc w:val="both"/>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十</w:t>
      </w:r>
      <w:r>
        <w:rPr>
          <w:rFonts w:hint="eastAsia" w:ascii="仿宋" w:hAnsi="仿宋" w:eastAsia="仿宋" w:cs="仿宋"/>
          <w:bCs/>
          <w:color w:val="auto"/>
          <w:sz w:val="28"/>
          <w:szCs w:val="28"/>
          <w:lang w:eastAsia="zh-CN"/>
        </w:rPr>
        <w:t>）结算方式、标准及期限：批量干量结算；含碳量每降低一个百分点，单价扣除20元/吨；灰分每上升一个百分点扣10元/吨；挥发份每上升0</w:t>
      </w:r>
      <w:r>
        <w:rPr>
          <w:rFonts w:hint="eastAsia" w:ascii="仿宋" w:hAnsi="仿宋" w:eastAsia="仿宋" w:cs="仿宋"/>
          <w:bCs/>
          <w:color w:val="auto"/>
          <w:sz w:val="28"/>
          <w:szCs w:val="28"/>
          <w:lang w:val="en-US" w:eastAsia="zh-CN"/>
        </w:rPr>
        <w:t>.</w:t>
      </w:r>
      <w:r>
        <w:rPr>
          <w:rFonts w:hint="eastAsia" w:ascii="仿宋" w:hAnsi="仿宋" w:eastAsia="仿宋" w:cs="仿宋"/>
          <w:bCs/>
          <w:color w:val="auto"/>
          <w:sz w:val="28"/>
          <w:szCs w:val="28"/>
          <w:lang w:eastAsia="zh-CN"/>
        </w:rPr>
        <w:t>1个百分点扣10元/吨； 硫每上升一个百分点扣</w:t>
      </w:r>
      <w:r>
        <w:rPr>
          <w:rFonts w:hint="eastAsia" w:ascii="仿宋" w:hAnsi="仿宋" w:eastAsia="仿宋" w:cs="仿宋"/>
          <w:bCs/>
          <w:color w:val="auto"/>
          <w:sz w:val="28"/>
          <w:szCs w:val="28"/>
          <w:lang w:val="en-US" w:eastAsia="zh-CN"/>
        </w:rPr>
        <w:t>2</w:t>
      </w:r>
      <w:r>
        <w:rPr>
          <w:rFonts w:hint="eastAsia" w:ascii="仿宋" w:hAnsi="仿宋" w:eastAsia="仿宋" w:cs="仿宋"/>
          <w:bCs/>
          <w:color w:val="auto"/>
          <w:sz w:val="28"/>
          <w:szCs w:val="28"/>
          <w:lang w:eastAsia="zh-CN"/>
        </w:rPr>
        <w:t>0元/吨，若S＞</w:t>
      </w:r>
      <w:r>
        <w:rPr>
          <w:rFonts w:hint="eastAsia" w:ascii="仿宋" w:hAnsi="仿宋" w:eastAsia="仿宋" w:cs="仿宋"/>
          <w:bCs/>
          <w:color w:val="auto"/>
          <w:sz w:val="28"/>
          <w:szCs w:val="28"/>
          <w:lang w:val="en-US" w:eastAsia="zh-CN"/>
        </w:rPr>
        <w:t>1.5</w:t>
      </w:r>
      <w:r>
        <w:rPr>
          <w:rFonts w:hint="eastAsia" w:ascii="仿宋" w:hAnsi="仿宋" w:eastAsia="仿宋" w:cs="仿宋"/>
          <w:bCs/>
          <w:color w:val="auto"/>
          <w:sz w:val="28"/>
          <w:szCs w:val="28"/>
          <w:lang w:eastAsia="zh-CN"/>
        </w:rPr>
        <w:t>%时，</w:t>
      </w:r>
      <w:r>
        <w:rPr>
          <w:rFonts w:hint="eastAsia" w:ascii="仿宋" w:hAnsi="仿宋" w:eastAsia="仿宋" w:cs="仿宋"/>
          <w:bCs/>
          <w:color w:val="auto"/>
          <w:sz w:val="28"/>
          <w:szCs w:val="28"/>
          <w:lang w:val="en-US" w:eastAsia="zh-CN"/>
        </w:rPr>
        <w:t>扣40元/吨。</w:t>
      </w:r>
      <w:r>
        <w:rPr>
          <w:rFonts w:hint="eastAsia" w:ascii="仿宋" w:hAnsi="仿宋" w:eastAsia="仿宋" w:cs="仿宋"/>
          <w:bCs/>
          <w:color w:val="auto"/>
          <w:sz w:val="28"/>
          <w:szCs w:val="28"/>
          <w:lang w:eastAsia="zh-CN"/>
        </w:rPr>
        <w:t>若</w:t>
      </w:r>
      <w:r>
        <w:rPr>
          <w:rFonts w:hint="eastAsia" w:ascii="仿宋" w:hAnsi="仿宋" w:eastAsia="仿宋" w:cs="仿宋"/>
          <w:bCs/>
          <w:color w:val="auto"/>
          <w:sz w:val="28"/>
          <w:szCs w:val="28"/>
          <w:lang w:val="en-US" w:eastAsia="zh-CN"/>
        </w:rPr>
        <w:t>二工区用焦沫</w:t>
      </w:r>
      <w:r>
        <w:rPr>
          <w:rFonts w:hint="eastAsia" w:ascii="仿宋" w:hAnsi="仿宋" w:eastAsia="仿宋" w:cs="仿宋"/>
          <w:bCs/>
          <w:color w:val="auto"/>
          <w:sz w:val="28"/>
          <w:szCs w:val="28"/>
          <w:lang w:eastAsia="zh-CN"/>
        </w:rPr>
        <w:t>单车粒度小于5mm的占整车粒度的</w:t>
      </w:r>
      <w:r>
        <w:rPr>
          <w:rFonts w:hint="eastAsia" w:ascii="仿宋" w:hAnsi="仿宋" w:eastAsia="仿宋" w:cs="仿宋"/>
          <w:bCs/>
          <w:color w:val="auto"/>
          <w:sz w:val="28"/>
          <w:szCs w:val="28"/>
          <w:lang w:val="en-US" w:eastAsia="zh-CN"/>
        </w:rPr>
        <w:t>50</w:t>
      </w:r>
      <w:r>
        <w:rPr>
          <w:rFonts w:hint="eastAsia" w:ascii="仿宋" w:hAnsi="仿宋" w:eastAsia="仿宋" w:cs="仿宋"/>
          <w:bCs/>
          <w:color w:val="auto"/>
          <w:sz w:val="28"/>
          <w:szCs w:val="28"/>
          <w:lang w:eastAsia="zh-CN"/>
        </w:rPr>
        <w:t>%以上时，拒收；在供应过程中若</w:t>
      </w:r>
      <w:r>
        <w:rPr>
          <w:rFonts w:hint="eastAsia" w:ascii="仿宋" w:hAnsi="仿宋" w:eastAsia="仿宋" w:cs="仿宋"/>
          <w:bCs/>
          <w:color w:val="auto"/>
          <w:sz w:val="28"/>
          <w:szCs w:val="28"/>
          <w:lang w:val="en-US" w:eastAsia="zh-CN"/>
        </w:rPr>
        <w:t>所送焦沫</w:t>
      </w:r>
      <w:r>
        <w:rPr>
          <w:rFonts w:hint="eastAsia" w:ascii="仿宋" w:hAnsi="仿宋" w:eastAsia="仿宋" w:cs="仿宋"/>
          <w:bCs/>
          <w:color w:val="auto"/>
          <w:sz w:val="28"/>
          <w:szCs w:val="28"/>
          <w:lang w:eastAsia="zh-CN"/>
        </w:rPr>
        <w:t>固定碳小于</w:t>
      </w:r>
      <w:r>
        <w:rPr>
          <w:rFonts w:hint="eastAsia" w:ascii="仿宋" w:hAnsi="仿宋" w:eastAsia="仿宋" w:cs="仿宋"/>
          <w:bCs/>
          <w:color w:val="auto"/>
          <w:sz w:val="28"/>
          <w:szCs w:val="28"/>
          <w:lang w:val="en-US" w:eastAsia="zh-CN"/>
        </w:rPr>
        <w:t>75</w:t>
      </w:r>
      <w:r>
        <w:rPr>
          <w:rFonts w:hint="eastAsia" w:ascii="仿宋" w:hAnsi="仿宋" w:eastAsia="仿宋" w:cs="仿宋"/>
          <w:bCs/>
          <w:color w:val="auto"/>
          <w:sz w:val="28"/>
          <w:szCs w:val="28"/>
          <w:lang w:eastAsia="zh-CN"/>
        </w:rPr>
        <w:t>%、灰分大于2</w:t>
      </w:r>
      <w:r>
        <w:rPr>
          <w:rFonts w:hint="eastAsia" w:ascii="仿宋" w:hAnsi="仿宋" w:eastAsia="仿宋" w:cs="仿宋"/>
          <w:bCs/>
          <w:color w:val="auto"/>
          <w:sz w:val="28"/>
          <w:szCs w:val="28"/>
          <w:lang w:val="en-US" w:eastAsia="zh-CN"/>
        </w:rPr>
        <w:t>0</w:t>
      </w:r>
      <w:r>
        <w:rPr>
          <w:rFonts w:hint="eastAsia" w:ascii="仿宋" w:hAnsi="仿宋" w:eastAsia="仿宋" w:cs="仿宋"/>
          <w:bCs/>
          <w:color w:val="auto"/>
          <w:sz w:val="28"/>
          <w:szCs w:val="28"/>
          <w:lang w:eastAsia="zh-CN"/>
        </w:rPr>
        <w:t>%、挥发份大于</w:t>
      </w:r>
      <w:r>
        <w:rPr>
          <w:rFonts w:hint="eastAsia" w:ascii="仿宋" w:hAnsi="仿宋" w:eastAsia="仿宋" w:cs="仿宋"/>
          <w:bCs/>
          <w:color w:val="auto"/>
          <w:sz w:val="28"/>
          <w:szCs w:val="28"/>
          <w:lang w:val="en-US" w:eastAsia="zh-CN"/>
        </w:rPr>
        <w:t>6.5</w:t>
      </w:r>
      <w:r>
        <w:rPr>
          <w:rFonts w:hint="eastAsia" w:ascii="仿宋" w:hAnsi="仿宋" w:eastAsia="仿宋" w:cs="仿宋"/>
          <w:bCs/>
          <w:color w:val="auto"/>
          <w:sz w:val="28"/>
          <w:szCs w:val="28"/>
          <w:lang w:eastAsia="zh-CN"/>
        </w:rPr>
        <w:t>%、硫大于</w:t>
      </w:r>
      <w:r>
        <w:rPr>
          <w:rFonts w:hint="eastAsia" w:ascii="仿宋" w:hAnsi="仿宋" w:eastAsia="仿宋" w:cs="仿宋"/>
          <w:bCs/>
          <w:color w:val="auto"/>
          <w:sz w:val="28"/>
          <w:szCs w:val="28"/>
          <w:lang w:val="en-US" w:eastAsia="zh-CN"/>
        </w:rPr>
        <w:t>2</w:t>
      </w:r>
      <w:r>
        <w:rPr>
          <w:rFonts w:hint="eastAsia" w:ascii="仿宋" w:hAnsi="仿宋" w:eastAsia="仿宋" w:cs="仿宋"/>
          <w:bCs/>
          <w:color w:val="auto"/>
          <w:sz w:val="28"/>
          <w:szCs w:val="28"/>
          <w:lang w:eastAsia="zh-CN"/>
        </w:rPr>
        <w:t>%时，单项指标任意一项超标，超标总量占该批送货量的5%时，终止其供货资格；对于超标数量结算时，结算价按合同价先降低100元/吨，其余单项超标再按合同约定扣款结算；</w:t>
      </w:r>
    </w:p>
    <w:p w14:paraId="016A8CBC">
      <w:pPr>
        <w:kinsoku/>
        <w:wordWrap/>
        <w:overflowPunct/>
        <w:topLinePunct w:val="0"/>
        <w:autoSpaceDE/>
        <w:autoSpaceDN/>
        <w:bidi w:val="0"/>
        <w:snapToGrid/>
        <w:spacing w:line="520" w:lineRule="exact"/>
        <w:ind w:firstLine="280" w:firstLineChars="10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十一</w:t>
      </w:r>
      <w:r>
        <w:rPr>
          <w:rFonts w:hint="eastAsia" w:ascii="仿宋" w:hAnsi="仿宋" w:eastAsia="仿宋" w:cs="仿宋"/>
          <w:color w:val="auto"/>
          <w:sz w:val="28"/>
          <w:szCs w:val="28"/>
          <w:lang w:eastAsia="zh-CN"/>
        </w:rPr>
        <w:t>）付款方式：</w:t>
      </w:r>
    </w:p>
    <w:p w14:paraId="2E13BF54">
      <w:pPr>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供方结算后开具</w:t>
      </w:r>
      <w:r>
        <w:rPr>
          <w:rFonts w:hint="eastAsia" w:ascii="仿宋" w:hAnsi="仿宋" w:eastAsia="仿宋" w:cs="仿宋"/>
          <w:color w:val="auto"/>
          <w:sz w:val="28"/>
          <w:szCs w:val="28"/>
          <w:lang w:eastAsia="zh-CN"/>
        </w:rPr>
        <w:t>全额增值税发票，票到</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月内付款。</w:t>
      </w:r>
    </w:p>
    <w:p w14:paraId="7AC338B0">
      <w:pPr>
        <w:kinsoku/>
        <w:wordWrap/>
        <w:overflowPunct/>
        <w:topLinePunct w:val="0"/>
        <w:autoSpaceDE/>
        <w:autoSpaceDN/>
        <w:bidi w:val="0"/>
        <w:snapToGrid/>
        <w:spacing w:line="520" w:lineRule="exact"/>
        <w:ind w:firstLine="280" w:firstLineChars="10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十二</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资格和履约能力要求</w:t>
      </w:r>
      <w:bookmarkEnd w:id="8"/>
      <w:bookmarkEnd w:id="9"/>
      <w:bookmarkEnd w:id="10"/>
      <w:bookmarkEnd w:id="11"/>
      <w:r>
        <w:rPr>
          <w:rFonts w:hint="eastAsia" w:ascii="仿宋" w:hAnsi="仿宋" w:eastAsia="仿宋" w:cs="仿宋"/>
          <w:color w:val="auto"/>
          <w:sz w:val="28"/>
          <w:szCs w:val="28"/>
          <w:lang w:eastAsia="zh-CN"/>
        </w:rPr>
        <w:t>：</w:t>
      </w:r>
    </w:p>
    <w:p w14:paraId="60A712A5">
      <w:pPr>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资质要求：</w:t>
      </w:r>
    </w:p>
    <w:p w14:paraId="0B1579C7">
      <w:pPr>
        <w:keepNext w:val="0"/>
        <w:keepLines w:val="0"/>
        <w:pageBreakBefore w:val="0"/>
        <w:widowControl/>
        <w:suppressLineNumbers w:val="0"/>
        <w:kinsoku/>
        <w:wordWrap/>
        <w:overflowPunct/>
        <w:topLinePunct w:val="0"/>
        <w:autoSpaceDE/>
        <w:autoSpaceDN/>
        <w:bidi w:val="0"/>
        <w:adjustRightInd/>
        <w:snapToGrid/>
        <w:spacing w:line="520" w:lineRule="exact"/>
        <w:ind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（1）供应商须为中华人民共和国境内依法注册的法人或者其他组织，有能力完成本项目的厂家或经销商，具备合法的营业执照；</w:t>
      </w:r>
    </w:p>
    <w:p w14:paraId="03623D00">
      <w:pPr>
        <w:kinsoku/>
        <w:wordWrap/>
        <w:overflowPunct/>
        <w:topLinePunct w:val="0"/>
        <w:autoSpaceDE/>
        <w:autoSpaceDN/>
        <w:bidi w:val="0"/>
        <w:snapToGrid/>
        <w:spacing w:line="52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（2）供应商已取得陕西锌业有限公司供应商库该类产品入库供应商资格。</w:t>
      </w:r>
    </w:p>
    <w:p w14:paraId="7625647E">
      <w:pPr>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信用要求：</w:t>
      </w:r>
    </w:p>
    <w:p w14:paraId="2114E8D9">
      <w:pPr>
        <w:numPr>
          <w:ilvl w:val="0"/>
          <w:numId w:val="0"/>
        </w:numPr>
        <w:kinsoku/>
        <w:wordWrap/>
        <w:overflowPunct/>
        <w:topLinePunct w:val="0"/>
        <w:autoSpaceDE/>
        <w:autoSpaceDN/>
        <w:bidi w:val="0"/>
        <w:snapToGrid/>
        <w:spacing w:line="52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（1）供应商具有良好的银行资信和商业信誉，没有处于被责令停业、财产被接管、冻结、破产状态（附承诺书）；</w:t>
      </w:r>
    </w:p>
    <w:p w14:paraId="4B12258A">
      <w:pPr>
        <w:kinsoku/>
        <w:wordWrap/>
        <w:overflowPunct/>
        <w:topLinePunct w:val="0"/>
        <w:autoSpaceDE/>
        <w:autoSpaceDN/>
        <w:bidi w:val="0"/>
        <w:snapToGrid/>
        <w:spacing w:line="52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（2）供应商不得在“信用中国-中国执行信息公开网”被列为失信被执行人；</w:t>
      </w:r>
    </w:p>
    <w:p w14:paraId="1DB8B393">
      <w:pPr>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业绩要求：</w:t>
      </w:r>
      <w:r>
        <w:rPr>
          <w:rFonts w:hint="eastAsia" w:ascii="仿宋" w:hAnsi="仿宋" w:eastAsia="仿宋" w:cs="仿宋"/>
          <w:color w:val="auto"/>
          <w:sz w:val="28"/>
          <w:szCs w:val="28"/>
          <w:lang w:val="en-US" w:eastAsia="zh-CN"/>
        </w:rPr>
        <w:t>供应商2023年5月至今具有类似业绩（提供合同复印件，时间以合同签订时间为准）；</w:t>
      </w:r>
    </w:p>
    <w:p w14:paraId="04C0E152">
      <w:pPr>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4.联合体响应：本项目不接受联合体响应。</w:t>
      </w:r>
    </w:p>
    <w:p w14:paraId="241F152A">
      <w:pPr>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其他要求：</w:t>
      </w:r>
    </w:p>
    <w:p w14:paraId="5C6CE151">
      <w:pPr>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不得存在下列情形之一：</w:t>
      </w:r>
    </w:p>
    <w:p w14:paraId="539C389B">
      <w:pPr>
        <w:kinsoku/>
        <w:wordWrap/>
        <w:overflowPunct/>
        <w:topLinePunct w:val="0"/>
        <w:autoSpaceDE/>
        <w:autoSpaceDN/>
        <w:bidi w:val="0"/>
        <w:snapToGrid/>
        <w:spacing w:line="52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存在利害关系可能影响</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公正性；</w:t>
      </w:r>
    </w:p>
    <w:p w14:paraId="77F56EEC">
      <w:pPr>
        <w:kinsoku/>
        <w:wordWrap/>
        <w:overflowPunct/>
        <w:topLinePunct w:val="0"/>
        <w:autoSpaceDE/>
        <w:autoSpaceDN/>
        <w:bidi w:val="0"/>
        <w:snapToGrid/>
        <w:spacing w:line="52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法定代表人（单位负责人）为同一人或者存在控股、管理关系的不同法人或其他组织同时参加</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w:t>
      </w:r>
    </w:p>
    <w:p w14:paraId="373FA8A4">
      <w:pPr>
        <w:kinsoku/>
        <w:wordWrap/>
        <w:overflowPunct/>
        <w:topLinePunct w:val="0"/>
        <w:autoSpaceDE/>
        <w:autoSpaceDN/>
        <w:bidi w:val="0"/>
        <w:snapToGrid/>
        <w:spacing w:line="52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被依法暂停或者取消</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 xml:space="preserve">资格； </w:t>
      </w:r>
    </w:p>
    <w:p w14:paraId="0A7B11CA">
      <w:pPr>
        <w:kinsoku/>
        <w:wordWrap/>
        <w:overflowPunct/>
        <w:topLinePunct w:val="0"/>
        <w:autoSpaceDE/>
        <w:autoSpaceDN/>
        <w:bidi w:val="0"/>
        <w:snapToGrid/>
        <w:spacing w:line="52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被责令停产停业、暂扣或者吊销许可证、暂扣或者吊销执照；</w:t>
      </w:r>
    </w:p>
    <w:p w14:paraId="4BFC61E0">
      <w:pPr>
        <w:kinsoku/>
        <w:wordWrap/>
        <w:overflowPunct/>
        <w:topLinePunct w:val="0"/>
        <w:autoSpaceDE/>
        <w:autoSpaceDN/>
        <w:bidi w:val="0"/>
        <w:snapToGrid/>
        <w:spacing w:line="52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进入清算程序，或被宣告破产，或其他丧失履约能力的情形；</w:t>
      </w:r>
    </w:p>
    <w:p w14:paraId="2D194507">
      <w:pPr>
        <w:kinsoku/>
        <w:wordWrap/>
        <w:overflowPunct/>
        <w:topLinePunct w:val="0"/>
        <w:autoSpaceDE/>
        <w:autoSpaceDN/>
        <w:bidi w:val="0"/>
        <w:snapToGrid/>
        <w:spacing w:line="52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在最近三年内发生重大产品质量问题；</w:t>
      </w:r>
    </w:p>
    <w:p w14:paraId="1717BC4F">
      <w:pPr>
        <w:kinsoku/>
        <w:wordWrap/>
        <w:overflowPunct/>
        <w:topLinePunct w:val="0"/>
        <w:autoSpaceDE/>
        <w:autoSpaceDN/>
        <w:bidi w:val="0"/>
        <w:snapToGrid/>
        <w:spacing w:line="520" w:lineRule="exact"/>
        <w:ind w:left="0" w:firstLine="280" w:firstLineChars="100"/>
        <w:jc w:val="both"/>
        <w:rPr>
          <w:rFonts w:hint="eastAsia" w:ascii="仿宋" w:hAnsi="仿宋" w:eastAsia="仿宋" w:cs="仿宋"/>
          <w:i w:val="0"/>
          <w:iCs w:val="0"/>
          <w:caps w:val="0"/>
          <w:color w:val="000000"/>
          <w:spacing w:val="0"/>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法律法规规定的其他情形。</w:t>
      </w:r>
    </w:p>
    <w:p w14:paraId="455A7313">
      <w:pPr>
        <w:pStyle w:val="14"/>
        <w:keepNext w:val="0"/>
        <w:keepLines w:val="0"/>
        <w:pageBreakBefore w:val="0"/>
        <w:shd w:val="clear" w:color="auto" w:fill="auto"/>
        <w:kinsoku/>
        <w:wordWrap/>
        <w:overflowPunct/>
        <w:topLinePunct w:val="0"/>
        <w:autoSpaceDE/>
        <w:autoSpaceDN/>
        <w:bidi w:val="0"/>
        <w:adjustRightInd/>
        <w:snapToGrid/>
        <w:spacing w:beforeLines="50" w:after="120" w:afterLines="50" w:line="520" w:lineRule="exact"/>
        <w:ind w:firstLine="562" w:firstLineChars="200"/>
        <w:textAlignment w:val="auto"/>
        <w:rPr>
          <w:rFonts w:hint="eastAsia" w:ascii="仿宋" w:hAnsi="仿宋" w:eastAsia="仿宋" w:cs="仿宋"/>
          <w:b/>
          <w:bCs/>
          <w:color w:val="auto"/>
          <w:spacing w:val="1"/>
          <w:sz w:val="28"/>
          <w:szCs w:val="28"/>
          <w:highlight w:val="none"/>
          <w:lang w:eastAsia="zh-CN"/>
        </w:rPr>
      </w:pPr>
      <w:r>
        <w:rPr>
          <w:rFonts w:hint="eastAsia" w:ascii="仿宋" w:hAnsi="仿宋" w:eastAsia="仿宋" w:cs="仿宋"/>
          <w:b/>
          <w:bCs/>
          <w:color w:val="auto"/>
          <w:sz w:val="28"/>
          <w:szCs w:val="28"/>
          <w:lang w:val="en-US" w:eastAsia="zh-CN"/>
        </w:rPr>
        <w:t>二、</w:t>
      </w:r>
      <w:r>
        <w:rPr>
          <w:rFonts w:hint="eastAsia" w:ascii="仿宋" w:hAnsi="仿宋" w:eastAsia="仿宋" w:cs="仿宋"/>
          <w:b/>
          <w:bCs/>
          <w:color w:val="auto"/>
          <w:spacing w:val="1"/>
          <w:sz w:val="28"/>
          <w:szCs w:val="28"/>
          <w:highlight w:val="none"/>
          <w:lang w:eastAsia="zh-CN"/>
        </w:rPr>
        <w:t>询比采购文件的获取</w:t>
      </w:r>
    </w:p>
    <w:p w14:paraId="755844E9">
      <w:pPr>
        <w:pStyle w:val="14"/>
        <w:keepNext w:val="0"/>
        <w:keepLines w:val="0"/>
        <w:pageBreakBefore w:val="0"/>
        <w:shd w:val="clear" w:color="auto" w:fill="auto"/>
        <w:kinsoku/>
        <w:wordWrap/>
        <w:overflowPunct/>
        <w:topLinePunct w:val="0"/>
        <w:autoSpaceDE/>
        <w:autoSpaceDN/>
        <w:bidi w:val="0"/>
        <w:adjustRightInd/>
        <w:snapToGrid/>
        <w:spacing w:beforeLines="50" w:after="120" w:afterLines="50" w:line="520" w:lineRule="exact"/>
        <w:ind w:firstLine="564" w:firstLineChars="200"/>
        <w:textAlignment w:val="auto"/>
        <w:rPr>
          <w:rFonts w:hint="eastAsia" w:ascii="仿宋" w:hAnsi="仿宋" w:eastAsia="仿宋" w:cs="仿宋"/>
          <w:color w:val="auto"/>
          <w:spacing w:val="1"/>
          <w:sz w:val="28"/>
          <w:szCs w:val="28"/>
          <w:highlight w:val="none"/>
          <w:lang w:val="en-US" w:eastAsia="zh-CN"/>
        </w:rPr>
      </w:pPr>
      <w:r>
        <w:rPr>
          <w:rFonts w:hint="eastAsia" w:ascii="仿宋" w:hAnsi="仿宋" w:eastAsia="仿宋" w:cs="仿宋"/>
          <w:color w:val="auto"/>
          <w:spacing w:val="1"/>
          <w:sz w:val="28"/>
          <w:szCs w:val="28"/>
          <w:highlight w:val="none"/>
          <w:lang w:val="en-US" w:eastAsia="zh-CN"/>
        </w:rPr>
        <w:t>询比采购文件在陕西锌业有限公司网络询比采购平台（www.sxxyjjpt.com）发布，符合条件的供应商可自行下载采购文件。</w:t>
      </w:r>
    </w:p>
    <w:p w14:paraId="4A04484A">
      <w:pPr>
        <w:pStyle w:val="4"/>
        <w:kinsoku/>
        <w:wordWrap/>
        <w:overflowPunct/>
        <w:topLinePunct w:val="0"/>
        <w:autoSpaceDE/>
        <w:autoSpaceDN/>
        <w:bidi w:val="0"/>
        <w:snapToGrid/>
        <w:spacing w:before="0" w:after="0" w:line="520" w:lineRule="exact"/>
        <w:ind w:left="0" w:leftChars="0" w:firstLine="562" w:firstLineChars="200"/>
        <w:jc w:val="both"/>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val="en-US" w:eastAsia="zh-CN"/>
        </w:rPr>
        <w:t>三、供应商</w:t>
      </w:r>
      <w:r>
        <w:rPr>
          <w:rFonts w:hint="eastAsia" w:ascii="仿宋" w:hAnsi="仿宋" w:eastAsia="仿宋" w:cs="仿宋"/>
          <w:b/>
          <w:bCs/>
          <w:color w:val="auto"/>
          <w:sz w:val="28"/>
          <w:szCs w:val="28"/>
          <w:lang w:eastAsia="zh-CN"/>
        </w:rPr>
        <w:t>响应</w:t>
      </w:r>
    </w:p>
    <w:p w14:paraId="1782172A">
      <w:pPr>
        <w:rPr>
          <w:rFonts w:hint="eastAsia" w:ascii="仿宋" w:hAnsi="仿宋" w:eastAsia="仿宋" w:cs="仿宋"/>
          <w:sz w:val="28"/>
          <w:szCs w:val="28"/>
          <w:lang w:val="en-US"/>
        </w:rPr>
      </w:pPr>
      <w:r>
        <w:rPr>
          <w:rFonts w:hint="eastAsia" w:ascii="仿宋" w:hAnsi="仿宋" w:eastAsia="仿宋" w:cs="仿宋"/>
          <w:b/>
          <w:bCs/>
          <w:color w:val="auto"/>
          <w:sz w:val="28"/>
          <w:szCs w:val="28"/>
          <w:lang w:val="en-US" w:eastAsia="zh-CN"/>
        </w:rPr>
        <w:t xml:space="preserve">   </w:t>
      </w:r>
      <w:r>
        <w:rPr>
          <w:rFonts w:hint="eastAsia" w:ascii="仿宋" w:hAnsi="仿宋" w:eastAsia="仿宋" w:cs="仿宋"/>
          <w:b w:val="0"/>
          <w:bCs w:val="0"/>
          <w:color w:val="auto"/>
          <w:sz w:val="28"/>
          <w:szCs w:val="28"/>
          <w:lang w:val="en-US" w:eastAsia="zh-CN"/>
        </w:rPr>
        <w:t>（一）响应报价</w:t>
      </w:r>
    </w:p>
    <w:p w14:paraId="5313A595">
      <w:pPr>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应</w:t>
      </w:r>
      <w:r>
        <w:rPr>
          <w:rFonts w:hint="eastAsia" w:ascii="仿宋" w:hAnsi="仿宋" w:eastAsia="仿宋" w:cs="仿宋"/>
          <w:color w:val="auto"/>
          <w:sz w:val="28"/>
          <w:szCs w:val="28"/>
          <w:lang w:val="en-US" w:eastAsia="zh-CN"/>
        </w:rPr>
        <w:t>按</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格式”要求在</w:t>
      </w:r>
      <w:r>
        <w:rPr>
          <w:rFonts w:hint="eastAsia" w:ascii="仿宋" w:hAnsi="仿宋" w:eastAsia="仿宋" w:cs="仿宋"/>
          <w:color w:val="auto"/>
          <w:sz w:val="28"/>
          <w:szCs w:val="28"/>
          <w:lang w:eastAsia="zh-CN"/>
        </w:rPr>
        <w:t>响应函</w:t>
      </w:r>
      <w:r>
        <w:rPr>
          <w:rFonts w:hint="eastAsia" w:ascii="仿宋" w:hAnsi="仿宋" w:eastAsia="仿宋" w:cs="仿宋"/>
          <w:color w:val="auto"/>
          <w:sz w:val="28"/>
          <w:szCs w:val="28"/>
        </w:rPr>
        <w:t>中进行报价并填写</w:t>
      </w:r>
      <w:r>
        <w:rPr>
          <w:rFonts w:hint="eastAsia" w:ascii="仿宋" w:hAnsi="仿宋" w:eastAsia="仿宋" w:cs="仿宋"/>
          <w:color w:val="auto"/>
          <w:sz w:val="28"/>
          <w:szCs w:val="28"/>
          <w:lang w:eastAsia="zh-CN"/>
        </w:rPr>
        <w:t>响应文件的</w:t>
      </w:r>
      <w:r>
        <w:rPr>
          <w:rFonts w:hint="eastAsia" w:ascii="仿宋" w:hAnsi="仿宋" w:eastAsia="仿宋" w:cs="仿宋"/>
          <w:color w:val="auto"/>
          <w:sz w:val="28"/>
          <w:szCs w:val="28"/>
          <w:lang w:val="en-US" w:eastAsia="zh-CN"/>
        </w:rPr>
        <w:t>开启</w:t>
      </w:r>
      <w:r>
        <w:rPr>
          <w:rFonts w:hint="eastAsia" w:ascii="仿宋" w:hAnsi="仿宋" w:eastAsia="仿宋" w:cs="仿宋"/>
          <w:color w:val="auto"/>
          <w:sz w:val="28"/>
          <w:szCs w:val="28"/>
        </w:rPr>
        <w:t>一览表。</w:t>
      </w:r>
    </w:p>
    <w:p w14:paraId="7B2E97F6">
      <w:pPr>
        <w:pStyle w:val="6"/>
        <w:numPr>
          <w:ilvl w:val="0"/>
          <w:numId w:val="0"/>
        </w:numPr>
        <w:kinsoku/>
        <w:wordWrap/>
        <w:overflowPunct/>
        <w:topLinePunct w:val="0"/>
        <w:autoSpaceDE/>
        <w:autoSpaceDN/>
        <w:bidi w:val="0"/>
        <w:snapToGrid/>
        <w:spacing w:after="0" w:line="520" w:lineRule="exact"/>
        <w:ind w:left="0" w:firstLine="560" w:firstLineChars="200"/>
        <w:jc w:val="both"/>
        <w:rPr>
          <w:rFonts w:hint="eastAsia" w:ascii="仿宋" w:hAnsi="仿宋" w:eastAsia="仿宋" w:cs="仿宋"/>
          <w:sz w:val="28"/>
          <w:szCs w:val="28"/>
          <w:highlight w:val="none"/>
        </w:rPr>
      </w:pPr>
      <w:r>
        <w:rPr>
          <w:rFonts w:hint="eastAsia" w:ascii="仿宋" w:hAnsi="仿宋" w:eastAsia="仿宋" w:cs="仿宋"/>
          <w:color w:val="auto"/>
          <w:sz w:val="28"/>
          <w:szCs w:val="28"/>
          <w:lang w:val="en-US" w:eastAsia="zh-CN"/>
        </w:rPr>
        <w:t>2.</w:t>
      </w:r>
      <w:r>
        <w:rPr>
          <w:rFonts w:hint="eastAsia" w:ascii="仿宋" w:hAnsi="仿宋" w:eastAsia="仿宋" w:cs="仿宋"/>
          <w:sz w:val="28"/>
          <w:szCs w:val="28"/>
        </w:rPr>
        <w:t>报价</w:t>
      </w:r>
      <w:r>
        <w:rPr>
          <w:rFonts w:hint="eastAsia" w:ascii="仿宋" w:hAnsi="仿宋" w:eastAsia="仿宋" w:cs="仿宋"/>
          <w:sz w:val="28"/>
          <w:szCs w:val="28"/>
          <w:highlight w:val="none"/>
        </w:rPr>
        <w:t>包括商检费、运输费、保险费、税费以及采购人指定地点全包价。该价款不因原料、材料、劳务、能源等市场价格的变动而变动。</w:t>
      </w:r>
    </w:p>
    <w:p w14:paraId="235BE6B8">
      <w:pPr>
        <w:pStyle w:val="6"/>
        <w:numPr>
          <w:ilvl w:val="0"/>
          <w:numId w:val="0"/>
        </w:numPr>
        <w:kinsoku/>
        <w:wordWrap/>
        <w:overflowPunct/>
        <w:topLinePunct w:val="0"/>
        <w:autoSpaceDE/>
        <w:autoSpaceDN/>
        <w:bidi w:val="0"/>
        <w:snapToGrid/>
        <w:spacing w:after="0"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响应文件递交截止时间</w:t>
      </w:r>
      <w:r>
        <w:rPr>
          <w:rFonts w:hint="eastAsia" w:ascii="仿宋" w:hAnsi="仿宋" w:eastAsia="仿宋" w:cs="仿宋"/>
          <w:color w:val="auto"/>
          <w:sz w:val="28"/>
          <w:szCs w:val="28"/>
        </w:rPr>
        <w:t>前修改</w:t>
      </w:r>
      <w:r>
        <w:rPr>
          <w:rFonts w:hint="eastAsia" w:ascii="仿宋" w:hAnsi="仿宋" w:eastAsia="仿宋" w:cs="仿宋"/>
          <w:color w:val="auto"/>
          <w:sz w:val="28"/>
          <w:szCs w:val="28"/>
          <w:lang w:eastAsia="zh-CN"/>
        </w:rPr>
        <w:t>响应函</w:t>
      </w:r>
      <w:r>
        <w:rPr>
          <w:rFonts w:hint="eastAsia" w:ascii="仿宋" w:hAnsi="仿宋" w:eastAsia="仿宋" w:cs="仿宋"/>
          <w:color w:val="auto"/>
          <w:sz w:val="28"/>
          <w:szCs w:val="28"/>
        </w:rPr>
        <w:t>中的</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总额，应同时修</w:t>
      </w:r>
      <w:bookmarkStart w:id="12" w:name="_Toc361508598"/>
      <w:bookmarkStart w:id="13" w:name="_Toc300834963"/>
      <w:bookmarkStart w:id="14" w:name="_Toc247527567"/>
      <w:bookmarkStart w:id="15" w:name="_Toc144974510"/>
      <w:bookmarkStart w:id="16" w:name="_Toc369531529"/>
      <w:bookmarkStart w:id="17" w:name="_Toc247513966"/>
      <w:bookmarkStart w:id="18" w:name="_Toc25772"/>
      <w:bookmarkStart w:id="19" w:name="_Toc152045542"/>
      <w:bookmarkStart w:id="20" w:name="_Toc352691486"/>
      <w:bookmarkStart w:id="21" w:name="_Toc152042318"/>
      <w:bookmarkStart w:id="22" w:name="_Toc384308223"/>
      <w:r>
        <w:rPr>
          <w:rFonts w:hint="eastAsia" w:ascii="仿宋" w:hAnsi="仿宋" w:eastAsia="仿宋" w:cs="仿宋"/>
          <w:color w:val="auto"/>
          <w:sz w:val="28"/>
          <w:szCs w:val="28"/>
        </w:rPr>
        <w:t>改</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响应文件的开启</w:t>
      </w:r>
      <w:r>
        <w:rPr>
          <w:rFonts w:hint="eastAsia" w:ascii="仿宋" w:hAnsi="仿宋" w:eastAsia="仿宋" w:cs="仿宋"/>
          <w:color w:val="auto"/>
          <w:sz w:val="28"/>
          <w:szCs w:val="28"/>
        </w:rPr>
        <w:t>一览表”、</w:t>
      </w:r>
      <w:bookmarkEnd w:id="12"/>
      <w:bookmarkEnd w:id="13"/>
      <w:bookmarkEnd w:id="14"/>
      <w:bookmarkEnd w:id="15"/>
      <w:bookmarkEnd w:id="16"/>
      <w:bookmarkEnd w:id="17"/>
      <w:bookmarkEnd w:id="18"/>
      <w:bookmarkEnd w:id="19"/>
      <w:bookmarkEnd w:id="20"/>
      <w:bookmarkEnd w:id="21"/>
      <w:bookmarkEnd w:id="22"/>
      <w:bookmarkStart w:id="23" w:name="_Toc361508599"/>
      <w:bookmarkStart w:id="24" w:name="_Toc300834964"/>
      <w:bookmarkStart w:id="25" w:name="_Toc369531530"/>
      <w:bookmarkStart w:id="26" w:name="_Toc15242"/>
      <w:bookmarkStart w:id="27" w:name="_Toc247513967"/>
      <w:bookmarkStart w:id="28" w:name="_Toc247527568"/>
      <w:bookmarkStart w:id="29" w:name="_Toc152045543"/>
      <w:bookmarkStart w:id="30" w:name="_Toc384308224"/>
      <w:bookmarkStart w:id="31" w:name="_Toc352691487"/>
      <w:bookmarkStart w:id="32" w:name="_Toc152042319"/>
      <w:bookmarkStart w:id="33" w:name="_Toc144974511"/>
      <w:r>
        <w:rPr>
          <w:rFonts w:hint="eastAsia" w:ascii="仿宋" w:hAnsi="仿宋" w:eastAsia="仿宋" w:cs="仿宋"/>
          <w:color w:val="auto"/>
          <w:sz w:val="28"/>
          <w:szCs w:val="28"/>
        </w:rPr>
        <w:t>“分项报价表”中的相应报价。</w:t>
      </w:r>
      <w:bookmarkEnd w:id="23"/>
      <w:bookmarkEnd w:id="24"/>
      <w:bookmarkEnd w:id="25"/>
      <w:bookmarkEnd w:id="26"/>
      <w:bookmarkEnd w:id="27"/>
      <w:bookmarkEnd w:id="28"/>
      <w:bookmarkEnd w:id="29"/>
      <w:bookmarkEnd w:id="30"/>
      <w:bookmarkEnd w:id="31"/>
      <w:bookmarkEnd w:id="32"/>
      <w:bookmarkEnd w:id="33"/>
    </w:p>
    <w:p w14:paraId="63CE80D9">
      <w:pPr>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为各分项报价金额之和，</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与分项报价的合价不一致的，应以各分项合价累计数为准，修正</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w:t>
      </w:r>
    </w:p>
    <w:p w14:paraId="0DD43B69">
      <w:pPr>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成交供应商</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是</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、签订合同及合同执行过程中的依据，不得进行实质性变动。</w:t>
      </w:r>
    </w:p>
    <w:p w14:paraId="214512F2">
      <w:pPr>
        <w:pStyle w:val="4"/>
        <w:kinsoku/>
        <w:wordWrap/>
        <w:overflowPunct/>
        <w:topLinePunct w:val="0"/>
        <w:autoSpaceDE/>
        <w:autoSpaceDN/>
        <w:bidi w:val="0"/>
        <w:snapToGrid/>
        <w:spacing w:before="0" w:after="0" w:line="520" w:lineRule="exact"/>
        <w:ind w:left="0" w:leftChars="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）响应有效期</w:t>
      </w:r>
    </w:p>
    <w:p w14:paraId="0AF4E8E6">
      <w:pPr>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从提交</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截止之日起算</w:t>
      </w:r>
      <w:r>
        <w:rPr>
          <w:rFonts w:hint="eastAsia" w:ascii="仿宋" w:hAnsi="仿宋" w:eastAsia="仿宋" w:cs="仿宋"/>
          <w:color w:val="auto"/>
          <w:sz w:val="28"/>
          <w:szCs w:val="28"/>
          <w:lang w:val="en-US" w:eastAsia="zh-CN"/>
        </w:rPr>
        <w:t>40</w:t>
      </w:r>
      <w:r>
        <w:rPr>
          <w:rFonts w:hint="eastAsia" w:ascii="仿宋" w:hAnsi="仿宋" w:eastAsia="仿宋" w:cs="仿宋"/>
          <w:color w:val="auto"/>
          <w:sz w:val="28"/>
          <w:szCs w:val="28"/>
        </w:rPr>
        <w:t>天。</w:t>
      </w:r>
    </w:p>
    <w:p w14:paraId="3EAC3C8A">
      <w:pPr>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撤销</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的，应承担</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和法律规定的责任。</w:t>
      </w:r>
    </w:p>
    <w:p w14:paraId="7AFA829E">
      <w:pPr>
        <w:pStyle w:val="4"/>
        <w:kinsoku/>
        <w:wordWrap/>
        <w:overflowPunct/>
        <w:topLinePunct w:val="0"/>
        <w:autoSpaceDE/>
        <w:autoSpaceDN/>
        <w:bidi w:val="0"/>
        <w:snapToGrid/>
        <w:spacing w:before="0" w:after="0" w:line="520" w:lineRule="exact"/>
        <w:ind w:left="0" w:leftChars="0" w:firstLine="280" w:firstLineChars="10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）响应保证金</w:t>
      </w:r>
    </w:p>
    <w:p w14:paraId="41BB020B">
      <w:pPr>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在递交</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的同时，应按规定的</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格式递交</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lang w:val="en-US" w:eastAsia="zh-CN"/>
        </w:rPr>
        <w:t>5万元</w:t>
      </w:r>
      <w:r>
        <w:rPr>
          <w:rFonts w:hint="eastAsia" w:ascii="仿宋" w:hAnsi="仿宋" w:eastAsia="仿宋" w:cs="仿宋"/>
          <w:color w:val="auto"/>
          <w:sz w:val="28"/>
          <w:szCs w:val="28"/>
        </w:rPr>
        <w:t>，并作为其</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的组成部分。</w:t>
      </w:r>
    </w:p>
    <w:p w14:paraId="1F2D4B60">
      <w:pPr>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保证金支付账户如下：</w:t>
      </w:r>
    </w:p>
    <w:p w14:paraId="3E46E549">
      <w:pPr>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收款人：陕西锌业有限公司</w:t>
      </w:r>
    </w:p>
    <w:p w14:paraId="2EE1F492">
      <w:pPr>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账号：26805701040010332</w:t>
      </w:r>
    </w:p>
    <w:p w14:paraId="61A009E4">
      <w:pPr>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开户行：中国农业银行商洛商州区支行</w:t>
      </w:r>
    </w:p>
    <w:p w14:paraId="19F5C2D3">
      <w:pPr>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的形式：转账、保函、支票</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签订保证金协议等</w:t>
      </w:r>
      <w:r>
        <w:rPr>
          <w:rFonts w:hint="eastAsia" w:ascii="仿宋" w:hAnsi="仿宋" w:eastAsia="仿宋" w:cs="仿宋"/>
          <w:color w:val="auto"/>
          <w:sz w:val="28"/>
          <w:szCs w:val="28"/>
        </w:rPr>
        <w:t>任何一种。</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以现金或者支票形式提交的</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，应当从其基本账户转出并在</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中附上基本账户开户证明</w:t>
      </w:r>
      <w:r>
        <w:rPr>
          <w:rFonts w:hint="eastAsia" w:ascii="仿宋" w:hAnsi="仿宋" w:eastAsia="仿宋" w:cs="仿宋"/>
          <w:color w:val="auto"/>
          <w:sz w:val="28"/>
          <w:szCs w:val="28"/>
          <w:lang w:eastAsia="zh-CN"/>
        </w:rPr>
        <w:t>。</w:t>
      </w:r>
    </w:p>
    <w:p w14:paraId="6A97589C">
      <w:pPr>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必须在</w:t>
      </w:r>
      <w:r>
        <w:rPr>
          <w:rFonts w:hint="eastAsia" w:ascii="仿宋" w:hAnsi="仿宋" w:eastAsia="仿宋" w:cs="仿宋"/>
          <w:color w:val="auto"/>
          <w:sz w:val="28"/>
          <w:szCs w:val="28"/>
          <w:lang w:eastAsia="zh-CN"/>
        </w:rPr>
        <w:t>响应文件递交截止时间</w:t>
      </w:r>
      <w:r>
        <w:rPr>
          <w:rFonts w:hint="eastAsia" w:ascii="仿宋" w:hAnsi="仿宋" w:eastAsia="仿宋" w:cs="仿宋"/>
          <w:color w:val="auto"/>
          <w:sz w:val="28"/>
          <w:szCs w:val="28"/>
        </w:rPr>
        <w:t>前到达指定帐户</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以保函形式缴纳保证金其保函须由银行或</w:t>
      </w:r>
      <w:r>
        <w:rPr>
          <w:rFonts w:hint="eastAsia" w:ascii="仿宋" w:hAnsi="仿宋" w:eastAsia="仿宋" w:cs="仿宋"/>
          <w:color w:val="auto"/>
          <w:sz w:val="28"/>
          <w:szCs w:val="28"/>
          <w:lang w:val="en-US" w:eastAsia="zh-CN"/>
        </w:rPr>
        <w:t>具</w:t>
      </w:r>
      <w:r>
        <w:rPr>
          <w:rFonts w:hint="eastAsia" w:ascii="仿宋" w:hAnsi="仿宋" w:eastAsia="仿宋" w:cs="仿宋"/>
          <w:color w:val="auto"/>
          <w:sz w:val="28"/>
          <w:szCs w:val="28"/>
        </w:rPr>
        <w:t>有出具保函资格的单位出具</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并于</w:t>
      </w:r>
      <w:r>
        <w:rPr>
          <w:rFonts w:hint="eastAsia" w:ascii="仿宋" w:hAnsi="仿宋" w:eastAsia="仿宋" w:cs="仿宋"/>
          <w:color w:val="auto"/>
          <w:sz w:val="28"/>
          <w:szCs w:val="28"/>
          <w:lang w:eastAsia="zh-CN"/>
        </w:rPr>
        <w:t>响应文件的开启</w:t>
      </w:r>
      <w:r>
        <w:rPr>
          <w:rFonts w:hint="eastAsia" w:ascii="仿宋" w:hAnsi="仿宋" w:eastAsia="仿宋" w:cs="仿宋"/>
          <w:color w:val="auto"/>
          <w:sz w:val="28"/>
          <w:szCs w:val="28"/>
        </w:rPr>
        <w:t>现场递交保函原件，</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中附保函复印件。</w:t>
      </w:r>
    </w:p>
    <w:p w14:paraId="60CB5709">
      <w:pPr>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有效期与</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一致。</w:t>
      </w:r>
    </w:p>
    <w:p w14:paraId="2DA2FFBC">
      <w:pPr>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不按</w:t>
      </w:r>
      <w:bookmarkStart w:id="34" w:name="_Toc369531533"/>
      <w:bookmarkStart w:id="35" w:name="_Toc352691490"/>
      <w:bookmarkStart w:id="36" w:name="_Toc384308227"/>
      <w:bookmarkStart w:id="37" w:name="_Toc361508602"/>
      <w:bookmarkStart w:id="38" w:name="_Toc29025"/>
      <w:r>
        <w:rPr>
          <w:rFonts w:hint="eastAsia" w:ascii="仿宋" w:hAnsi="仿宋" w:eastAsia="仿宋" w:cs="仿宋"/>
          <w:color w:val="auto"/>
          <w:sz w:val="28"/>
          <w:szCs w:val="28"/>
          <w:lang w:val="en-US" w:eastAsia="zh-CN"/>
        </w:rPr>
        <w:t>前述</w:t>
      </w:r>
      <w:r>
        <w:rPr>
          <w:rFonts w:hint="eastAsia" w:ascii="仿宋" w:hAnsi="仿宋" w:eastAsia="仿宋" w:cs="仿宋"/>
          <w:color w:val="auto"/>
          <w:sz w:val="28"/>
          <w:szCs w:val="28"/>
        </w:rPr>
        <w:t>要求提交</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的，</w:t>
      </w:r>
      <w:bookmarkEnd w:id="34"/>
      <w:bookmarkEnd w:id="35"/>
      <w:bookmarkEnd w:id="36"/>
      <w:bookmarkEnd w:id="37"/>
      <w:bookmarkEnd w:id="38"/>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将否决其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p>
    <w:p w14:paraId="5D9A16CB">
      <w:pPr>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最迟应当在与</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w:t>
      </w:r>
      <w:bookmarkStart w:id="39" w:name="_Toc152042322"/>
      <w:bookmarkStart w:id="40" w:name="_Toc14751"/>
      <w:bookmarkStart w:id="41" w:name="_Toc144974514"/>
      <w:bookmarkStart w:id="42" w:name="_Toc384308228"/>
      <w:bookmarkStart w:id="43" w:name="_Toc152045546"/>
      <w:bookmarkStart w:id="44" w:name="_Toc300834967"/>
      <w:bookmarkStart w:id="45" w:name="_Toc352691491"/>
      <w:bookmarkStart w:id="46" w:name="_Toc247527571"/>
      <w:bookmarkStart w:id="47" w:name="_Toc247513970"/>
      <w:bookmarkStart w:id="48" w:name="_Toc361508603"/>
      <w:bookmarkStart w:id="49" w:name="_Toc369531534"/>
      <w:r>
        <w:rPr>
          <w:rFonts w:hint="eastAsia" w:ascii="仿宋" w:hAnsi="仿宋" w:eastAsia="仿宋" w:cs="仿宋"/>
          <w:color w:val="auto"/>
          <w:sz w:val="28"/>
          <w:szCs w:val="28"/>
        </w:rPr>
        <w:t>签订合同后</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28"/>
          <w:szCs w:val="28"/>
        </w:rPr>
        <w:t>内</w:t>
      </w:r>
      <w:bookmarkStart w:id="50" w:name="_Toc144974515"/>
      <w:bookmarkStart w:id="51" w:name="_Toc17952"/>
      <w:bookmarkStart w:id="52" w:name="_Toc152045547"/>
      <w:bookmarkStart w:id="53" w:name="_Toc361508604"/>
      <w:bookmarkStart w:id="54" w:name="_Toc352691492"/>
      <w:bookmarkStart w:id="55" w:name="_Toc247527572"/>
      <w:bookmarkStart w:id="56" w:name="_Toc369531535"/>
      <w:bookmarkStart w:id="57" w:name="_Toc152042323"/>
      <w:bookmarkStart w:id="58" w:name="_Toc247513971"/>
      <w:bookmarkStart w:id="59" w:name="_Toc300834968"/>
      <w:bookmarkStart w:id="60" w:name="_Toc384308229"/>
      <w:r>
        <w:rPr>
          <w:rFonts w:hint="eastAsia" w:ascii="仿宋" w:hAnsi="仿宋" w:eastAsia="仿宋" w:cs="仿宋"/>
          <w:color w:val="auto"/>
          <w:sz w:val="28"/>
          <w:szCs w:val="28"/>
        </w:rPr>
        <w:t>，向未</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w:t>
      </w:r>
      <w:r>
        <w:rPr>
          <w:rFonts w:hint="eastAsia" w:ascii="仿宋" w:hAnsi="仿宋" w:eastAsia="仿宋" w:cs="仿宋"/>
          <w:color w:val="auto"/>
          <w:sz w:val="28"/>
          <w:szCs w:val="28"/>
          <w:lang w:val="en-US" w:eastAsia="zh-CN"/>
        </w:rPr>
        <w:t>无息</w:t>
      </w:r>
      <w:r>
        <w:rPr>
          <w:rFonts w:hint="eastAsia" w:ascii="仿宋" w:hAnsi="仿宋" w:eastAsia="仿宋" w:cs="仿宋"/>
          <w:color w:val="auto"/>
          <w:sz w:val="28"/>
          <w:szCs w:val="28"/>
        </w:rPr>
        <w:t>退还</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w:t>
      </w:r>
    </w:p>
    <w:p w14:paraId="717C6550">
      <w:pPr>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有下列情形之一的，</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将不予退还：</w:t>
      </w:r>
    </w:p>
    <w:p w14:paraId="56AE7978">
      <w:pPr>
        <w:kinsoku/>
        <w:wordWrap/>
        <w:overflowPunct/>
        <w:topLinePunct w:val="0"/>
        <w:autoSpaceDE/>
        <w:autoSpaceDN/>
        <w:bidi w:val="0"/>
        <w:snapToGrid/>
        <w:spacing w:line="52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内撤销</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w:t>
      </w:r>
    </w:p>
    <w:p w14:paraId="1495D0EA">
      <w:pPr>
        <w:kinsoku/>
        <w:wordWrap/>
        <w:overflowPunct/>
        <w:topLinePunct w:val="0"/>
        <w:autoSpaceDE/>
        <w:autoSpaceDN/>
        <w:bidi w:val="0"/>
        <w:snapToGrid/>
        <w:spacing w:line="52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人在收到</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通知书后，</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人放弃</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项目的，无正当理由不与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订立合同的，在签订合同时向</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提出附加条件或者更改合同实质性内容的，或者拒不按照</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要求提交履约担保的。</w:t>
      </w:r>
    </w:p>
    <w:p w14:paraId="4F81DA31">
      <w:pPr>
        <w:pStyle w:val="4"/>
        <w:kinsoku/>
        <w:wordWrap/>
        <w:overflowPunct/>
        <w:topLinePunct w:val="0"/>
        <w:autoSpaceDE/>
        <w:autoSpaceDN/>
        <w:bidi w:val="0"/>
        <w:snapToGrid/>
        <w:spacing w:before="0" w:after="0" w:line="520" w:lineRule="exact"/>
        <w:ind w:left="0" w:firstLine="280" w:firstLineChars="100"/>
        <w:jc w:val="both"/>
        <w:rPr>
          <w:rFonts w:hint="eastAsia" w:ascii="仿宋" w:hAnsi="仿宋" w:eastAsia="仿宋" w:cs="仿宋"/>
          <w:color w:val="auto"/>
          <w:sz w:val="28"/>
          <w:szCs w:val="28"/>
        </w:rPr>
      </w:pPr>
      <w:bookmarkStart w:id="61" w:name="_Toc33795794"/>
      <w:bookmarkStart w:id="62" w:name="_Toc24514"/>
      <w:bookmarkStart w:id="63" w:name="_Toc28216"/>
      <w:bookmarkStart w:id="64" w:name="_Toc21871"/>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资格审查资料</w:t>
      </w:r>
      <w:bookmarkEnd w:id="61"/>
      <w:bookmarkEnd w:id="62"/>
      <w:bookmarkEnd w:id="63"/>
      <w:bookmarkEnd w:id="64"/>
    </w:p>
    <w:p w14:paraId="6CD8656A">
      <w:pPr>
        <w:pStyle w:val="4"/>
        <w:kinsoku/>
        <w:wordWrap/>
        <w:overflowPunct/>
        <w:topLinePunct w:val="0"/>
        <w:autoSpaceDE/>
        <w:autoSpaceDN/>
        <w:bidi w:val="0"/>
        <w:snapToGrid/>
        <w:spacing w:before="0" w:after="0"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应按下列规定提供相关的证明材料，以证明其满足资质、财务、业绩、信誉要求。</w:t>
      </w:r>
    </w:p>
    <w:p w14:paraId="74F1ED1B">
      <w:pPr>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基本情况表”应附</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资格或者资质证书副本等材料的复印件</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为企业的，应提交营业执照复印件；</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为依法允许经营的事业单位的，应提交事业单位法人证书和组织机构代码证的复印件。</w:t>
      </w:r>
    </w:p>
    <w:p w14:paraId="37C3954A">
      <w:pPr>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“近年财务状况表”应</w:t>
      </w:r>
      <w:r>
        <w:rPr>
          <w:rFonts w:hint="eastAsia" w:ascii="仿宋" w:hAnsi="仿宋" w:eastAsia="仿宋" w:cs="仿宋"/>
          <w:color w:val="auto"/>
          <w:sz w:val="28"/>
          <w:szCs w:val="28"/>
          <w:lang w:val="en-US" w:eastAsia="zh-CN"/>
        </w:rPr>
        <w:t>附近两年来的</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财务报表或经审计机构审计的财务会计报表，包括资产负债表、现金流量表、利润表和财务情况说明书的复印件，成立的时间不足</w:t>
      </w:r>
      <w:r>
        <w:rPr>
          <w:rFonts w:hint="eastAsia" w:ascii="仿宋" w:hAnsi="仿宋" w:eastAsia="仿宋" w:cs="仿宋"/>
          <w:color w:val="auto"/>
          <w:sz w:val="28"/>
          <w:szCs w:val="28"/>
          <w:lang w:val="en-US" w:eastAsia="zh-CN"/>
        </w:rPr>
        <w:t>两年</w:t>
      </w:r>
      <w:r>
        <w:rPr>
          <w:rFonts w:hint="eastAsia" w:ascii="仿宋" w:hAnsi="仿宋" w:eastAsia="仿宋" w:cs="仿宋"/>
          <w:color w:val="auto"/>
          <w:sz w:val="28"/>
          <w:szCs w:val="28"/>
        </w:rPr>
        <w:t>的，应提供成立以来的财务状况。</w:t>
      </w:r>
    </w:p>
    <w:p w14:paraId="3E3BC615">
      <w:pPr>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“近年完成的类似项目情况表”应附</w:t>
      </w:r>
      <w:r>
        <w:rPr>
          <w:rFonts w:hint="eastAsia" w:ascii="仿宋" w:hAnsi="仿宋" w:eastAsia="仿宋" w:cs="仿宋"/>
          <w:color w:val="auto"/>
          <w:sz w:val="28"/>
          <w:szCs w:val="28"/>
          <w:lang w:val="en-US" w:eastAsia="zh-CN"/>
        </w:rPr>
        <w:t>从2023年5月至今的</w:t>
      </w:r>
      <w:r>
        <w:rPr>
          <w:rFonts w:hint="eastAsia" w:ascii="仿宋" w:hAnsi="仿宋" w:eastAsia="仿宋" w:cs="仿宋"/>
          <w:color w:val="auto"/>
          <w:sz w:val="28"/>
          <w:szCs w:val="28"/>
        </w:rPr>
        <w:t>合同复印件，每张表格只填写一个项目，并标明序号。</w:t>
      </w:r>
    </w:p>
    <w:p w14:paraId="06230213">
      <w:pPr>
        <w:kinsoku/>
        <w:wordWrap/>
        <w:overflowPunct/>
        <w:topLinePunct w:val="0"/>
        <w:autoSpaceDE/>
        <w:autoSpaceDN/>
        <w:bidi w:val="0"/>
        <w:snapToGrid/>
        <w:spacing w:line="520" w:lineRule="exact"/>
        <w:ind w:left="0" w:firstLine="560" w:firstLineChars="200"/>
        <w:jc w:val="both"/>
        <w:rPr>
          <w:rFonts w:hint="eastAsia" w:ascii="仿宋" w:hAnsi="仿宋" w:eastAsia="仿宋" w:cs="仿宋"/>
          <w:i w:val="0"/>
          <w:iCs w:val="0"/>
          <w:caps w:val="0"/>
          <w:color w:val="000000"/>
          <w:spacing w:val="0"/>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“近年发生的诉讼及仲裁情况”应说明相关情况，并附</w:t>
      </w:r>
      <w:r>
        <w:rPr>
          <w:rFonts w:hint="eastAsia" w:ascii="仿宋" w:hAnsi="仿宋" w:eastAsia="仿宋" w:cs="仿宋"/>
          <w:color w:val="auto"/>
          <w:sz w:val="28"/>
          <w:szCs w:val="28"/>
          <w:lang w:val="en-US" w:eastAsia="zh-CN"/>
        </w:rPr>
        <w:t>2022年5月至今的</w:t>
      </w:r>
      <w:r>
        <w:rPr>
          <w:rFonts w:hint="eastAsia" w:ascii="仿宋" w:hAnsi="仿宋" w:eastAsia="仿宋" w:cs="仿宋"/>
          <w:color w:val="auto"/>
          <w:sz w:val="28"/>
          <w:szCs w:val="28"/>
        </w:rPr>
        <w:t>法院或仲裁机构作出的判决、裁决等有关法律文书复印件。</w:t>
      </w:r>
    </w:p>
    <w:p w14:paraId="55CF8B55">
      <w:pPr>
        <w:pStyle w:val="14"/>
        <w:keepNext w:val="0"/>
        <w:keepLines w:val="0"/>
        <w:pageBreakBefore w:val="0"/>
        <w:shd w:val="clear" w:color="auto" w:fill="auto"/>
        <w:kinsoku/>
        <w:wordWrap/>
        <w:overflowPunct/>
        <w:topLinePunct w:val="0"/>
        <w:autoSpaceDE/>
        <w:autoSpaceDN/>
        <w:bidi w:val="0"/>
        <w:adjustRightInd/>
        <w:snapToGrid/>
        <w:spacing w:beforeLines="50" w:after="120" w:afterLines="50" w:line="520" w:lineRule="exact"/>
        <w:ind w:firstLine="564" w:firstLineChars="200"/>
        <w:textAlignment w:val="auto"/>
        <w:rPr>
          <w:rFonts w:hint="eastAsia" w:ascii="仿宋" w:hAnsi="仿宋" w:eastAsia="仿宋" w:cs="仿宋"/>
          <w:b w:val="0"/>
          <w:bCs w:val="0"/>
          <w:color w:val="auto"/>
          <w:spacing w:val="1"/>
          <w:sz w:val="28"/>
          <w:szCs w:val="28"/>
          <w:highlight w:val="none"/>
          <w:lang w:eastAsia="zh-CN"/>
        </w:rPr>
      </w:pPr>
      <w:r>
        <w:rPr>
          <w:rFonts w:hint="eastAsia" w:ascii="仿宋" w:hAnsi="仿宋" w:eastAsia="仿宋" w:cs="仿宋"/>
          <w:b w:val="0"/>
          <w:bCs w:val="0"/>
          <w:color w:val="auto"/>
          <w:spacing w:val="1"/>
          <w:sz w:val="28"/>
          <w:szCs w:val="28"/>
          <w:highlight w:val="none"/>
          <w:lang w:eastAsia="zh-CN"/>
        </w:rPr>
        <w:t>（五）响应文件的</w:t>
      </w:r>
      <w:r>
        <w:rPr>
          <w:rFonts w:hint="eastAsia" w:ascii="仿宋" w:hAnsi="仿宋" w:eastAsia="仿宋" w:cs="仿宋"/>
          <w:b w:val="0"/>
          <w:bCs w:val="0"/>
          <w:color w:val="auto"/>
          <w:spacing w:val="1"/>
          <w:sz w:val="28"/>
          <w:szCs w:val="28"/>
          <w:highlight w:val="none"/>
          <w:lang w:val="en-US" w:eastAsia="zh-CN"/>
        </w:rPr>
        <w:t>提</w:t>
      </w:r>
      <w:r>
        <w:rPr>
          <w:rFonts w:hint="eastAsia" w:ascii="仿宋" w:hAnsi="仿宋" w:eastAsia="仿宋" w:cs="仿宋"/>
          <w:b w:val="0"/>
          <w:bCs w:val="0"/>
          <w:color w:val="auto"/>
          <w:spacing w:val="1"/>
          <w:sz w:val="28"/>
          <w:szCs w:val="28"/>
          <w:highlight w:val="none"/>
          <w:lang w:eastAsia="zh-CN"/>
        </w:rPr>
        <w:t>交</w:t>
      </w:r>
    </w:p>
    <w:p w14:paraId="064AE9E1">
      <w:pPr>
        <w:pStyle w:val="14"/>
        <w:keepNext w:val="0"/>
        <w:keepLines w:val="0"/>
        <w:pageBreakBefore w:val="0"/>
        <w:shd w:val="clear" w:color="auto" w:fill="auto"/>
        <w:kinsoku/>
        <w:wordWrap/>
        <w:overflowPunct/>
        <w:topLinePunct w:val="0"/>
        <w:autoSpaceDE/>
        <w:autoSpaceDN/>
        <w:bidi w:val="0"/>
        <w:adjustRightInd/>
        <w:snapToGrid/>
        <w:spacing w:beforeLines="50" w:after="120" w:afterLines="50" w:line="480" w:lineRule="exact"/>
        <w:ind w:firstLine="564" w:firstLineChars="200"/>
        <w:textAlignment w:val="auto"/>
        <w:rPr>
          <w:rFonts w:hint="eastAsia" w:ascii="仿宋" w:hAnsi="仿宋" w:eastAsia="仿宋" w:cs="仿宋"/>
          <w:color w:val="auto"/>
          <w:spacing w:val="1"/>
          <w:sz w:val="28"/>
          <w:szCs w:val="28"/>
          <w:highlight w:val="none"/>
          <w:lang w:val="en-US" w:eastAsia="zh-CN"/>
        </w:rPr>
      </w:pPr>
      <w:r>
        <w:rPr>
          <w:rFonts w:hint="eastAsia" w:ascii="仿宋" w:hAnsi="仿宋" w:eastAsia="仿宋" w:cs="仿宋"/>
          <w:color w:val="auto"/>
          <w:spacing w:val="1"/>
          <w:sz w:val="28"/>
          <w:szCs w:val="28"/>
          <w:highlight w:val="none"/>
          <w:lang w:val="en-US" w:eastAsia="zh-CN"/>
        </w:rPr>
        <w:t>1. 响应文件提交截止时间：2025年8月28日13时（北京时间）；</w:t>
      </w:r>
    </w:p>
    <w:p w14:paraId="0CA06772">
      <w:pPr>
        <w:pStyle w:val="14"/>
        <w:keepNext w:val="0"/>
        <w:keepLines w:val="0"/>
        <w:pageBreakBefore w:val="0"/>
        <w:shd w:val="clear" w:color="auto" w:fill="auto"/>
        <w:kinsoku/>
        <w:wordWrap/>
        <w:overflowPunct/>
        <w:topLinePunct w:val="0"/>
        <w:autoSpaceDE/>
        <w:autoSpaceDN/>
        <w:bidi w:val="0"/>
        <w:adjustRightInd/>
        <w:snapToGrid/>
        <w:spacing w:beforeLines="50" w:after="120" w:afterLines="50" w:line="480" w:lineRule="exact"/>
        <w:ind w:firstLine="564"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color w:val="auto"/>
          <w:spacing w:val="1"/>
          <w:sz w:val="28"/>
          <w:szCs w:val="28"/>
          <w:highlight w:val="none"/>
          <w:lang w:val="en-US" w:eastAsia="zh-CN"/>
        </w:rPr>
        <w:t>2.提交方法：</w:t>
      </w:r>
      <w:r>
        <w:rPr>
          <w:rFonts w:hint="eastAsia" w:ascii="仿宋" w:hAnsi="仿宋" w:eastAsia="仿宋" w:cs="仿宋"/>
          <w:b w:val="0"/>
          <w:bCs w:val="0"/>
          <w:i w:val="0"/>
          <w:iCs w:val="0"/>
          <w:caps w:val="0"/>
          <w:color w:val="333333"/>
          <w:spacing w:val="0"/>
          <w:sz w:val="28"/>
          <w:szCs w:val="28"/>
          <w:shd w:val="clear" w:fill="FEFEFE"/>
        </w:rPr>
        <w:t>陕西锌业有限公司网络询比采购平台（</w:t>
      </w:r>
      <w:r>
        <w:rPr>
          <w:rFonts w:hint="eastAsia" w:ascii="仿宋" w:hAnsi="仿宋" w:eastAsia="仿宋" w:cs="仿宋"/>
          <w:b w:val="0"/>
          <w:bCs w:val="0"/>
          <w:i w:val="0"/>
          <w:iCs w:val="0"/>
          <w:caps w:val="0"/>
          <w:color w:val="000000"/>
          <w:spacing w:val="0"/>
          <w:sz w:val="28"/>
          <w:szCs w:val="28"/>
          <w:u w:val="none"/>
          <w:shd w:val="clear" w:fill="FEFEFE"/>
        </w:rPr>
        <w:fldChar w:fldCharType="begin"/>
      </w:r>
      <w:r>
        <w:rPr>
          <w:rFonts w:hint="eastAsia" w:ascii="仿宋" w:hAnsi="仿宋" w:eastAsia="仿宋" w:cs="仿宋"/>
          <w:b w:val="0"/>
          <w:bCs w:val="0"/>
          <w:i w:val="0"/>
          <w:iCs w:val="0"/>
          <w:caps w:val="0"/>
          <w:color w:val="000000"/>
          <w:spacing w:val="0"/>
          <w:sz w:val="28"/>
          <w:szCs w:val="28"/>
          <w:u w:val="none"/>
          <w:shd w:val="clear" w:fill="FEFEFE"/>
        </w:rPr>
        <w:instrText xml:space="preserve"> HYPERLINK "javascript:void(0);" </w:instrText>
      </w:r>
      <w:r>
        <w:rPr>
          <w:rFonts w:hint="eastAsia" w:ascii="仿宋" w:hAnsi="仿宋" w:eastAsia="仿宋" w:cs="仿宋"/>
          <w:b w:val="0"/>
          <w:bCs w:val="0"/>
          <w:i w:val="0"/>
          <w:iCs w:val="0"/>
          <w:caps w:val="0"/>
          <w:color w:val="000000"/>
          <w:spacing w:val="0"/>
          <w:sz w:val="28"/>
          <w:szCs w:val="28"/>
          <w:u w:val="none"/>
          <w:shd w:val="clear" w:fill="FEFEFE"/>
        </w:rPr>
        <w:fldChar w:fldCharType="separate"/>
      </w:r>
      <w:r>
        <w:rPr>
          <w:rStyle w:val="13"/>
          <w:rFonts w:hint="eastAsia" w:ascii="仿宋" w:hAnsi="仿宋" w:eastAsia="仿宋" w:cs="仿宋"/>
          <w:b w:val="0"/>
          <w:bCs w:val="0"/>
          <w:i w:val="0"/>
          <w:iCs w:val="0"/>
          <w:caps w:val="0"/>
          <w:color w:val="000000"/>
          <w:spacing w:val="0"/>
          <w:sz w:val="28"/>
          <w:szCs w:val="28"/>
          <w:u w:val="none"/>
          <w:shd w:val="clear" w:fill="FEFEFE"/>
        </w:rPr>
        <w:t>www.sxxyjjpt.com</w:t>
      </w:r>
      <w:r>
        <w:rPr>
          <w:rFonts w:hint="eastAsia" w:ascii="仿宋" w:hAnsi="仿宋" w:eastAsia="仿宋" w:cs="仿宋"/>
          <w:b w:val="0"/>
          <w:bCs w:val="0"/>
          <w:i w:val="0"/>
          <w:iCs w:val="0"/>
          <w:caps w:val="0"/>
          <w:color w:val="000000"/>
          <w:spacing w:val="0"/>
          <w:sz w:val="28"/>
          <w:szCs w:val="28"/>
          <w:u w:val="none"/>
          <w:shd w:val="clear" w:fill="FEFEFE"/>
        </w:rPr>
        <w:fldChar w:fldCharType="end"/>
      </w:r>
      <w:r>
        <w:rPr>
          <w:rFonts w:hint="eastAsia" w:ascii="仿宋" w:hAnsi="仿宋" w:eastAsia="仿宋" w:cs="仿宋"/>
          <w:b w:val="0"/>
          <w:bCs w:val="0"/>
          <w:i w:val="0"/>
          <w:iCs w:val="0"/>
          <w:caps w:val="0"/>
          <w:color w:val="333333"/>
          <w:spacing w:val="0"/>
          <w:sz w:val="28"/>
          <w:szCs w:val="28"/>
          <w:shd w:val="clear" w:fill="FEFEFE"/>
        </w:rPr>
        <w:t>）</w:t>
      </w:r>
    </w:p>
    <w:p w14:paraId="226AA542">
      <w:pPr>
        <w:pStyle w:val="14"/>
        <w:keepNext w:val="0"/>
        <w:keepLines w:val="0"/>
        <w:pageBreakBefore w:val="0"/>
        <w:shd w:val="clear" w:color="auto" w:fill="auto"/>
        <w:kinsoku/>
        <w:wordWrap/>
        <w:overflowPunct/>
        <w:topLinePunct w:val="0"/>
        <w:autoSpaceDE/>
        <w:autoSpaceDN/>
        <w:bidi w:val="0"/>
        <w:adjustRightInd/>
        <w:snapToGrid/>
        <w:spacing w:beforeLines="50" w:after="120" w:afterLines="50" w:line="480" w:lineRule="exact"/>
        <w:ind w:firstLine="560" w:firstLineChars="200"/>
        <w:textAlignment w:val="auto"/>
        <w:rPr>
          <w:rFonts w:hint="eastAsia" w:ascii="仿宋" w:hAnsi="仿宋" w:eastAsia="仿宋" w:cs="仿宋"/>
          <w:b w:val="0"/>
          <w:bCs w:val="0"/>
          <w:color w:val="auto"/>
          <w:spacing w:val="1"/>
          <w:sz w:val="28"/>
          <w:szCs w:val="28"/>
          <w:highlight w:val="none"/>
          <w:lang w:eastAsia="zh-CN"/>
        </w:rPr>
      </w:pPr>
      <w:r>
        <w:rPr>
          <w:rFonts w:hint="eastAsia" w:ascii="仿宋" w:hAnsi="仿宋" w:eastAsia="仿宋" w:cs="仿宋"/>
          <w:color w:val="auto"/>
          <w:sz w:val="28"/>
          <w:szCs w:val="28"/>
          <w:lang w:val="en-US" w:eastAsia="zh-CN"/>
        </w:rPr>
        <w:t>联系人：张小兵    电话： 0914-2552485</w:t>
      </w:r>
    </w:p>
    <w:p w14:paraId="42934A55">
      <w:pPr>
        <w:pStyle w:val="14"/>
        <w:keepNext w:val="0"/>
        <w:keepLines w:val="0"/>
        <w:pageBreakBefore w:val="0"/>
        <w:shd w:val="clear" w:color="auto" w:fill="auto"/>
        <w:kinsoku/>
        <w:wordWrap/>
        <w:overflowPunct/>
        <w:topLinePunct w:val="0"/>
        <w:autoSpaceDE/>
        <w:autoSpaceDN/>
        <w:bidi w:val="0"/>
        <w:adjustRightInd/>
        <w:snapToGrid/>
        <w:spacing w:before="0" w:after="120" w:line="520" w:lineRule="exact"/>
        <w:ind w:firstLine="566" w:firstLineChars="200"/>
        <w:textAlignment w:val="auto"/>
        <w:rPr>
          <w:rFonts w:hint="eastAsia" w:ascii="仿宋" w:hAnsi="仿宋" w:eastAsia="仿宋" w:cs="仿宋"/>
          <w:b/>
          <w:bCs/>
          <w:color w:val="auto"/>
          <w:spacing w:val="1"/>
          <w:sz w:val="28"/>
          <w:szCs w:val="28"/>
          <w:highlight w:val="none"/>
          <w:lang w:eastAsia="zh-CN"/>
        </w:rPr>
      </w:pPr>
      <w:r>
        <w:rPr>
          <w:rFonts w:hint="eastAsia" w:ascii="仿宋" w:hAnsi="仿宋" w:eastAsia="仿宋" w:cs="仿宋"/>
          <w:b/>
          <w:bCs/>
          <w:color w:val="auto"/>
          <w:spacing w:val="1"/>
          <w:sz w:val="28"/>
          <w:szCs w:val="28"/>
          <w:highlight w:val="none"/>
          <w:lang w:val="en-US" w:eastAsia="zh-CN"/>
        </w:rPr>
        <w:t>四</w:t>
      </w:r>
      <w:r>
        <w:rPr>
          <w:rFonts w:hint="eastAsia" w:ascii="仿宋" w:hAnsi="仿宋" w:eastAsia="仿宋" w:cs="仿宋"/>
          <w:b/>
          <w:bCs/>
          <w:color w:val="auto"/>
          <w:spacing w:val="1"/>
          <w:sz w:val="28"/>
          <w:szCs w:val="28"/>
          <w:highlight w:val="none"/>
          <w:lang w:eastAsia="zh-CN"/>
        </w:rPr>
        <w:t>、响应文件开启时间及地点</w:t>
      </w:r>
    </w:p>
    <w:p w14:paraId="1AB71156">
      <w:pPr>
        <w:keepNext w:val="0"/>
        <w:keepLines w:val="0"/>
        <w:pageBreakBefore w:val="0"/>
        <w:shd w:val="clear" w:color="auto" w:fill="auto"/>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color w:val="auto"/>
          <w:spacing w:val="1"/>
          <w:kern w:val="0"/>
          <w:sz w:val="28"/>
          <w:szCs w:val="28"/>
          <w:highlight w:val="yellow"/>
          <w:lang w:val="en-US" w:eastAsia="zh-CN" w:bidi="ar-SA"/>
        </w:rPr>
      </w:pPr>
      <w:r>
        <w:rPr>
          <w:rFonts w:hint="eastAsia" w:ascii="仿宋" w:hAnsi="仿宋" w:eastAsia="仿宋" w:cs="仿宋"/>
          <w:color w:val="auto"/>
          <w:spacing w:val="1"/>
          <w:kern w:val="0"/>
          <w:sz w:val="28"/>
          <w:szCs w:val="28"/>
          <w:highlight w:val="none"/>
          <w:lang w:val="en-US" w:eastAsia="zh-CN" w:bidi="ar-SA"/>
        </w:rPr>
        <w:t>（一）响应文件的开启时间：</w:t>
      </w:r>
      <w:r>
        <w:rPr>
          <w:rFonts w:hint="eastAsia" w:ascii="仿宋" w:hAnsi="仿宋" w:eastAsia="仿宋" w:cs="仿宋"/>
          <w:color w:val="auto"/>
          <w:spacing w:val="1"/>
          <w:sz w:val="28"/>
          <w:szCs w:val="28"/>
          <w:highlight w:val="none"/>
          <w:lang w:val="en-US" w:eastAsia="zh-CN"/>
        </w:rPr>
        <w:t>2025年8月28日13时</w:t>
      </w:r>
      <w:r>
        <w:rPr>
          <w:rFonts w:hint="eastAsia" w:ascii="仿宋" w:hAnsi="仿宋" w:eastAsia="仿宋" w:cs="仿宋"/>
          <w:color w:val="auto"/>
          <w:spacing w:val="1"/>
          <w:kern w:val="0"/>
          <w:sz w:val="28"/>
          <w:szCs w:val="28"/>
          <w:highlight w:val="none"/>
          <w:lang w:val="en-US" w:eastAsia="zh-CN" w:bidi="ar-SA"/>
        </w:rPr>
        <w:t>；</w:t>
      </w:r>
    </w:p>
    <w:p w14:paraId="527DA884">
      <w:pPr>
        <w:keepNext w:val="0"/>
        <w:keepLines w:val="0"/>
        <w:pageBreakBefore w:val="0"/>
        <w:shd w:val="clear" w:color="auto" w:fill="auto"/>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color w:val="auto"/>
          <w:spacing w:val="1"/>
          <w:kern w:val="0"/>
          <w:sz w:val="28"/>
          <w:szCs w:val="28"/>
          <w:highlight w:val="none"/>
          <w:lang w:val="en-US" w:eastAsia="zh-CN" w:bidi="ar-SA"/>
        </w:rPr>
        <w:t>（二）响应文件的开启地点：陕西锌业有限公司办公楼一楼招投标办公室（陕西省商洛市商州区沙河子镇）</w:t>
      </w:r>
    </w:p>
    <w:p w14:paraId="2F4B5F07">
      <w:pPr>
        <w:pStyle w:val="3"/>
        <w:pageBreakBefore w:val="0"/>
        <w:widowControl w:val="0"/>
        <w:kinsoku/>
        <w:wordWrap/>
        <w:overflowPunct/>
        <w:topLinePunct w:val="0"/>
        <w:autoSpaceDE/>
        <w:autoSpaceDN/>
        <w:bidi w:val="0"/>
        <w:adjustRightInd/>
        <w:snapToGrid/>
        <w:spacing w:before="0" w:after="0" w:line="520" w:lineRule="exact"/>
        <w:ind w:firstLine="562" w:firstLineChars="200"/>
        <w:jc w:val="both"/>
        <w:textAlignment w:val="auto"/>
        <w:rPr>
          <w:rFonts w:hint="eastAsia" w:ascii="仿宋" w:hAnsi="仿宋" w:eastAsia="仿宋" w:cs="仿宋"/>
          <w:color w:val="auto"/>
          <w:sz w:val="28"/>
          <w:szCs w:val="28"/>
          <w:lang w:val="en-US" w:eastAsia="zh-CN"/>
        </w:rPr>
      </w:pPr>
      <w:r>
        <w:rPr>
          <w:rStyle w:val="12"/>
          <w:rFonts w:hint="eastAsia" w:ascii="仿宋" w:hAnsi="仿宋" w:eastAsia="仿宋" w:cs="仿宋"/>
          <w:b/>
          <w:i w:val="0"/>
          <w:iCs w:val="0"/>
          <w:caps w:val="0"/>
          <w:color w:val="000000"/>
          <w:spacing w:val="0"/>
          <w:sz w:val="28"/>
          <w:szCs w:val="28"/>
          <w:lang w:val="en-US" w:eastAsia="zh-CN"/>
        </w:rPr>
        <w:t>五</w:t>
      </w:r>
      <w:r>
        <w:rPr>
          <w:rStyle w:val="12"/>
          <w:rFonts w:hint="eastAsia" w:ascii="仿宋" w:hAnsi="仿宋" w:eastAsia="仿宋" w:cs="仿宋"/>
          <w:b/>
          <w:i w:val="0"/>
          <w:iCs w:val="0"/>
          <w:caps w:val="0"/>
          <w:color w:val="000000"/>
          <w:spacing w:val="0"/>
          <w:sz w:val="28"/>
          <w:szCs w:val="28"/>
        </w:rPr>
        <w:t>、</w:t>
      </w:r>
      <w:r>
        <w:rPr>
          <w:rStyle w:val="12"/>
          <w:rFonts w:hint="eastAsia" w:ascii="仿宋" w:hAnsi="仿宋" w:eastAsia="仿宋" w:cs="仿宋"/>
          <w:b/>
          <w:i w:val="0"/>
          <w:iCs w:val="0"/>
          <w:caps w:val="0"/>
          <w:color w:val="000000"/>
          <w:spacing w:val="0"/>
          <w:sz w:val="28"/>
          <w:szCs w:val="28"/>
          <w:lang w:val="en-US" w:eastAsia="zh-CN"/>
        </w:rPr>
        <w:t>响应文件的</w:t>
      </w:r>
      <w:r>
        <w:rPr>
          <w:rFonts w:hint="eastAsia" w:ascii="仿宋" w:hAnsi="仿宋" w:eastAsia="仿宋" w:cs="仿宋"/>
          <w:color w:val="auto"/>
          <w:sz w:val="28"/>
          <w:szCs w:val="28"/>
        </w:rPr>
        <w:t>评</w:t>
      </w:r>
      <w:r>
        <w:rPr>
          <w:rFonts w:hint="eastAsia" w:ascii="仿宋" w:hAnsi="仿宋" w:eastAsia="仿宋" w:cs="仿宋"/>
          <w:color w:val="auto"/>
          <w:sz w:val="28"/>
          <w:szCs w:val="28"/>
          <w:lang w:val="en-US" w:eastAsia="zh-CN"/>
        </w:rPr>
        <w:t>审</w:t>
      </w:r>
    </w:p>
    <w:p w14:paraId="160DA3BB">
      <w:pPr>
        <w:rPr>
          <w:rFonts w:hint="eastAsia" w:ascii="仿宋" w:hAnsi="仿宋" w:eastAsia="仿宋" w:cs="仿宋"/>
          <w:sz w:val="28"/>
          <w:szCs w:val="28"/>
          <w:lang w:val="en-US"/>
        </w:rPr>
      </w:pPr>
      <w:r>
        <w:rPr>
          <w:rFonts w:hint="eastAsia" w:ascii="仿宋" w:hAnsi="仿宋" w:eastAsia="仿宋" w:cs="仿宋"/>
          <w:color w:val="auto"/>
          <w:sz w:val="28"/>
          <w:szCs w:val="28"/>
          <w:lang w:val="en-US" w:eastAsia="zh-CN"/>
        </w:rPr>
        <w:t xml:space="preserve">    （一）响应文件评审办法</w:t>
      </w:r>
    </w:p>
    <w:p w14:paraId="0C5E4239">
      <w:pPr>
        <w:pStyle w:val="9"/>
        <w:keepNext w:val="0"/>
        <w:keepLines w:val="0"/>
        <w:widowControl/>
        <w:suppressLineNumbers w:val="0"/>
        <w:spacing w:before="0" w:beforeAutospacing="0" w:after="0" w:afterAutospacing="0" w:line="405" w:lineRule="atLeas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本次评</w:t>
      </w:r>
      <w:r>
        <w:rPr>
          <w:rFonts w:hint="eastAsia" w:ascii="仿宋" w:hAnsi="仿宋" w:eastAsia="仿宋" w:cs="仿宋"/>
          <w:color w:val="auto"/>
          <w:sz w:val="28"/>
          <w:szCs w:val="28"/>
          <w:lang w:val="en-US" w:eastAsia="zh-CN"/>
        </w:rPr>
        <w:t>审采用最低价法，是在响应文件满足采购文件实质性要求的前提下，按照供应商经评审的价格由低到高的顺序确定供应商优先次序的评审方法。</w:t>
      </w:r>
    </w:p>
    <w:p w14:paraId="64F3630A">
      <w:pPr>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（二）响应文件评审程序</w:t>
      </w:r>
    </w:p>
    <w:p w14:paraId="6B22F52F">
      <w:pPr>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可以要求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提交</w:t>
      </w:r>
      <w:r>
        <w:rPr>
          <w:rFonts w:hint="eastAsia" w:ascii="仿宋" w:hAnsi="仿宋" w:eastAsia="仿宋" w:cs="仿宋"/>
          <w:color w:val="auto"/>
          <w:sz w:val="28"/>
          <w:szCs w:val="28"/>
          <w:lang w:val="en-US" w:eastAsia="zh-CN"/>
        </w:rPr>
        <w:t>第一条第十二款</w:t>
      </w:r>
      <w:r>
        <w:rPr>
          <w:rFonts w:hint="eastAsia" w:ascii="仿宋" w:hAnsi="仿宋" w:eastAsia="仿宋" w:cs="仿宋"/>
          <w:color w:val="auto"/>
          <w:sz w:val="28"/>
          <w:szCs w:val="28"/>
        </w:rPr>
        <w:t>规定的有关证明和证件的原件，</w:t>
      </w:r>
      <w:r>
        <w:rPr>
          <w:rFonts w:hint="eastAsia" w:ascii="仿宋" w:hAnsi="仿宋" w:eastAsia="仿宋" w:cs="仿宋"/>
          <w:color w:val="auto"/>
          <w:sz w:val="28"/>
          <w:szCs w:val="28"/>
          <w:lang w:val="en-US" w:eastAsia="zh-CN"/>
        </w:rPr>
        <w:t>评审小组</w:t>
      </w:r>
      <w:r>
        <w:rPr>
          <w:rFonts w:hint="eastAsia" w:ascii="仿宋" w:hAnsi="仿宋" w:eastAsia="仿宋" w:cs="仿宋"/>
          <w:color w:val="auto"/>
          <w:sz w:val="28"/>
          <w:szCs w:val="28"/>
        </w:rPr>
        <w:t>对</w:t>
      </w:r>
      <w:r>
        <w:rPr>
          <w:rFonts w:hint="eastAsia" w:ascii="仿宋" w:hAnsi="仿宋" w:eastAsia="仿宋" w:cs="仿宋"/>
          <w:color w:val="auto"/>
          <w:sz w:val="28"/>
          <w:szCs w:val="28"/>
          <w:lang w:val="en-US" w:eastAsia="zh-CN"/>
        </w:rPr>
        <w:t>前述</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进行初步评审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有一项不符合评审标准的，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p>
    <w:p w14:paraId="6E609514">
      <w:pPr>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有以下情形之一的，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应当否决其</w:t>
      </w:r>
      <w:r>
        <w:rPr>
          <w:rFonts w:hint="eastAsia" w:ascii="仿宋" w:hAnsi="仿宋" w:eastAsia="仿宋" w:cs="仿宋"/>
          <w:color w:val="auto"/>
          <w:sz w:val="28"/>
          <w:szCs w:val="28"/>
          <w:lang w:val="en-US" w:eastAsia="zh-CN"/>
        </w:rPr>
        <w:t>响应</w:t>
      </w:r>
      <w:r>
        <w:rPr>
          <w:rFonts w:hint="eastAsia" w:ascii="仿宋" w:hAnsi="仿宋" w:eastAsia="仿宋" w:cs="仿宋"/>
          <w:color w:val="auto"/>
          <w:sz w:val="28"/>
          <w:szCs w:val="28"/>
        </w:rPr>
        <w:t>：</w:t>
      </w:r>
    </w:p>
    <w:p w14:paraId="042E257F">
      <w:pPr>
        <w:pageBreakBefore w:val="0"/>
        <w:widowControl w:val="0"/>
        <w:kinsoku/>
        <w:wordWrap/>
        <w:overflowPunct/>
        <w:topLinePunct w:val="0"/>
        <w:autoSpaceDE/>
        <w:autoSpaceDN/>
        <w:bidi w:val="0"/>
        <w:adjustRightInd/>
        <w:snapToGrid/>
        <w:spacing w:line="52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未经过正常途径</w:t>
      </w:r>
      <w:r>
        <w:rPr>
          <w:rFonts w:hint="eastAsia" w:ascii="仿宋" w:hAnsi="仿宋" w:eastAsia="仿宋" w:cs="仿宋"/>
          <w:color w:val="auto"/>
          <w:sz w:val="28"/>
          <w:szCs w:val="28"/>
          <w:lang w:val="en-US" w:eastAsia="zh-CN"/>
        </w:rPr>
        <w:t>获取</w:t>
      </w:r>
      <w:r>
        <w:rPr>
          <w:rFonts w:hint="eastAsia" w:ascii="仿宋" w:hAnsi="仿宋" w:eastAsia="仿宋" w:cs="仿宋"/>
          <w:color w:val="auto"/>
          <w:sz w:val="28"/>
          <w:szCs w:val="28"/>
        </w:rPr>
        <w:t>标书或</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名称或组织结构与</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不一致且未提供有效证明的；</w:t>
      </w:r>
    </w:p>
    <w:p w14:paraId="719500DB">
      <w:pPr>
        <w:pageBreakBefore w:val="0"/>
        <w:widowControl w:val="0"/>
        <w:kinsoku/>
        <w:wordWrap/>
        <w:overflowPunct/>
        <w:topLinePunct w:val="0"/>
        <w:autoSpaceDE/>
        <w:autoSpaceDN/>
        <w:bidi w:val="0"/>
        <w:adjustRightInd/>
        <w:snapToGrid/>
        <w:spacing w:line="52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未经</w:t>
      </w:r>
      <w:r>
        <w:rPr>
          <w:rFonts w:hint="eastAsia" w:ascii="仿宋" w:hAnsi="仿宋" w:eastAsia="仿宋" w:cs="仿宋"/>
          <w:color w:val="auto"/>
          <w:sz w:val="28"/>
          <w:szCs w:val="28"/>
          <w:lang w:val="en-US" w:eastAsia="zh-CN"/>
        </w:rPr>
        <w:t>响应供应商</w:t>
      </w:r>
      <w:r>
        <w:rPr>
          <w:rFonts w:hint="eastAsia" w:ascii="仿宋" w:hAnsi="仿宋" w:eastAsia="仿宋" w:cs="仿宋"/>
          <w:color w:val="auto"/>
          <w:sz w:val="28"/>
          <w:szCs w:val="28"/>
        </w:rPr>
        <w:t>单位盖章和单位负责人签字或盖章的；</w:t>
      </w:r>
    </w:p>
    <w:p w14:paraId="3719410D">
      <w:pPr>
        <w:pageBreakBefore w:val="0"/>
        <w:widowControl w:val="0"/>
        <w:kinsoku/>
        <w:wordWrap/>
        <w:overflowPunct/>
        <w:topLinePunct w:val="0"/>
        <w:autoSpaceDE/>
        <w:autoSpaceDN/>
        <w:bidi w:val="0"/>
        <w:adjustRightInd/>
        <w:snapToGrid/>
        <w:spacing w:line="52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未按</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要求交纳</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的；</w:t>
      </w:r>
    </w:p>
    <w:p w14:paraId="71EECFF1">
      <w:pPr>
        <w:pageBreakBefore w:val="0"/>
        <w:widowControl w:val="0"/>
        <w:kinsoku/>
        <w:wordWrap/>
        <w:overflowPunct/>
        <w:topLinePunct w:val="0"/>
        <w:autoSpaceDE/>
        <w:autoSpaceDN/>
        <w:bidi w:val="0"/>
        <w:adjustRightInd/>
        <w:snapToGrid/>
        <w:spacing w:line="52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不符合</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规定的资格条件的；</w:t>
      </w:r>
    </w:p>
    <w:p w14:paraId="72C9D508">
      <w:pPr>
        <w:pageBreakBefore w:val="0"/>
        <w:widowControl w:val="0"/>
        <w:kinsoku/>
        <w:wordWrap/>
        <w:overflowPunct/>
        <w:topLinePunct w:val="0"/>
        <w:autoSpaceDE/>
        <w:autoSpaceDN/>
        <w:bidi w:val="0"/>
        <w:adjustRightInd/>
        <w:snapToGrid/>
        <w:spacing w:line="52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提交两份或多份内容不同的</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，或在同一份</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中有两个或多个报价，且未声明哪一个为最终报价的；</w:t>
      </w:r>
    </w:p>
    <w:p w14:paraId="6FAFDF5D">
      <w:pPr>
        <w:pageBreakBefore w:val="0"/>
        <w:widowControl w:val="0"/>
        <w:kinsoku/>
        <w:wordWrap/>
        <w:overflowPunct/>
        <w:topLinePunct w:val="0"/>
        <w:autoSpaceDE/>
        <w:autoSpaceDN/>
        <w:bidi w:val="0"/>
        <w:adjustRightInd/>
        <w:snapToGrid/>
        <w:spacing w:line="52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报价明显低于其他</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，且</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不能合理说明或者提供相关证明材料，</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认定该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以低于成本价竞标的；</w:t>
      </w:r>
    </w:p>
    <w:p w14:paraId="08E6B81B">
      <w:pPr>
        <w:pageBreakBefore w:val="0"/>
        <w:widowControl w:val="0"/>
        <w:kinsoku/>
        <w:wordWrap/>
        <w:overflowPunct/>
        <w:topLinePunct w:val="0"/>
        <w:autoSpaceDE/>
        <w:autoSpaceDN/>
        <w:bidi w:val="0"/>
        <w:adjustRightInd/>
        <w:snapToGrid/>
        <w:spacing w:line="52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有效期达不到</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要求的；</w:t>
      </w:r>
    </w:p>
    <w:p w14:paraId="1BC8E2AC">
      <w:pPr>
        <w:pageBreakBefore w:val="0"/>
        <w:widowControl w:val="0"/>
        <w:kinsoku/>
        <w:wordWrap/>
        <w:overflowPunct/>
        <w:topLinePunct w:val="0"/>
        <w:autoSpaceDE/>
        <w:autoSpaceDN/>
        <w:bidi w:val="0"/>
        <w:adjustRightInd/>
        <w:snapToGrid/>
        <w:spacing w:line="52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方案出现严重漏项，已影响到该项目的实施的；</w:t>
      </w:r>
    </w:p>
    <w:p w14:paraId="74F4B648">
      <w:pPr>
        <w:pageBreakBefore w:val="0"/>
        <w:widowControl w:val="0"/>
        <w:kinsoku/>
        <w:wordWrap/>
        <w:overflowPunct/>
        <w:topLinePunct w:val="0"/>
        <w:autoSpaceDE/>
        <w:autoSpaceDN/>
        <w:bidi w:val="0"/>
        <w:adjustRightInd/>
        <w:snapToGrid/>
        <w:spacing w:line="52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有串通</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、弄虚作假、行贿等违法行为的。</w:t>
      </w:r>
    </w:p>
    <w:p w14:paraId="12D28E6C">
      <w:pPr>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有算术错误的，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按以下原则要求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进</w:t>
      </w:r>
      <w:bookmarkStart w:id="65" w:name="_Toc152045603"/>
      <w:bookmarkStart w:id="66" w:name="_Toc2907"/>
      <w:bookmarkStart w:id="67" w:name="_Toc361508651"/>
      <w:bookmarkStart w:id="68" w:name="_Toc144974570"/>
      <w:bookmarkStart w:id="69" w:name="_Toc384308277"/>
      <w:bookmarkStart w:id="70" w:name="_Toc152042380"/>
      <w:bookmarkStart w:id="71" w:name="_Toc352691538"/>
      <w:bookmarkStart w:id="72" w:name="_Toc247527628"/>
      <w:bookmarkStart w:id="73" w:name="_Toc369531582"/>
      <w:bookmarkStart w:id="74" w:name="_Toc300835013"/>
      <w:bookmarkStart w:id="75" w:name="_Toc247514027"/>
      <w:r>
        <w:rPr>
          <w:rFonts w:hint="eastAsia" w:ascii="仿宋" w:hAnsi="仿宋" w:eastAsia="仿宋" w:cs="仿宋"/>
          <w:color w:val="auto"/>
          <w:sz w:val="28"/>
          <w:szCs w:val="28"/>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拒不澄清确认的，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bookmarkStart w:id="76" w:name="_Toc33795835"/>
      <w:bookmarkStart w:id="77" w:name="_Toc13563"/>
      <w:bookmarkStart w:id="78" w:name="_Toc16955"/>
      <w:bookmarkStart w:id="79" w:name="_Toc29291"/>
    </w:p>
    <w:p w14:paraId="74649D2E">
      <w:pPr>
        <w:pageBreakBefore w:val="0"/>
        <w:widowControl w:val="0"/>
        <w:kinsoku/>
        <w:wordWrap/>
        <w:overflowPunct/>
        <w:topLinePunct w:val="0"/>
        <w:autoSpaceDE/>
        <w:autoSpaceDN/>
        <w:bidi w:val="0"/>
        <w:adjustRightInd/>
        <w:snapToGrid/>
        <w:spacing w:line="52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中的大写金额与小写金额不一致的，以大写金额为准；</w:t>
      </w:r>
    </w:p>
    <w:p w14:paraId="73DAB5ED">
      <w:pPr>
        <w:pageBreakBefore w:val="0"/>
        <w:widowControl w:val="0"/>
        <w:kinsoku/>
        <w:wordWrap/>
        <w:overflowPunct/>
        <w:topLinePunct w:val="0"/>
        <w:autoSpaceDE/>
        <w:autoSpaceDN/>
        <w:bidi w:val="0"/>
        <w:adjustRightInd/>
        <w:snapToGrid/>
        <w:spacing w:line="52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总价金额与单价金额不一致的，以单价金额为准，但单价金额小数点有明显错误的除外；</w:t>
      </w:r>
    </w:p>
    <w:p w14:paraId="5857DEF0">
      <w:pPr>
        <w:pageBreakBefore w:val="0"/>
        <w:widowControl w:val="0"/>
        <w:kinsoku/>
        <w:wordWrap/>
        <w:overflowPunct/>
        <w:topLinePunct w:val="0"/>
        <w:autoSpaceDE/>
        <w:autoSpaceDN/>
        <w:bidi w:val="0"/>
        <w:adjustRightInd/>
        <w:snapToGrid/>
        <w:spacing w:line="520" w:lineRule="exact"/>
        <w:ind w:firstLine="280" w:firstLineChars="1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为各分项报价金额之和，</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与分项报价的合价不一致的，应以各分项合价累计数为准，修正</w:t>
      </w:r>
      <w:r>
        <w:rPr>
          <w:rFonts w:hint="eastAsia" w:ascii="仿宋" w:hAnsi="仿宋" w:eastAsia="仿宋" w:cs="仿宋"/>
          <w:color w:val="auto"/>
          <w:sz w:val="28"/>
          <w:szCs w:val="28"/>
          <w:lang w:eastAsia="zh-CN"/>
        </w:rPr>
        <w:t>响应报价。</w:t>
      </w:r>
      <w:bookmarkEnd w:id="76"/>
      <w:bookmarkEnd w:id="77"/>
      <w:bookmarkEnd w:id="78"/>
      <w:bookmarkEnd w:id="79"/>
    </w:p>
    <w:p w14:paraId="5205E1B7">
      <w:pPr>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发现</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的报价明显低于其他</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，使得其</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可能低于其个别成本的，应当要求该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作出书面说明并提供相应的证明材料。</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不能合理说明或者不能提供相应证明材料的，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应当认定该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以低于成本报价竞标，并否决其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p>
    <w:p w14:paraId="4A1A65B6">
      <w:pPr>
        <w:pStyle w:val="4"/>
        <w:pageBreakBefore w:val="0"/>
        <w:widowControl w:val="0"/>
        <w:kinsoku/>
        <w:wordWrap/>
        <w:overflowPunct/>
        <w:topLinePunct w:val="0"/>
        <w:autoSpaceDE/>
        <w:autoSpaceDN/>
        <w:bidi w:val="0"/>
        <w:adjustRightInd/>
        <w:snapToGrid/>
        <w:spacing w:before="0" w:after="0" w:line="520" w:lineRule="exact"/>
        <w:ind w:left="0" w:leftChars="0" w:firstLine="280" w:firstLineChars="100"/>
        <w:jc w:val="both"/>
        <w:textAlignment w:val="auto"/>
        <w:rPr>
          <w:rFonts w:hint="eastAsia" w:ascii="仿宋" w:hAnsi="仿宋" w:eastAsia="仿宋" w:cs="仿宋"/>
          <w:color w:val="auto"/>
          <w:sz w:val="28"/>
          <w:szCs w:val="28"/>
        </w:rPr>
      </w:pPr>
      <w:bookmarkStart w:id="80" w:name="_Toc33795836"/>
      <w:bookmarkStart w:id="81" w:name="_Toc3366"/>
      <w:bookmarkStart w:id="82" w:name="_Toc15253"/>
      <w:bookmarkStart w:id="83" w:name="_Toc32669"/>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的澄清</w:t>
      </w:r>
      <w:bookmarkEnd w:id="80"/>
      <w:bookmarkEnd w:id="81"/>
      <w:bookmarkEnd w:id="82"/>
      <w:bookmarkEnd w:id="83"/>
    </w:p>
    <w:p w14:paraId="51119C01">
      <w:pPr>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评审过程</w:t>
      </w:r>
      <w:r>
        <w:rPr>
          <w:rFonts w:hint="eastAsia" w:ascii="仿宋" w:hAnsi="仿宋" w:eastAsia="仿宋" w:cs="仿宋"/>
          <w:color w:val="auto"/>
          <w:sz w:val="28"/>
          <w:szCs w:val="28"/>
        </w:rPr>
        <w:t>中，</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中含义不明确、对同类问题表述不一致或者有明显文字和计算错误的内容可以书面形式要求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作必要的澄清、说明或补正。</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不接受</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主动提出的澄清、说明或补正。</w:t>
      </w:r>
    </w:p>
    <w:p w14:paraId="5651EB10">
      <w:pPr>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澄清、说明或补正不得超出</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的范围且不得改变</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的实质性内容，并构成</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的组成部分。</w:t>
      </w:r>
    </w:p>
    <w:p w14:paraId="0CD387AD">
      <w:pPr>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提交的澄清、说明或补正有疑问的，可以要求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进一步澄清、说明或补正，直至满足</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的要求。</w:t>
      </w:r>
    </w:p>
    <w:p w14:paraId="07BDA1A1">
      <w:pPr>
        <w:pStyle w:val="4"/>
        <w:pageBreakBefore w:val="0"/>
        <w:widowControl w:val="0"/>
        <w:kinsoku/>
        <w:wordWrap/>
        <w:overflowPunct/>
        <w:topLinePunct w:val="0"/>
        <w:autoSpaceDE/>
        <w:autoSpaceDN/>
        <w:bidi w:val="0"/>
        <w:adjustRightInd/>
        <w:snapToGrid/>
        <w:spacing w:before="0" w:after="0" w:line="520" w:lineRule="exact"/>
        <w:ind w:left="0" w:leftChars="0" w:firstLine="280" w:firstLineChars="1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lang w:eastAsia="zh-CN"/>
        </w:rPr>
        <w:t>）评审结果</w:t>
      </w:r>
    </w:p>
    <w:p w14:paraId="2FB4188D">
      <w:pPr>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按照</w:t>
      </w:r>
      <w:r>
        <w:rPr>
          <w:rFonts w:hint="eastAsia" w:ascii="仿宋" w:hAnsi="仿宋" w:eastAsia="仿宋" w:cs="仿宋"/>
          <w:color w:val="auto"/>
          <w:sz w:val="28"/>
          <w:szCs w:val="28"/>
          <w:lang w:val="en-US" w:eastAsia="zh-CN"/>
        </w:rPr>
        <w:t>价格由</w:t>
      </w:r>
      <w:r>
        <w:rPr>
          <w:rFonts w:hint="eastAsia" w:ascii="仿宋" w:hAnsi="仿宋" w:eastAsia="仿宋" w:cs="仿宋"/>
          <w:color w:val="auto"/>
          <w:sz w:val="28"/>
          <w:szCs w:val="28"/>
        </w:rPr>
        <w:t>低</w:t>
      </w:r>
      <w:r>
        <w:rPr>
          <w:rFonts w:hint="eastAsia" w:ascii="仿宋" w:hAnsi="仿宋" w:eastAsia="仿宋" w:cs="仿宋"/>
          <w:color w:val="auto"/>
          <w:sz w:val="28"/>
          <w:szCs w:val="28"/>
          <w:lang w:val="en-US" w:eastAsia="zh-CN"/>
        </w:rPr>
        <w:t>到高</w:t>
      </w:r>
      <w:r>
        <w:rPr>
          <w:rFonts w:hint="eastAsia" w:ascii="仿宋" w:hAnsi="仿宋" w:eastAsia="仿宋" w:cs="仿宋"/>
          <w:color w:val="auto"/>
          <w:sz w:val="28"/>
          <w:szCs w:val="28"/>
        </w:rPr>
        <w:t>的顺序推荐</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，并标明排序。</w:t>
      </w:r>
    </w:p>
    <w:p w14:paraId="4489F1CD">
      <w:pPr>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完成评标后，应当向</w:t>
      </w:r>
      <w:r>
        <w:rPr>
          <w:rFonts w:hint="eastAsia" w:ascii="仿宋" w:hAnsi="仿宋" w:eastAsia="仿宋" w:cs="仿宋"/>
          <w:color w:val="auto"/>
          <w:sz w:val="28"/>
          <w:szCs w:val="28"/>
          <w:lang w:val="en-US" w:eastAsia="zh-CN"/>
        </w:rPr>
        <w:t>招标办公室</w:t>
      </w:r>
      <w:r>
        <w:rPr>
          <w:rFonts w:hint="eastAsia" w:ascii="仿宋" w:hAnsi="仿宋" w:eastAsia="仿宋" w:cs="仿宋"/>
          <w:color w:val="auto"/>
          <w:sz w:val="28"/>
          <w:szCs w:val="28"/>
        </w:rPr>
        <w:t>提交书面</w:t>
      </w:r>
      <w:r>
        <w:rPr>
          <w:rFonts w:hint="eastAsia" w:ascii="仿宋" w:hAnsi="仿宋" w:eastAsia="仿宋" w:cs="仿宋"/>
          <w:color w:val="auto"/>
          <w:sz w:val="28"/>
          <w:szCs w:val="28"/>
          <w:lang w:eastAsia="zh-CN"/>
        </w:rPr>
        <w:t>评审报告</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名单。</w:t>
      </w:r>
    </w:p>
    <w:p w14:paraId="5470B6F9">
      <w:pPr>
        <w:pStyle w:val="3"/>
        <w:kinsoku/>
        <w:wordWrap/>
        <w:overflowPunct/>
        <w:topLinePunct w:val="0"/>
        <w:autoSpaceDE/>
        <w:autoSpaceDN/>
        <w:bidi w:val="0"/>
        <w:snapToGrid/>
        <w:spacing w:before="0" w:after="0" w:line="520" w:lineRule="exact"/>
        <w:ind w:left="0" w:firstLine="562" w:firstLineChars="200"/>
        <w:jc w:val="both"/>
        <w:rPr>
          <w:rFonts w:hint="eastAsia" w:ascii="仿宋" w:hAnsi="仿宋" w:eastAsia="仿宋" w:cs="仿宋"/>
          <w:color w:val="auto"/>
          <w:sz w:val="28"/>
          <w:szCs w:val="28"/>
        </w:rPr>
      </w:pPr>
      <w:bookmarkStart w:id="84" w:name="_Toc8518"/>
      <w:bookmarkStart w:id="85" w:name="_Toc33795807"/>
      <w:bookmarkStart w:id="86" w:name="_Toc9481"/>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rPr>
        <w:t>合同授予</w:t>
      </w:r>
      <w:bookmarkEnd w:id="84"/>
      <w:bookmarkEnd w:id="85"/>
      <w:bookmarkEnd w:id="86"/>
    </w:p>
    <w:p w14:paraId="5DD0CD31">
      <w:pPr>
        <w:pStyle w:val="4"/>
        <w:kinsoku/>
        <w:wordWrap/>
        <w:overflowPunct/>
        <w:topLinePunct w:val="0"/>
        <w:autoSpaceDE/>
        <w:autoSpaceDN/>
        <w:bidi w:val="0"/>
        <w:snapToGrid/>
        <w:spacing w:before="0" w:after="0" w:line="520" w:lineRule="exact"/>
        <w:ind w:left="0" w:leftChars="0" w:firstLine="280" w:firstLineChars="100"/>
        <w:jc w:val="both"/>
        <w:rPr>
          <w:rFonts w:hint="eastAsia" w:ascii="仿宋" w:hAnsi="仿宋" w:eastAsia="仿宋" w:cs="仿宋"/>
          <w:color w:val="auto"/>
          <w:sz w:val="28"/>
          <w:szCs w:val="28"/>
        </w:rPr>
      </w:pPr>
      <w:bookmarkStart w:id="87" w:name="_Toc30852"/>
      <w:bookmarkStart w:id="88" w:name="_Toc21093"/>
      <w:bookmarkStart w:id="89" w:name="_Toc33795808"/>
      <w:bookmarkStart w:id="90" w:name="_Toc16094"/>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一</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公示</w:t>
      </w:r>
      <w:bookmarkEnd w:id="87"/>
      <w:bookmarkEnd w:id="88"/>
      <w:bookmarkEnd w:id="89"/>
      <w:bookmarkEnd w:id="90"/>
    </w:p>
    <w:p w14:paraId="447CDBFB">
      <w:pPr>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val="en-US" w:eastAsia="zh-CN"/>
        </w:rPr>
        <w:t>招标办</w:t>
      </w:r>
      <w:r>
        <w:rPr>
          <w:rFonts w:hint="eastAsia" w:ascii="仿宋" w:hAnsi="仿宋" w:eastAsia="仿宋" w:cs="仿宋"/>
          <w:color w:val="auto"/>
          <w:sz w:val="28"/>
          <w:szCs w:val="28"/>
        </w:rPr>
        <w:t>收到</w:t>
      </w:r>
      <w:r>
        <w:rPr>
          <w:rFonts w:hint="eastAsia" w:ascii="仿宋" w:hAnsi="仿宋" w:eastAsia="仿宋" w:cs="仿宋"/>
          <w:color w:val="auto"/>
          <w:sz w:val="28"/>
          <w:szCs w:val="28"/>
          <w:lang w:eastAsia="zh-CN"/>
        </w:rPr>
        <w:t>评审报告</w:t>
      </w:r>
      <w:r>
        <w:rPr>
          <w:rFonts w:hint="eastAsia" w:ascii="仿宋" w:hAnsi="仿宋" w:eastAsia="仿宋" w:cs="仿宋"/>
          <w:color w:val="auto"/>
          <w:sz w:val="28"/>
          <w:szCs w:val="28"/>
        </w:rPr>
        <w:t>之日起3日内</w:t>
      </w:r>
      <w:r>
        <w:rPr>
          <w:rFonts w:hint="eastAsia" w:ascii="仿宋" w:hAnsi="仿宋" w:eastAsia="仿宋" w:cs="仿宋"/>
          <w:color w:val="auto"/>
          <w:sz w:val="28"/>
          <w:szCs w:val="28"/>
          <w:lang w:val="en-US" w:eastAsia="zh-CN"/>
        </w:rPr>
        <w:t>确定成交人</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并在陕西锌业有限公司网络采购平台www.sxxyjjpt.com公示成交候选人，公示期不少于3天</w:t>
      </w:r>
      <w:r>
        <w:rPr>
          <w:rFonts w:hint="eastAsia" w:ascii="仿宋" w:hAnsi="仿宋" w:eastAsia="仿宋" w:cs="仿宋"/>
          <w:color w:val="auto"/>
          <w:sz w:val="28"/>
          <w:szCs w:val="28"/>
        </w:rPr>
        <w:t>。</w:t>
      </w:r>
    </w:p>
    <w:p w14:paraId="536712FF">
      <w:pPr>
        <w:pStyle w:val="4"/>
        <w:kinsoku/>
        <w:wordWrap/>
        <w:overflowPunct/>
        <w:topLinePunct w:val="0"/>
        <w:autoSpaceDE/>
        <w:autoSpaceDN/>
        <w:bidi w:val="0"/>
        <w:snapToGrid/>
        <w:spacing w:before="0" w:after="0" w:line="520" w:lineRule="exact"/>
        <w:ind w:left="0" w:leftChars="0" w:firstLine="280" w:firstLineChars="100"/>
        <w:jc w:val="both"/>
        <w:rPr>
          <w:rFonts w:hint="eastAsia" w:ascii="仿宋" w:hAnsi="仿宋" w:eastAsia="仿宋" w:cs="仿宋"/>
          <w:color w:val="auto"/>
          <w:sz w:val="28"/>
          <w:szCs w:val="28"/>
        </w:rPr>
      </w:pPr>
      <w:bookmarkStart w:id="91" w:name="_Toc19079"/>
      <w:bookmarkStart w:id="92" w:name="_Toc7018"/>
      <w:bookmarkStart w:id="93" w:name="_Toc33795809"/>
      <w:bookmarkStart w:id="94" w:name="_Toc10372"/>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）评审结果</w:t>
      </w:r>
      <w:r>
        <w:rPr>
          <w:rFonts w:hint="eastAsia" w:ascii="仿宋" w:hAnsi="仿宋" w:eastAsia="仿宋" w:cs="仿宋"/>
          <w:color w:val="auto"/>
          <w:sz w:val="28"/>
          <w:szCs w:val="28"/>
        </w:rPr>
        <w:t>异议</w:t>
      </w:r>
      <w:bookmarkEnd w:id="91"/>
      <w:bookmarkEnd w:id="92"/>
      <w:bookmarkEnd w:id="93"/>
      <w:bookmarkEnd w:id="94"/>
    </w:p>
    <w:p w14:paraId="386CD983">
      <w:pPr>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或者其他利</w:t>
      </w:r>
      <w:bookmarkStart w:id="95" w:name="_Toc152045561"/>
      <w:bookmarkStart w:id="96" w:name="_Toc30095"/>
      <w:bookmarkStart w:id="97" w:name="_Toc144974529"/>
      <w:bookmarkStart w:id="98" w:name="_Toc247527586"/>
      <w:bookmarkStart w:id="99" w:name="_Toc152042337"/>
      <w:bookmarkStart w:id="100" w:name="_Toc384308243"/>
      <w:bookmarkStart w:id="101" w:name="_Toc300834982"/>
      <w:bookmarkStart w:id="102" w:name="_Toc247513985"/>
      <w:bookmarkStart w:id="103" w:name="_Toc361508618"/>
      <w:bookmarkStart w:id="104" w:name="_Toc352691505"/>
      <w:bookmarkStart w:id="105" w:name="_Toc369531549"/>
      <w:r>
        <w:rPr>
          <w:rFonts w:hint="eastAsia" w:ascii="仿宋" w:hAnsi="仿宋" w:eastAsia="仿宋" w:cs="仿宋"/>
          <w:color w:val="auto"/>
          <w:sz w:val="28"/>
          <w:szCs w:val="28"/>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28"/>
          <w:szCs w:val="28"/>
          <w:lang w:eastAsia="zh-CN"/>
        </w:rPr>
        <w:t>评审结果</w:t>
      </w:r>
      <w:r>
        <w:rPr>
          <w:rFonts w:hint="eastAsia" w:ascii="仿宋" w:hAnsi="仿宋" w:eastAsia="仿宋" w:cs="仿宋"/>
          <w:color w:val="auto"/>
          <w:sz w:val="28"/>
          <w:szCs w:val="28"/>
        </w:rPr>
        <w:t>有异议的，应当在</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公示期间提出。</w:t>
      </w:r>
      <w:r>
        <w:rPr>
          <w:rFonts w:hint="eastAsia" w:ascii="仿宋" w:hAnsi="仿宋" w:eastAsia="仿宋" w:cs="仿宋"/>
          <w:color w:val="auto"/>
          <w:sz w:val="28"/>
          <w:szCs w:val="28"/>
          <w:lang w:eastAsia="zh-CN"/>
        </w:rPr>
        <w:t>采购</w:t>
      </w:r>
      <w:r>
        <w:rPr>
          <w:rFonts w:hint="eastAsia" w:ascii="仿宋" w:hAnsi="仿宋" w:eastAsia="仿宋" w:cs="仿宋"/>
          <w:color w:val="auto"/>
          <w:sz w:val="28"/>
          <w:szCs w:val="28"/>
          <w:lang w:val="en-US" w:eastAsia="zh-CN"/>
        </w:rPr>
        <w:t>人</w:t>
      </w:r>
      <w:r>
        <w:rPr>
          <w:rFonts w:hint="eastAsia" w:ascii="仿宋" w:hAnsi="仿宋" w:eastAsia="仿宋" w:cs="仿宋"/>
          <w:color w:val="auto"/>
          <w:sz w:val="28"/>
          <w:szCs w:val="28"/>
        </w:rPr>
        <w:t>在收到异议之日起3日内</w:t>
      </w:r>
      <w:r>
        <w:rPr>
          <w:rFonts w:hint="eastAsia" w:ascii="仿宋" w:hAnsi="仿宋" w:eastAsia="仿宋" w:cs="仿宋"/>
          <w:color w:val="auto"/>
          <w:sz w:val="28"/>
          <w:szCs w:val="28"/>
          <w:lang w:val="en-US" w:eastAsia="zh-CN"/>
        </w:rPr>
        <w:t>对异议</w:t>
      </w:r>
      <w:r>
        <w:rPr>
          <w:rFonts w:hint="eastAsia" w:ascii="仿宋" w:hAnsi="仿宋" w:eastAsia="仿宋" w:cs="仿宋"/>
          <w:color w:val="auto"/>
          <w:sz w:val="28"/>
          <w:szCs w:val="28"/>
        </w:rPr>
        <w:t>作出答复；作出答复前，将暂停</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活动。</w:t>
      </w:r>
    </w:p>
    <w:p w14:paraId="6516C05B">
      <w:pPr>
        <w:pStyle w:val="4"/>
        <w:kinsoku/>
        <w:wordWrap/>
        <w:overflowPunct/>
        <w:topLinePunct w:val="0"/>
        <w:autoSpaceDE/>
        <w:autoSpaceDN/>
        <w:bidi w:val="0"/>
        <w:snapToGrid/>
        <w:spacing w:before="0" w:after="0" w:line="520" w:lineRule="exact"/>
        <w:ind w:left="0" w:leftChars="0" w:firstLine="280" w:firstLineChars="100"/>
        <w:jc w:val="both"/>
        <w:rPr>
          <w:rFonts w:hint="eastAsia" w:ascii="仿宋" w:hAnsi="仿宋" w:eastAsia="仿宋" w:cs="仿宋"/>
          <w:color w:val="auto"/>
          <w:sz w:val="28"/>
          <w:szCs w:val="28"/>
        </w:rPr>
      </w:pPr>
      <w:bookmarkStart w:id="106" w:name="_Toc28756"/>
      <w:bookmarkStart w:id="107" w:name="_Toc25590"/>
      <w:bookmarkStart w:id="108" w:name="_Toc33795810"/>
      <w:bookmarkStart w:id="109" w:name="_Toc21648"/>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履约能力审查</w:t>
      </w:r>
      <w:bookmarkEnd w:id="106"/>
      <w:bookmarkEnd w:id="107"/>
      <w:bookmarkEnd w:id="108"/>
      <w:bookmarkEnd w:id="109"/>
    </w:p>
    <w:p w14:paraId="7CC24F19">
      <w:pPr>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的经营、财务状况发生较大变化或存在违法行为，</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认为可能影响其履约能力的，</w:t>
      </w:r>
      <w:r>
        <w:rPr>
          <w:rFonts w:hint="eastAsia" w:ascii="仿宋" w:hAnsi="仿宋" w:eastAsia="仿宋" w:cs="仿宋"/>
          <w:color w:val="auto"/>
          <w:sz w:val="28"/>
          <w:szCs w:val="28"/>
          <w:lang w:val="en-US" w:eastAsia="zh-CN"/>
        </w:rPr>
        <w:t>采购人招标办公室</w:t>
      </w:r>
      <w:r>
        <w:rPr>
          <w:rFonts w:hint="eastAsia" w:ascii="仿宋" w:hAnsi="仿宋" w:eastAsia="仿宋" w:cs="仿宋"/>
          <w:color w:val="auto"/>
          <w:sz w:val="28"/>
          <w:szCs w:val="28"/>
        </w:rPr>
        <w:t>将在发出</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通知书前提请原</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按照</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规定的标准和方法进行审查和确认。</w:t>
      </w:r>
    </w:p>
    <w:p w14:paraId="37470340">
      <w:pPr>
        <w:pStyle w:val="4"/>
        <w:kinsoku/>
        <w:wordWrap/>
        <w:overflowPunct/>
        <w:topLinePunct w:val="0"/>
        <w:autoSpaceDE/>
        <w:autoSpaceDN/>
        <w:bidi w:val="0"/>
        <w:snapToGrid/>
        <w:spacing w:before="0" w:after="0" w:line="520" w:lineRule="exact"/>
        <w:ind w:left="0" w:leftChars="0" w:firstLine="280" w:firstLineChars="100"/>
        <w:jc w:val="both"/>
        <w:rPr>
          <w:rFonts w:hint="eastAsia" w:ascii="仿宋" w:hAnsi="仿宋" w:eastAsia="仿宋" w:cs="仿宋"/>
          <w:color w:val="auto"/>
          <w:sz w:val="28"/>
          <w:szCs w:val="28"/>
          <w:lang w:val="en-US"/>
        </w:rPr>
      </w:pPr>
      <w:bookmarkStart w:id="110" w:name="_Toc2191"/>
      <w:bookmarkStart w:id="111" w:name="_Toc19470"/>
      <w:bookmarkStart w:id="112" w:name="_Toc24665"/>
      <w:bookmarkStart w:id="113" w:name="_Toc33795811"/>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eastAsia="zh-CN"/>
        </w:rPr>
        <w:t>）</w:t>
      </w:r>
      <w:bookmarkEnd w:id="110"/>
      <w:bookmarkEnd w:id="111"/>
      <w:bookmarkEnd w:id="112"/>
      <w:bookmarkEnd w:id="113"/>
      <w:r>
        <w:rPr>
          <w:rFonts w:hint="eastAsia" w:ascii="仿宋" w:hAnsi="仿宋" w:eastAsia="仿宋" w:cs="仿宋"/>
          <w:color w:val="auto"/>
          <w:sz w:val="28"/>
          <w:szCs w:val="28"/>
          <w:lang w:val="en-US" w:eastAsia="zh-CN"/>
        </w:rPr>
        <w:t>确定成交人</w:t>
      </w:r>
    </w:p>
    <w:p w14:paraId="32C19CEE">
      <w:pPr>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val="en-US" w:eastAsia="zh-CN"/>
        </w:rPr>
        <w:t>单位履行内部审批程序，根据</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lang w:val="en-US" w:eastAsia="zh-CN"/>
        </w:rPr>
        <w:t>的评审报告及成交人候选人名单</w:t>
      </w:r>
      <w:r>
        <w:rPr>
          <w:rFonts w:hint="eastAsia" w:ascii="仿宋" w:hAnsi="仿宋" w:eastAsia="仿宋" w:cs="仿宋"/>
          <w:color w:val="auto"/>
          <w:sz w:val="28"/>
          <w:szCs w:val="28"/>
        </w:rPr>
        <w:t>确定</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w:t>
      </w:r>
    </w:p>
    <w:p w14:paraId="7115E858">
      <w:pPr>
        <w:pStyle w:val="4"/>
        <w:kinsoku/>
        <w:wordWrap/>
        <w:overflowPunct/>
        <w:topLinePunct w:val="0"/>
        <w:autoSpaceDE/>
        <w:autoSpaceDN/>
        <w:bidi w:val="0"/>
        <w:snapToGrid/>
        <w:spacing w:before="0" w:after="0" w:line="520" w:lineRule="exact"/>
        <w:ind w:left="0" w:leftChars="0" w:firstLine="280" w:firstLineChars="100"/>
        <w:jc w:val="both"/>
        <w:rPr>
          <w:rFonts w:hint="eastAsia" w:ascii="仿宋" w:hAnsi="仿宋" w:eastAsia="仿宋" w:cs="仿宋"/>
          <w:color w:val="auto"/>
          <w:sz w:val="28"/>
          <w:szCs w:val="28"/>
        </w:rPr>
      </w:pPr>
      <w:bookmarkStart w:id="114" w:name="_Toc33795812"/>
      <w:bookmarkStart w:id="115" w:name="_Toc10813"/>
      <w:bookmarkStart w:id="116" w:name="_Toc6928"/>
      <w:bookmarkStart w:id="117" w:name="_Toc31681"/>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w:t>
      </w:r>
      <w:bookmarkEnd w:id="114"/>
      <w:bookmarkEnd w:id="115"/>
      <w:bookmarkEnd w:id="116"/>
      <w:bookmarkEnd w:id="117"/>
    </w:p>
    <w:p w14:paraId="3F599C4C">
      <w:pPr>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val="en-US" w:eastAsia="zh-CN"/>
        </w:rPr>
        <w:t>采购主责部门</w:t>
      </w:r>
      <w:r>
        <w:rPr>
          <w:rFonts w:hint="eastAsia" w:ascii="仿宋" w:hAnsi="仿宋" w:eastAsia="仿宋" w:cs="仿宋"/>
          <w:color w:val="auto"/>
          <w:sz w:val="28"/>
          <w:szCs w:val="28"/>
        </w:rPr>
        <w:t>以书面形式向</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人发出</w:t>
      </w:r>
      <w:bookmarkStart w:id="118" w:name="_Toc384308244"/>
      <w:bookmarkStart w:id="119" w:name="_Toc5668"/>
      <w:bookmarkStart w:id="120" w:name="_Toc300834983"/>
      <w:bookmarkStart w:id="121" w:name="_Toc352691506"/>
      <w:bookmarkStart w:id="122" w:name="_Toc369531550"/>
      <w:bookmarkStart w:id="123" w:name="_Toc361508619"/>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通知书，同时将</w:t>
      </w:r>
      <w:bookmarkEnd w:id="118"/>
      <w:bookmarkEnd w:id="119"/>
      <w:bookmarkEnd w:id="120"/>
      <w:bookmarkEnd w:id="121"/>
      <w:bookmarkEnd w:id="122"/>
      <w:bookmarkEnd w:id="123"/>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结果通知未</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供应商。</w:t>
      </w:r>
    </w:p>
    <w:p w14:paraId="1D715526">
      <w:pPr>
        <w:pStyle w:val="4"/>
        <w:kinsoku/>
        <w:wordWrap/>
        <w:overflowPunct/>
        <w:topLinePunct w:val="0"/>
        <w:autoSpaceDE/>
        <w:autoSpaceDN/>
        <w:bidi w:val="0"/>
        <w:snapToGrid/>
        <w:spacing w:before="0" w:after="0" w:line="520" w:lineRule="exact"/>
        <w:ind w:left="0" w:leftChars="0" w:firstLine="280" w:firstLineChars="100"/>
        <w:jc w:val="both"/>
        <w:rPr>
          <w:rFonts w:hint="eastAsia" w:ascii="仿宋" w:hAnsi="仿宋" w:eastAsia="仿宋" w:cs="仿宋"/>
          <w:color w:val="auto"/>
          <w:sz w:val="28"/>
          <w:szCs w:val="28"/>
        </w:rPr>
      </w:pPr>
      <w:bookmarkStart w:id="124" w:name="_Toc4342"/>
      <w:bookmarkStart w:id="125" w:name="_Toc21613"/>
      <w:bookmarkStart w:id="126" w:name="_Toc33795813"/>
      <w:bookmarkStart w:id="127" w:name="_Toc30705"/>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履约担保</w:t>
      </w:r>
      <w:bookmarkEnd w:id="124"/>
      <w:bookmarkEnd w:id="125"/>
      <w:bookmarkEnd w:id="126"/>
      <w:bookmarkEnd w:id="127"/>
    </w:p>
    <w:p w14:paraId="6AD00B73">
      <w:pPr>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人应</w:t>
      </w:r>
      <w:r>
        <w:rPr>
          <w:rFonts w:hint="eastAsia" w:ascii="仿宋" w:hAnsi="仿宋" w:eastAsia="仿宋" w:cs="仿宋"/>
          <w:color w:val="auto"/>
          <w:sz w:val="28"/>
          <w:szCs w:val="28"/>
          <w:lang w:val="en-US" w:eastAsia="zh-CN"/>
        </w:rPr>
        <w:t>按合同金额的10%以担保函或转账形式在收到成交通知后3日内</w:t>
      </w:r>
      <w:r>
        <w:rPr>
          <w:rFonts w:hint="eastAsia" w:ascii="仿宋" w:hAnsi="仿宋" w:eastAsia="仿宋" w:cs="仿宋"/>
          <w:color w:val="auto"/>
          <w:sz w:val="28"/>
          <w:szCs w:val="28"/>
        </w:rPr>
        <w:t>向</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提交履约担保。</w:t>
      </w:r>
    </w:p>
    <w:p w14:paraId="414205BC">
      <w:pPr>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人不能按</w:t>
      </w:r>
      <w:r>
        <w:rPr>
          <w:rFonts w:hint="eastAsia" w:ascii="仿宋" w:hAnsi="仿宋" w:eastAsia="仿宋" w:cs="仿宋"/>
          <w:color w:val="auto"/>
          <w:sz w:val="28"/>
          <w:szCs w:val="28"/>
          <w:lang w:val="en-US" w:eastAsia="zh-CN"/>
        </w:rPr>
        <w:t>前述</w:t>
      </w:r>
      <w:r>
        <w:rPr>
          <w:rFonts w:hint="eastAsia" w:ascii="仿宋" w:hAnsi="仿宋" w:eastAsia="仿宋" w:cs="仿宋"/>
          <w:color w:val="auto"/>
          <w:sz w:val="28"/>
          <w:szCs w:val="28"/>
        </w:rPr>
        <w:t>要求提交履约担保的，视为放弃</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，其</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不予退还，给</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造成的损失超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数额的，</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人还应当对超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rPr>
        <w:t>部分予以赔偿。</w:t>
      </w:r>
    </w:p>
    <w:p w14:paraId="29BA9A4D">
      <w:pPr>
        <w:pStyle w:val="4"/>
        <w:kinsoku/>
        <w:wordWrap/>
        <w:overflowPunct/>
        <w:topLinePunct w:val="0"/>
        <w:autoSpaceDE/>
        <w:autoSpaceDN/>
        <w:bidi w:val="0"/>
        <w:snapToGrid/>
        <w:spacing w:before="0" w:after="0" w:line="520" w:lineRule="exact"/>
        <w:ind w:left="0" w:leftChars="0" w:firstLine="280" w:firstLineChars="100"/>
        <w:jc w:val="both"/>
        <w:rPr>
          <w:rFonts w:hint="eastAsia" w:ascii="仿宋" w:hAnsi="仿宋" w:eastAsia="仿宋" w:cs="仿宋"/>
          <w:color w:val="auto"/>
          <w:sz w:val="28"/>
          <w:szCs w:val="28"/>
        </w:rPr>
      </w:pPr>
      <w:bookmarkStart w:id="128" w:name="_Toc14362"/>
      <w:bookmarkStart w:id="129" w:name="_Toc3671"/>
      <w:bookmarkStart w:id="130" w:name="_Toc11183"/>
      <w:bookmarkStart w:id="131" w:name="_Toc33795814"/>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签订合同</w:t>
      </w:r>
      <w:bookmarkEnd w:id="128"/>
      <w:bookmarkEnd w:id="129"/>
      <w:bookmarkEnd w:id="130"/>
      <w:bookmarkEnd w:id="131"/>
    </w:p>
    <w:p w14:paraId="5CAEA863">
      <w:pPr>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应当在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内，且在自</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通知书发出之日起</w:t>
      </w:r>
      <w:bookmarkStart w:id="132" w:name="_Toc247513988"/>
      <w:bookmarkStart w:id="133" w:name="_Toc361508622"/>
      <w:bookmarkStart w:id="134" w:name="_Toc384308247"/>
      <w:bookmarkStart w:id="135" w:name="_Toc4656"/>
      <w:bookmarkStart w:id="136" w:name="_Toc152042340"/>
      <w:bookmarkStart w:id="137" w:name="_Toc152045564"/>
      <w:bookmarkStart w:id="138" w:name="_Toc352691509"/>
      <w:bookmarkStart w:id="139" w:name="_Toc369531553"/>
      <w:bookmarkStart w:id="140" w:name="_Toc247527589"/>
      <w:bookmarkStart w:id="141" w:name="_Toc300834986"/>
      <w:bookmarkStart w:id="142" w:name="_Toc144974532"/>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人的</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订立书面合同。</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人无正</w:t>
      </w:r>
      <w:bookmarkStart w:id="143" w:name="_Toc247513989"/>
      <w:bookmarkStart w:id="144" w:name="_Toc369531554"/>
      <w:bookmarkStart w:id="145" w:name="_Toc247527590"/>
      <w:bookmarkStart w:id="146" w:name="_Toc152045565"/>
      <w:bookmarkStart w:id="147" w:name="_Toc152042341"/>
      <w:bookmarkStart w:id="148" w:name="_Toc384308248"/>
      <w:bookmarkStart w:id="149" w:name="_Toc300834987"/>
      <w:bookmarkStart w:id="150" w:name="_Toc361508623"/>
      <w:bookmarkStart w:id="151" w:name="_Toc352691510"/>
      <w:bookmarkStart w:id="152" w:name="_Toc18247"/>
      <w:bookmarkStart w:id="153" w:name="_Toc144974533"/>
      <w:r>
        <w:rPr>
          <w:rFonts w:hint="eastAsia" w:ascii="仿宋" w:hAnsi="仿宋" w:eastAsia="仿宋" w:cs="仿宋"/>
          <w:color w:val="auto"/>
          <w:sz w:val="28"/>
          <w:szCs w:val="28"/>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28"/>
          <w:szCs w:val="28"/>
        </w:rPr>
        <w:t>同，或者提出其他附加条件的，</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有权取消其</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资格，其</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不予退还；给</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造成的损失超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数额的，</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还应当对超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rPr>
        <w:t>部分予以赔偿。</w:t>
      </w:r>
    </w:p>
    <w:p w14:paraId="40DECB45">
      <w:pPr>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发出</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无正当理由拒签合同的，或者提出其他附加条件的，</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向</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人退还</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；给</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人造成损失的，还应当赔偿损失。</w:t>
      </w:r>
      <w:bookmarkStart w:id="154" w:name="_Toc24067"/>
      <w:bookmarkStart w:id="155" w:name="_Toc384308252"/>
      <w:bookmarkStart w:id="156" w:name="_Toc361508627"/>
      <w:bookmarkStart w:id="157" w:name="_Toc152045568"/>
      <w:bookmarkStart w:id="158" w:name="_Toc152042344"/>
      <w:bookmarkStart w:id="159" w:name="_Toc247513992"/>
      <w:bookmarkStart w:id="160" w:name="_Toc300834991"/>
      <w:bookmarkStart w:id="161" w:name="_Toc247527593"/>
      <w:bookmarkStart w:id="162" w:name="_Toc144974536"/>
    </w:p>
    <w:bookmarkEnd w:id="154"/>
    <w:bookmarkEnd w:id="155"/>
    <w:bookmarkEnd w:id="156"/>
    <w:p w14:paraId="5C60697D">
      <w:pPr>
        <w:pStyle w:val="3"/>
        <w:kinsoku/>
        <w:wordWrap/>
        <w:overflowPunct/>
        <w:topLinePunct w:val="0"/>
        <w:autoSpaceDE/>
        <w:autoSpaceDN/>
        <w:bidi w:val="0"/>
        <w:snapToGrid/>
        <w:spacing w:before="0" w:after="0" w:line="520" w:lineRule="exact"/>
        <w:ind w:left="0" w:firstLine="562" w:firstLineChars="200"/>
        <w:jc w:val="both"/>
        <w:rPr>
          <w:rFonts w:hint="eastAsia" w:ascii="仿宋" w:hAnsi="仿宋" w:eastAsia="仿宋" w:cs="仿宋"/>
          <w:color w:val="auto"/>
          <w:sz w:val="28"/>
          <w:szCs w:val="28"/>
        </w:rPr>
      </w:pPr>
      <w:bookmarkStart w:id="163" w:name="_Toc25347"/>
      <w:bookmarkStart w:id="164" w:name="_Toc33795815"/>
      <w:bookmarkStart w:id="165" w:name="_Toc14752"/>
      <w:r>
        <w:rPr>
          <w:rFonts w:hint="eastAsia" w:ascii="仿宋" w:hAnsi="仿宋" w:eastAsia="仿宋" w:cs="仿宋"/>
          <w:color w:val="auto"/>
          <w:sz w:val="28"/>
          <w:szCs w:val="28"/>
          <w:lang w:val="en-US" w:eastAsia="zh-CN"/>
        </w:rPr>
        <w:t>七、</w:t>
      </w:r>
      <w:r>
        <w:rPr>
          <w:rFonts w:hint="eastAsia" w:ascii="仿宋" w:hAnsi="仿宋" w:eastAsia="仿宋" w:cs="仿宋"/>
          <w:color w:val="auto"/>
          <w:sz w:val="28"/>
          <w:szCs w:val="28"/>
        </w:rPr>
        <w:t>纪律和监督</w:t>
      </w:r>
      <w:bookmarkEnd w:id="163"/>
      <w:bookmarkEnd w:id="164"/>
      <w:bookmarkEnd w:id="165"/>
    </w:p>
    <w:p w14:paraId="4FC2A52B">
      <w:pPr>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一</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不得相互串通</w:t>
      </w:r>
      <w:r>
        <w:rPr>
          <w:rFonts w:hint="eastAsia" w:ascii="仿宋" w:hAnsi="仿宋" w:eastAsia="仿宋" w:cs="仿宋"/>
          <w:color w:val="auto"/>
          <w:sz w:val="28"/>
          <w:szCs w:val="28"/>
          <w:lang w:val="en-US" w:eastAsia="zh-CN"/>
        </w:rPr>
        <w:t>投标</w:t>
      </w:r>
      <w:r>
        <w:rPr>
          <w:rFonts w:hint="eastAsia" w:ascii="仿宋" w:hAnsi="仿宋" w:eastAsia="仿宋" w:cs="仿宋"/>
          <w:color w:val="auto"/>
          <w:sz w:val="28"/>
          <w:szCs w:val="28"/>
        </w:rPr>
        <w:t>或者与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串通</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，不得向</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或者</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成员行贿谋取</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，不得以他人名义</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或者以其他方式弄虚作假骗取</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不得以任何方式干扰、影响评标工作。</w:t>
      </w:r>
    </w:p>
    <w:p w14:paraId="6F9A454E">
      <w:pPr>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成员</w:t>
      </w:r>
      <w:r>
        <w:rPr>
          <w:rFonts w:hint="eastAsia" w:ascii="仿宋" w:hAnsi="仿宋" w:eastAsia="仿宋" w:cs="仿宋"/>
          <w:color w:val="auto"/>
          <w:sz w:val="28"/>
          <w:szCs w:val="28"/>
          <w:lang w:val="en-US" w:eastAsia="zh-CN"/>
        </w:rPr>
        <w:t>及相关工作人员</w:t>
      </w:r>
      <w:r>
        <w:rPr>
          <w:rFonts w:hint="eastAsia" w:ascii="仿宋" w:hAnsi="仿宋" w:eastAsia="仿宋" w:cs="仿宋"/>
          <w:color w:val="auto"/>
          <w:sz w:val="28"/>
          <w:szCs w:val="28"/>
        </w:rPr>
        <w:t>不得收受他人的财物或者其他好处，不得向他人透露对</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的评审</w:t>
      </w:r>
      <w:bookmarkStart w:id="166" w:name="_Toc369531559"/>
      <w:bookmarkStart w:id="167" w:name="_Toc384308253"/>
      <w:bookmarkStart w:id="168" w:name="_Toc361508628"/>
      <w:bookmarkStart w:id="169" w:name="_Toc352691515"/>
      <w:bookmarkStart w:id="170" w:name="_Toc13644"/>
      <w:r>
        <w:rPr>
          <w:rFonts w:hint="eastAsia" w:ascii="仿宋" w:hAnsi="仿宋" w:eastAsia="仿宋" w:cs="仿宋"/>
          <w:color w:val="auto"/>
          <w:sz w:val="28"/>
          <w:szCs w:val="28"/>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的推荐情况以及评标有关的其他情况。在</w:t>
      </w:r>
      <w:r>
        <w:rPr>
          <w:rFonts w:hint="eastAsia" w:ascii="仿宋" w:hAnsi="仿宋" w:eastAsia="仿宋" w:cs="仿宋"/>
          <w:color w:val="auto"/>
          <w:sz w:val="28"/>
          <w:szCs w:val="28"/>
          <w:lang w:eastAsia="zh-CN"/>
        </w:rPr>
        <w:t>评审活动</w:t>
      </w:r>
      <w:r>
        <w:rPr>
          <w:rFonts w:hint="eastAsia" w:ascii="仿宋" w:hAnsi="仿宋" w:eastAsia="仿宋" w:cs="仿宋"/>
          <w:color w:val="auto"/>
          <w:sz w:val="28"/>
          <w:szCs w:val="28"/>
        </w:rPr>
        <w:t>中，</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成员应当客观、公正地履行职责，遵守职业道德，不得擅离职守，影响评</w:t>
      </w:r>
      <w:r>
        <w:rPr>
          <w:rFonts w:hint="eastAsia" w:ascii="仿宋" w:hAnsi="仿宋" w:eastAsia="仿宋" w:cs="仿宋"/>
          <w:color w:val="auto"/>
          <w:sz w:val="28"/>
          <w:szCs w:val="28"/>
          <w:lang w:val="en-US" w:eastAsia="zh-CN"/>
        </w:rPr>
        <w:t>审</w:t>
      </w:r>
      <w:r>
        <w:rPr>
          <w:rFonts w:hint="eastAsia" w:ascii="仿宋" w:hAnsi="仿宋" w:eastAsia="仿宋" w:cs="仿宋"/>
          <w:color w:val="auto"/>
          <w:sz w:val="28"/>
          <w:szCs w:val="28"/>
        </w:rPr>
        <w:t>程序正常进行，不得使用“</w:t>
      </w:r>
      <w:r>
        <w:rPr>
          <w:rFonts w:hint="eastAsia" w:ascii="仿宋" w:hAnsi="仿宋" w:eastAsia="仿宋" w:cs="仿宋"/>
          <w:color w:val="auto"/>
          <w:sz w:val="28"/>
          <w:szCs w:val="28"/>
          <w:lang w:eastAsia="zh-CN"/>
        </w:rPr>
        <w:t>评审办法</w:t>
      </w:r>
      <w:r>
        <w:rPr>
          <w:rFonts w:hint="eastAsia" w:ascii="仿宋" w:hAnsi="仿宋" w:eastAsia="仿宋" w:cs="仿宋"/>
          <w:color w:val="auto"/>
          <w:sz w:val="28"/>
          <w:szCs w:val="28"/>
        </w:rPr>
        <w:t>”没有规定的评审因素和标准进行评</w:t>
      </w:r>
      <w:r>
        <w:rPr>
          <w:rFonts w:hint="eastAsia" w:ascii="仿宋" w:hAnsi="仿宋" w:eastAsia="仿宋" w:cs="仿宋"/>
          <w:color w:val="auto"/>
          <w:sz w:val="28"/>
          <w:szCs w:val="28"/>
          <w:lang w:val="en-US" w:eastAsia="zh-CN"/>
        </w:rPr>
        <w:t>审</w:t>
      </w:r>
      <w:r>
        <w:rPr>
          <w:rFonts w:hint="eastAsia" w:ascii="仿宋" w:hAnsi="仿宋" w:eastAsia="仿宋" w:cs="仿宋"/>
          <w:color w:val="auto"/>
          <w:sz w:val="28"/>
          <w:szCs w:val="28"/>
        </w:rPr>
        <w:t>。</w:t>
      </w:r>
    </w:p>
    <w:p w14:paraId="240F81DF">
      <w:pPr>
        <w:pStyle w:val="4"/>
        <w:numPr>
          <w:ilvl w:val="0"/>
          <w:numId w:val="0"/>
        </w:numPr>
        <w:kinsoku/>
        <w:wordWrap/>
        <w:overflowPunct/>
        <w:topLinePunct w:val="0"/>
        <w:autoSpaceDE/>
        <w:autoSpaceDN/>
        <w:bidi w:val="0"/>
        <w:snapToGrid/>
        <w:spacing w:before="0" w:after="0" w:line="520" w:lineRule="exact"/>
        <w:ind w:left="0" w:firstLine="560" w:firstLineChars="200"/>
        <w:jc w:val="both"/>
        <w:rPr>
          <w:rFonts w:hint="eastAsia" w:ascii="仿宋" w:hAnsi="仿宋" w:eastAsia="仿宋" w:cs="仿宋"/>
          <w:color w:val="auto"/>
          <w:sz w:val="28"/>
          <w:szCs w:val="28"/>
        </w:rPr>
      </w:pPr>
      <w:bookmarkStart w:id="171" w:name="_Toc18070"/>
      <w:bookmarkStart w:id="172" w:name="_Toc24957"/>
      <w:bookmarkStart w:id="173" w:name="_Toc22294"/>
      <w:bookmarkStart w:id="174" w:name="_Toc33795820"/>
      <w:r>
        <w:rPr>
          <w:rFonts w:hint="eastAsia" w:ascii="仿宋" w:hAnsi="仿宋" w:eastAsia="仿宋" w:cs="仿宋"/>
          <w:color w:val="auto"/>
          <w:sz w:val="28"/>
          <w:szCs w:val="28"/>
          <w:lang w:val="en-US" w:eastAsia="zh-CN"/>
        </w:rPr>
        <w:t>（三）异议</w:t>
      </w:r>
      <w:bookmarkEnd w:id="171"/>
      <w:bookmarkEnd w:id="172"/>
      <w:bookmarkEnd w:id="173"/>
      <w:bookmarkEnd w:id="174"/>
    </w:p>
    <w:p w14:paraId="54AC1E59">
      <w:pPr>
        <w:keepNext w:val="0"/>
        <w:keepLines w:val="0"/>
        <w:pageBreakBefore w:val="0"/>
        <w:widowControl w:val="0"/>
        <w:suppressLineNumbers w:val="0"/>
        <w:kinsoku/>
        <w:wordWrap/>
        <w:overflowPunct/>
        <w:topLinePunct w:val="0"/>
        <w:autoSpaceDE/>
        <w:autoSpaceDN/>
        <w:bidi w:val="0"/>
        <w:adjustRightInd/>
        <w:snapToGrid/>
        <w:spacing w:line="520" w:lineRule="exact"/>
        <w:ind w:left="0" w:firstLine="560" w:firstLineChars="2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1.供应商或者其他利害关系人认为采购人采购活动存在不合法或违反民事活动中平等自愿、公平诚信原则情形的，可以直接向采购人单位招标办公室提出提出异议。</w:t>
      </w:r>
    </w:p>
    <w:p w14:paraId="084D4BAE">
      <w:pPr>
        <w:keepNext w:val="0"/>
        <w:keepLines w:val="0"/>
        <w:pageBreakBefore w:val="0"/>
        <w:widowControl w:val="0"/>
        <w:suppressLineNumbers w:val="0"/>
        <w:kinsoku/>
        <w:wordWrap/>
        <w:overflowPunct/>
        <w:topLinePunct w:val="0"/>
        <w:autoSpaceDE/>
        <w:autoSpaceDN/>
        <w:bidi w:val="0"/>
        <w:adjustRightInd/>
        <w:snapToGrid/>
        <w:spacing w:line="520" w:lineRule="exact"/>
        <w:ind w:left="0" w:firstLine="560" w:firstLineChars="2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3ECFC845">
      <w:pPr>
        <w:keepNext w:val="0"/>
        <w:keepLines w:val="0"/>
        <w:pageBreakBefore w:val="0"/>
        <w:widowControl w:val="0"/>
        <w:suppressLineNumbers w:val="0"/>
        <w:kinsoku/>
        <w:wordWrap/>
        <w:overflowPunct/>
        <w:topLinePunct w:val="0"/>
        <w:autoSpaceDE/>
        <w:autoSpaceDN/>
        <w:bidi w:val="0"/>
        <w:adjustRightInd/>
        <w:snapToGrid/>
        <w:spacing w:line="520" w:lineRule="exact"/>
        <w:ind w:left="0" w:firstLine="560" w:firstLineChars="2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3.对响应采购供应商提出的异议，如属异议提出人对相关问题理解有误的，招标办应当详细做出解释；如经核查发现采购活动确实存在违法或违反本办法相关</w:t>
      </w:r>
      <w:r>
        <w:rPr>
          <w:rFonts w:hint="eastAsia" w:ascii="仿宋" w:hAnsi="仿宋" w:eastAsia="仿宋" w:cs="仿宋"/>
          <w:color w:val="auto"/>
          <w:kern w:val="0"/>
          <w:sz w:val="28"/>
          <w:szCs w:val="28"/>
          <w:highlight w:val="none"/>
          <w:lang w:val="en-US" w:eastAsia="zh-CN" w:bidi="ar"/>
        </w:rPr>
        <w:t>规定</w:t>
      </w:r>
      <w:r>
        <w:rPr>
          <w:rFonts w:hint="eastAsia" w:ascii="仿宋" w:hAnsi="仿宋" w:eastAsia="仿宋" w:cs="仿宋"/>
          <w:color w:val="auto"/>
          <w:kern w:val="0"/>
          <w:sz w:val="28"/>
          <w:szCs w:val="28"/>
          <w:lang w:val="en-US" w:eastAsia="zh-CN" w:bidi="ar"/>
        </w:rPr>
        <w:t>的，招标办应及时予以改正或补救。</w:t>
      </w:r>
    </w:p>
    <w:p w14:paraId="034962C4">
      <w:pPr>
        <w:keepNext w:val="0"/>
        <w:keepLines w:val="0"/>
        <w:pageBreakBefore w:val="0"/>
        <w:widowControl w:val="0"/>
        <w:suppressLineNumbers w:val="0"/>
        <w:kinsoku/>
        <w:wordWrap/>
        <w:overflowPunct/>
        <w:topLinePunct w:val="0"/>
        <w:autoSpaceDE/>
        <w:autoSpaceDN/>
        <w:bidi w:val="0"/>
        <w:adjustRightInd/>
        <w:snapToGrid/>
        <w:spacing w:line="520" w:lineRule="exact"/>
        <w:ind w:left="0" w:firstLine="560" w:firstLineChars="200"/>
        <w:jc w:val="both"/>
        <w:rPr>
          <w:rFonts w:hint="eastAsia" w:ascii="仿宋" w:hAnsi="仿宋" w:eastAsia="仿宋" w:cs="仿宋"/>
          <w:color w:val="auto"/>
          <w:kern w:val="0"/>
          <w:sz w:val="28"/>
          <w:szCs w:val="28"/>
          <w:lang w:val="en-US" w:eastAsia="zh-CN" w:bidi="ar"/>
        </w:rPr>
      </w:pPr>
    </w:p>
    <w:p w14:paraId="30A95894">
      <w:pPr>
        <w:keepNext w:val="0"/>
        <w:keepLines w:val="0"/>
        <w:pageBreakBefore w:val="0"/>
        <w:widowControl w:val="0"/>
        <w:suppressLineNumbers w:val="0"/>
        <w:kinsoku/>
        <w:wordWrap/>
        <w:overflowPunct/>
        <w:topLinePunct w:val="0"/>
        <w:autoSpaceDE/>
        <w:autoSpaceDN/>
        <w:bidi w:val="0"/>
        <w:adjustRightInd/>
        <w:snapToGrid/>
        <w:spacing w:line="520" w:lineRule="exact"/>
        <w:ind w:left="0" w:firstLine="560" w:firstLineChars="200"/>
        <w:jc w:val="both"/>
        <w:rPr>
          <w:rFonts w:hint="eastAsia" w:ascii="仿宋" w:hAnsi="仿宋" w:eastAsia="仿宋" w:cs="仿宋"/>
          <w:color w:val="auto"/>
          <w:kern w:val="0"/>
          <w:sz w:val="28"/>
          <w:szCs w:val="28"/>
          <w:lang w:val="en-US" w:eastAsia="zh-CN" w:bidi="ar"/>
        </w:rPr>
      </w:pPr>
    </w:p>
    <w:p w14:paraId="7346215F">
      <w:pPr>
        <w:keepNext w:val="0"/>
        <w:keepLines w:val="0"/>
        <w:pageBreakBefore w:val="0"/>
        <w:widowControl w:val="0"/>
        <w:suppressLineNumbers w:val="0"/>
        <w:kinsoku/>
        <w:wordWrap/>
        <w:overflowPunct/>
        <w:topLinePunct w:val="0"/>
        <w:autoSpaceDE/>
        <w:autoSpaceDN/>
        <w:bidi w:val="0"/>
        <w:adjustRightInd/>
        <w:snapToGrid/>
        <w:spacing w:line="520" w:lineRule="exact"/>
        <w:ind w:left="0" w:firstLine="560" w:firstLineChars="200"/>
        <w:jc w:val="both"/>
        <w:rPr>
          <w:rFonts w:hint="eastAsia" w:ascii="仿宋" w:hAnsi="仿宋" w:eastAsia="仿宋" w:cs="仿宋"/>
          <w:color w:val="auto"/>
          <w:kern w:val="0"/>
          <w:sz w:val="28"/>
          <w:szCs w:val="28"/>
          <w:lang w:val="en-US" w:eastAsia="zh-CN" w:bidi="ar"/>
        </w:rPr>
      </w:pPr>
    </w:p>
    <w:p w14:paraId="14D21383">
      <w:pPr>
        <w:keepNext w:val="0"/>
        <w:keepLines w:val="0"/>
        <w:pageBreakBefore w:val="0"/>
        <w:widowControl w:val="0"/>
        <w:suppressLineNumbers w:val="0"/>
        <w:kinsoku/>
        <w:wordWrap/>
        <w:overflowPunct/>
        <w:topLinePunct w:val="0"/>
        <w:autoSpaceDE/>
        <w:autoSpaceDN/>
        <w:bidi w:val="0"/>
        <w:adjustRightInd/>
        <w:snapToGrid/>
        <w:spacing w:line="520" w:lineRule="exact"/>
        <w:ind w:left="0" w:firstLine="4200" w:firstLineChars="1500"/>
        <w:jc w:val="both"/>
        <w:rPr>
          <w:rFonts w:hint="eastAsia" w:ascii="仿宋" w:hAnsi="仿宋" w:eastAsia="仿宋" w:cs="仿宋"/>
          <w:color w:val="auto"/>
          <w:kern w:val="0"/>
          <w:sz w:val="28"/>
          <w:szCs w:val="28"/>
          <w:lang w:val="en-US" w:eastAsia="zh-CN" w:bidi="ar"/>
        </w:rPr>
      </w:pPr>
    </w:p>
    <w:p w14:paraId="7846471C">
      <w:pPr>
        <w:keepNext w:val="0"/>
        <w:keepLines w:val="0"/>
        <w:pageBreakBefore w:val="0"/>
        <w:widowControl w:val="0"/>
        <w:suppressLineNumbers w:val="0"/>
        <w:kinsoku/>
        <w:wordWrap/>
        <w:overflowPunct/>
        <w:topLinePunct w:val="0"/>
        <w:autoSpaceDE/>
        <w:autoSpaceDN/>
        <w:bidi w:val="0"/>
        <w:adjustRightInd/>
        <w:snapToGrid/>
        <w:spacing w:line="520" w:lineRule="exact"/>
        <w:ind w:left="0" w:firstLine="4200" w:firstLineChars="15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陕西锌业有限公司</w:t>
      </w:r>
    </w:p>
    <w:p w14:paraId="34EDF711">
      <w:pPr>
        <w:keepNext w:val="0"/>
        <w:keepLines w:val="0"/>
        <w:pageBreakBefore w:val="0"/>
        <w:widowControl w:val="0"/>
        <w:suppressLineNumbers w:val="0"/>
        <w:kinsoku/>
        <w:wordWrap/>
        <w:overflowPunct/>
        <w:topLinePunct w:val="0"/>
        <w:autoSpaceDE/>
        <w:autoSpaceDN/>
        <w:bidi w:val="0"/>
        <w:adjustRightInd/>
        <w:snapToGrid/>
        <w:spacing w:line="520" w:lineRule="exact"/>
        <w:ind w:firstLine="4200" w:firstLineChars="15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2025年8月25日</w:t>
      </w:r>
    </w:p>
    <w:p w14:paraId="09DD35AC">
      <w:pPr>
        <w:keepNext w:val="0"/>
        <w:keepLines w:val="0"/>
        <w:pageBreakBefore w:val="0"/>
        <w:widowControl w:val="0"/>
        <w:suppressLineNumbers w:val="0"/>
        <w:kinsoku/>
        <w:wordWrap/>
        <w:overflowPunct/>
        <w:topLinePunct w:val="0"/>
        <w:autoSpaceDE/>
        <w:autoSpaceDN/>
        <w:bidi w:val="0"/>
        <w:adjustRightInd/>
        <w:snapToGrid/>
        <w:spacing w:line="520" w:lineRule="exact"/>
        <w:ind w:left="0" w:firstLine="560" w:firstLineChars="200"/>
        <w:jc w:val="both"/>
        <w:rPr>
          <w:rFonts w:hint="eastAsia" w:ascii="仿宋" w:hAnsi="仿宋" w:eastAsia="仿宋" w:cs="仿宋"/>
          <w:color w:val="auto"/>
          <w:kern w:val="0"/>
          <w:sz w:val="28"/>
          <w:szCs w:val="28"/>
          <w:lang w:val="en-US" w:eastAsia="zh-CN" w:bidi="ar"/>
        </w:rPr>
      </w:pPr>
    </w:p>
    <w:p w14:paraId="13F3D523">
      <w:pPr>
        <w:keepNext w:val="0"/>
        <w:keepLines w:val="0"/>
        <w:pageBreakBefore w:val="0"/>
        <w:widowControl w:val="0"/>
        <w:suppressLineNumbers w:val="0"/>
        <w:kinsoku/>
        <w:wordWrap/>
        <w:overflowPunct/>
        <w:topLinePunct w:val="0"/>
        <w:autoSpaceDE/>
        <w:autoSpaceDN/>
        <w:bidi w:val="0"/>
        <w:adjustRightInd/>
        <w:snapToGrid/>
        <w:spacing w:line="520" w:lineRule="exact"/>
        <w:ind w:left="0" w:firstLine="560" w:firstLineChars="200"/>
        <w:jc w:val="both"/>
        <w:rPr>
          <w:rFonts w:hint="eastAsia" w:ascii="仿宋" w:hAnsi="仿宋" w:eastAsia="仿宋" w:cs="仿宋"/>
          <w:color w:val="auto"/>
          <w:kern w:val="0"/>
          <w:sz w:val="28"/>
          <w:szCs w:val="28"/>
          <w:lang w:val="en-US" w:eastAsia="zh-CN" w:bidi="ar"/>
        </w:rPr>
      </w:pPr>
    </w:p>
    <w:p w14:paraId="4B004308">
      <w:pPr>
        <w:keepNext w:val="0"/>
        <w:keepLines w:val="0"/>
        <w:pageBreakBefore w:val="0"/>
        <w:widowControl w:val="0"/>
        <w:suppressLineNumbers w:val="0"/>
        <w:kinsoku/>
        <w:wordWrap/>
        <w:overflowPunct/>
        <w:topLinePunct w:val="0"/>
        <w:autoSpaceDE/>
        <w:autoSpaceDN/>
        <w:bidi w:val="0"/>
        <w:adjustRightInd/>
        <w:snapToGrid/>
        <w:spacing w:line="520" w:lineRule="exact"/>
        <w:ind w:left="0" w:firstLine="560" w:firstLineChars="200"/>
        <w:jc w:val="both"/>
        <w:rPr>
          <w:rFonts w:hint="eastAsia" w:ascii="仿宋" w:hAnsi="仿宋" w:eastAsia="仿宋" w:cs="仿宋"/>
          <w:color w:val="auto"/>
          <w:kern w:val="0"/>
          <w:sz w:val="28"/>
          <w:szCs w:val="28"/>
          <w:lang w:val="en-US" w:eastAsia="zh-CN" w:bidi="ar"/>
        </w:rPr>
      </w:pPr>
    </w:p>
    <w:p w14:paraId="4DE5C2C4">
      <w:pPr>
        <w:keepNext w:val="0"/>
        <w:keepLines w:val="0"/>
        <w:pageBreakBefore w:val="0"/>
        <w:widowControl w:val="0"/>
        <w:suppressLineNumbers w:val="0"/>
        <w:kinsoku/>
        <w:wordWrap/>
        <w:overflowPunct/>
        <w:topLinePunct w:val="0"/>
        <w:autoSpaceDE/>
        <w:autoSpaceDN/>
        <w:bidi w:val="0"/>
        <w:adjustRightInd/>
        <w:snapToGrid/>
        <w:spacing w:line="520" w:lineRule="exact"/>
        <w:ind w:left="0" w:firstLine="560" w:firstLineChars="200"/>
        <w:jc w:val="both"/>
        <w:rPr>
          <w:rFonts w:hint="eastAsia" w:ascii="仿宋" w:hAnsi="仿宋" w:eastAsia="仿宋" w:cs="仿宋"/>
          <w:color w:val="auto"/>
          <w:kern w:val="0"/>
          <w:sz w:val="28"/>
          <w:szCs w:val="28"/>
          <w:lang w:val="en-US" w:eastAsia="zh-CN" w:bidi="ar"/>
        </w:rPr>
      </w:pPr>
    </w:p>
    <w:p w14:paraId="5CC1FBC3">
      <w:pPr>
        <w:keepNext w:val="0"/>
        <w:keepLines w:val="0"/>
        <w:pageBreakBefore w:val="0"/>
        <w:widowControl w:val="0"/>
        <w:suppressLineNumbers w:val="0"/>
        <w:kinsoku/>
        <w:wordWrap/>
        <w:overflowPunct/>
        <w:topLinePunct w:val="0"/>
        <w:autoSpaceDE/>
        <w:autoSpaceDN/>
        <w:bidi w:val="0"/>
        <w:adjustRightInd/>
        <w:snapToGrid/>
        <w:spacing w:line="520" w:lineRule="exact"/>
        <w:ind w:left="0" w:firstLine="560" w:firstLineChars="200"/>
        <w:jc w:val="both"/>
        <w:rPr>
          <w:rFonts w:hint="eastAsia" w:ascii="仿宋" w:hAnsi="仿宋" w:eastAsia="仿宋" w:cs="仿宋"/>
          <w:color w:val="auto"/>
          <w:kern w:val="0"/>
          <w:sz w:val="28"/>
          <w:szCs w:val="28"/>
          <w:lang w:val="en-US" w:eastAsia="zh-CN" w:bidi="ar"/>
        </w:rPr>
      </w:pPr>
    </w:p>
    <w:p w14:paraId="2785312F">
      <w:pPr>
        <w:keepNext w:val="0"/>
        <w:keepLines w:val="0"/>
        <w:pageBreakBefore w:val="0"/>
        <w:widowControl w:val="0"/>
        <w:suppressLineNumbers w:val="0"/>
        <w:kinsoku/>
        <w:wordWrap/>
        <w:overflowPunct/>
        <w:topLinePunct w:val="0"/>
        <w:autoSpaceDE/>
        <w:autoSpaceDN/>
        <w:bidi w:val="0"/>
        <w:adjustRightInd/>
        <w:snapToGrid/>
        <w:spacing w:line="520" w:lineRule="exact"/>
        <w:ind w:left="0" w:firstLine="560" w:firstLineChars="200"/>
        <w:jc w:val="both"/>
        <w:rPr>
          <w:rFonts w:hint="eastAsia" w:ascii="仿宋" w:hAnsi="仿宋" w:eastAsia="仿宋" w:cs="仿宋"/>
          <w:color w:val="auto"/>
          <w:kern w:val="0"/>
          <w:sz w:val="28"/>
          <w:szCs w:val="28"/>
          <w:lang w:val="en-US" w:eastAsia="zh-CN" w:bidi="ar"/>
        </w:rPr>
      </w:pPr>
    </w:p>
    <w:p w14:paraId="73253C95">
      <w:pPr>
        <w:keepNext w:val="0"/>
        <w:keepLines w:val="0"/>
        <w:pageBreakBefore w:val="0"/>
        <w:widowControl w:val="0"/>
        <w:suppressLineNumbers w:val="0"/>
        <w:kinsoku/>
        <w:wordWrap/>
        <w:overflowPunct/>
        <w:topLinePunct w:val="0"/>
        <w:autoSpaceDE/>
        <w:autoSpaceDN/>
        <w:bidi w:val="0"/>
        <w:adjustRightInd/>
        <w:snapToGrid/>
        <w:spacing w:line="520" w:lineRule="exact"/>
        <w:jc w:val="both"/>
        <w:rPr>
          <w:rFonts w:hint="eastAsia" w:ascii="仿宋" w:hAnsi="仿宋" w:eastAsia="仿宋" w:cs="仿宋"/>
          <w:b/>
          <w:bCs/>
          <w:color w:val="auto"/>
          <w:sz w:val="44"/>
          <w:szCs w:val="44"/>
          <w:lang w:val="en-US" w:eastAsia="zh-CN"/>
        </w:rPr>
      </w:pPr>
    </w:p>
    <w:p w14:paraId="5F9B6549">
      <w:pPr>
        <w:keepNext w:val="0"/>
        <w:keepLines w:val="0"/>
        <w:pageBreakBefore w:val="0"/>
        <w:widowControl w:val="0"/>
        <w:suppressLineNumbers w:val="0"/>
        <w:kinsoku/>
        <w:wordWrap/>
        <w:overflowPunct/>
        <w:topLinePunct w:val="0"/>
        <w:autoSpaceDE/>
        <w:autoSpaceDN/>
        <w:bidi w:val="0"/>
        <w:adjustRightInd/>
        <w:snapToGrid/>
        <w:spacing w:line="520" w:lineRule="exact"/>
        <w:jc w:val="both"/>
        <w:rPr>
          <w:rFonts w:hint="eastAsia" w:ascii="仿宋" w:hAnsi="仿宋" w:eastAsia="仿宋" w:cs="仿宋"/>
          <w:b/>
          <w:bCs/>
          <w:color w:val="auto"/>
          <w:sz w:val="44"/>
          <w:szCs w:val="44"/>
        </w:rPr>
      </w:pPr>
      <w:r>
        <w:rPr>
          <w:rFonts w:hint="eastAsia" w:ascii="仿宋" w:hAnsi="仿宋" w:eastAsia="仿宋" w:cs="仿宋"/>
          <w:b/>
          <w:bCs/>
          <w:color w:val="auto"/>
          <w:sz w:val="44"/>
          <w:szCs w:val="44"/>
          <w:lang w:val="en-US" w:eastAsia="zh-CN"/>
        </w:rPr>
        <w:t>附：</w:t>
      </w:r>
      <w:r>
        <w:rPr>
          <w:rFonts w:hint="eastAsia" w:ascii="仿宋" w:hAnsi="仿宋" w:eastAsia="仿宋" w:cs="仿宋"/>
          <w:b/>
          <w:bCs/>
          <w:color w:val="auto"/>
          <w:sz w:val="44"/>
          <w:szCs w:val="44"/>
          <w:lang w:eastAsia="zh-CN"/>
        </w:rPr>
        <w:t>响应文件</w:t>
      </w:r>
      <w:r>
        <w:rPr>
          <w:rFonts w:hint="eastAsia" w:ascii="仿宋" w:hAnsi="仿宋" w:eastAsia="仿宋" w:cs="仿宋"/>
          <w:b/>
          <w:bCs/>
          <w:color w:val="auto"/>
          <w:sz w:val="44"/>
          <w:szCs w:val="44"/>
        </w:rPr>
        <w:t>格式</w:t>
      </w:r>
    </w:p>
    <w:p w14:paraId="05CD95BA">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2864BE28">
      <w:pPr>
        <w:spacing w:line="40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highlight w:val="none"/>
        </w:rPr>
        <w:t>项目编号：</w:t>
      </w:r>
      <w:r>
        <w:rPr>
          <w:rFonts w:hint="eastAsia" w:ascii="仿宋" w:hAnsi="仿宋" w:eastAsia="仿宋" w:cs="仿宋"/>
          <w:color w:val="auto"/>
          <w:sz w:val="32"/>
          <w:szCs w:val="32"/>
          <w:highlight w:val="none"/>
          <w:lang w:val="en-US" w:eastAsia="zh-CN"/>
        </w:rPr>
        <w:t>XB20250826-01</w:t>
      </w:r>
      <w:bookmarkStart w:id="210" w:name="_GoBack"/>
      <w:bookmarkEnd w:id="210"/>
    </w:p>
    <w:p w14:paraId="47667630">
      <w:pPr>
        <w:spacing w:line="400" w:lineRule="exact"/>
        <w:rPr>
          <w:rFonts w:hint="eastAsia" w:ascii="仿宋" w:hAnsi="仿宋" w:eastAsia="仿宋" w:cs="仿宋"/>
          <w:color w:val="auto"/>
          <w:sz w:val="32"/>
          <w:szCs w:val="32"/>
        </w:rPr>
      </w:pPr>
    </w:p>
    <w:p w14:paraId="4A0D8476">
      <w:pPr>
        <w:spacing w:line="400" w:lineRule="exact"/>
        <w:rPr>
          <w:rFonts w:hint="eastAsia" w:ascii="仿宋" w:hAnsi="仿宋" w:eastAsia="仿宋" w:cs="仿宋"/>
          <w:color w:val="auto"/>
          <w:sz w:val="32"/>
          <w:szCs w:val="32"/>
        </w:rPr>
      </w:pPr>
    </w:p>
    <w:p w14:paraId="457F6DD8">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2BBDDAE3">
      <w:pPr>
        <w:spacing w:line="360" w:lineRule="auto"/>
        <w:jc w:val="center"/>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 xml:space="preserve">2025年9月份二工区用2000吨干量焦沫 </w:t>
      </w:r>
    </w:p>
    <w:p w14:paraId="0A2ED61B">
      <w:pPr>
        <w:spacing w:line="360" w:lineRule="auto"/>
        <w:jc w:val="center"/>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采购项目询比</w:t>
      </w:r>
      <w:r>
        <w:rPr>
          <w:rFonts w:hint="eastAsia" w:ascii="黑体" w:hAnsi="黑体" w:eastAsia="黑体" w:cs="黑体"/>
          <w:b/>
          <w:bCs/>
          <w:color w:val="auto"/>
          <w:sz w:val="44"/>
          <w:szCs w:val="44"/>
          <w:lang w:eastAsia="zh-CN"/>
        </w:rPr>
        <w:t>采购</w:t>
      </w:r>
    </w:p>
    <w:p w14:paraId="5F3D1E2F">
      <w:pPr>
        <w:rPr>
          <w:rFonts w:hint="eastAsia" w:ascii="黑体" w:hAnsi="黑体" w:eastAsia="黑体" w:cs="黑体"/>
          <w:b/>
          <w:bCs/>
          <w:color w:val="auto"/>
          <w:sz w:val="44"/>
          <w:szCs w:val="44"/>
        </w:rPr>
      </w:pPr>
    </w:p>
    <w:p w14:paraId="1A478983">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153EF10D">
      <w:pPr>
        <w:jc w:val="center"/>
        <w:rPr>
          <w:rFonts w:hint="eastAsia" w:ascii="黑体" w:hAnsi="黑体" w:eastAsia="黑体" w:cs="黑体"/>
          <w:b/>
          <w:bCs/>
          <w:color w:val="auto"/>
          <w:sz w:val="44"/>
          <w:szCs w:val="44"/>
        </w:rPr>
      </w:pPr>
    </w:p>
    <w:p w14:paraId="0300E953">
      <w:pPr>
        <w:rPr>
          <w:rFonts w:hint="eastAsia" w:ascii="仿宋" w:hAnsi="仿宋" w:eastAsia="仿宋" w:cs="仿宋"/>
          <w:color w:val="auto"/>
          <w:sz w:val="32"/>
          <w:szCs w:val="32"/>
        </w:rPr>
      </w:pPr>
    </w:p>
    <w:p w14:paraId="11720602">
      <w:pPr>
        <w:rPr>
          <w:rFonts w:hint="eastAsia" w:ascii="仿宋" w:hAnsi="仿宋" w:eastAsia="仿宋" w:cs="仿宋"/>
          <w:color w:val="auto"/>
          <w:sz w:val="32"/>
          <w:szCs w:val="32"/>
        </w:rPr>
      </w:pPr>
    </w:p>
    <w:p w14:paraId="62D8C30C">
      <w:pPr>
        <w:rPr>
          <w:rFonts w:hint="eastAsia" w:ascii="仿宋" w:hAnsi="仿宋" w:eastAsia="仿宋" w:cs="仿宋"/>
          <w:color w:val="auto"/>
          <w:sz w:val="32"/>
          <w:szCs w:val="32"/>
        </w:rPr>
      </w:pPr>
    </w:p>
    <w:p w14:paraId="694BAE84">
      <w:pPr>
        <w:rPr>
          <w:rFonts w:hint="eastAsia" w:ascii="仿宋" w:hAnsi="仿宋" w:eastAsia="仿宋" w:cs="仿宋"/>
          <w:color w:val="auto"/>
          <w:sz w:val="32"/>
          <w:szCs w:val="32"/>
        </w:rPr>
      </w:pPr>
    </w:p>
    <w:p w14:paraId="7DAE68CA">
      <w:pPr>
        <w:rPr>
          <w:rFonts w:hint="eastAsia" w:ascii="仿宋" w:hAnsi="仿宋" w:eastAsia="仿宋" w:cs="仿宋"/>
          <w:color w:val="auto"/>
          <w:sz w:val="32"/>
          <w:szCs w:val="32"/>
        </w:rPr>
      </w:pPr>
    </w:p>
    <w:p w14:paraId="518FFCD5">
      <w:pPr>
        <w:rPr>
          <w:rFonts w:hint="eastAsia" w:ascii="仿宋" w:hAnsi="仿宋" w:eastAsia="仿宋" w:cs="仿宋"/>
          <w:color w:val="auto"/>
          <w:sz w:val="32"/>
          <w:szCs w:val="32"/>
        </w:rPr>
      </w:pPr>
    </w:p>
    <w:p w14:paraId="4EB3FDE6">
      <w:pPr>
        <w:rPr>
          <w:rFonts w:hint="eastAsia" w:ascii="仿宋" w:hAnsi="仿宋" w:eastAsia="仿宋" w:cs="仿宋"/>
          <w:color w:val="auto"/>
          <w:sz w:val="32"/>
          <w:szCs w:val="32"/>
        </w:rPr>
      </w:pPr>
    </w:p>
    <w:p w14:paraId="5F090E4A">
      <w:pPr>
        <w:rPr>
          <w:rFonts w:hint="eastAsia" w:ascii="仿宋" w:hAnsi="仿宋" w:eastAsia="仿宋" w:cs="仿宋"/>
          <w:color w:val="auto"/>
          <w:sz w:val="32"/>
          <w:szCs w:val="32"/>
        </w:rPr>
      </w:pPr>
    </w:p>
    <w:p w14:paraId="18E9FA2F">
      <w:pPr>
        <w:spacing w:line="360" w:lineRule="auto"/>
        <w:rPr>
          <w:rFonts w:hint="eastAsia" w:ascii="仿宋" w:hAnsi="仿宋" w:eastAsia="仿宋" w:cs="仿宋"/>
          <w:color w:val="auto"/>
          <w:sz w:val="32"/>
          <w:szCs w:val="32"/>
        </w:rPr>
      </w:pPr>
    </w:p>
    <w:p w14:paraId="4A5E63A2">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33541048">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72790AF9">
      <w:pPr>
        <w:jc w:val="center"/>
        <w:rPr>
          <w:rFonts w:hint="eastAsia" w:ascii="宋体" w:hAnsi="宋体" w:eastAsia="宋体" w:cs="宋体"/>
          <w:b/>
          <w:bCs/>
          <w:color w:val="auto"/>
          <w:sz w:val="32"/>
          <w:szCs w:val="32"/>
        </w:rPr>
      </w:pPr>
    </w:p>
    <w:p w14:paraId="54743666">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13119778">
      <w:pPr>
        <w:pStyle w:val="3"/>
        <w:jc w:val="center"/>
        <w:rPr>
          <w:rFonts w:hint="eastAsia" w:ascii="黑体" w:hAnsi="黑体" w:eastAsia="黑体" w:cs="黑体"/>
          <w:b/>
          <w:bCs w:val="0"/>
          <w:color w:val="auto"/>
          <w:sz w:val="36"/>
          <w:szCs w:val="36"/>
        </w:rPr>
      </w:pPr>
      <w:bookmarkStart w:id="175" w:name="_Toc3885"/>
      <w:bookmarkStart w:id="176" w:name="_Toc504488767"/>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647F2A57">
      <w:pPr>
        <w:spacing w:line="540" w:lineRule="exact"/>
        <w:rPr>
          <w:rFonts w:hint="eastAsia" w:ascii="仿宋" w:hAnsi="仿宋" w:eastAsia="仿宋" w:cs="仿宋"/>
          <w:color w:val="auto"/>
          <w:sz w:val="32"/>
          <w:szCs w:val="32"/>
        </w:rPr>
      </w:pPr>
    </w:p>
    <w:p w14:paraId="0C66624F">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6C910ADA">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629E1A73">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52045D9D">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23B4352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5FB029B1">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496BFDE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416FCF1">
      <w:pPr>
        <w:pStyle w:val="3"/>
        <w:jc w:val="center"/>
        <w:rPr>
          <w:rFonts w:hint="eastAsia" w:ascii="黑体" w:hAnsi="黑体" w:eastAsia="黑体" w:cs="黑体"/>
          <w:b w:val="0"/>
          <w:bCs/>
          <w:color w:val="auto"/>
          <w:sz w:val="36"/>
          <w:szCs w:val="36"/>
        </w:rPr>
      </w:pPr>
      <w:bookmarkStart w:id="177" w:name="_Toc16531"/>
      <w:bookmarkStart w:id="178" w:name="_Toc504488768"/>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75520E1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41D48AB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，并按合同约定履行义务。</w:t>
      </w:r>
    </w:p>
    <w:p w14:paraId="462ADDE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4C9CC235">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7EEFF8A5">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7919F3C8">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61A1617F">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163045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13266E12">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65E929C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220A403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1C448B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1B3C764C">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66DE065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65166B5">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3AB2BC8F">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2B2552D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及有关资料内容完整、真实和准确，且不存在第二章“</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一条第九款第五</w:t>
      </w:r>
      <w:r>
        <w:rPr>
          <w:rFonts w:hint="eastAsia" w:ascii="仿宋" w:hAnsi="仿宋" w:eastAsia="仿宋" w:cs="仿宋"/>
          <w:color w:val="auto"/>
          <w:sz w:val="32"/>
          <w:szCs w:val="32"/>
        </w:rPr>
        <w:t>项规定的任何一种情形。</w:t>
      </w:r>
    </w:p>
    <w:p w14:paraId="00E5621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54D28B1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4A20A582">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18376F33">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65DEDDF9">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3E732A4F">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48EDCC18">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2D364837">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4D488ECE">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54E19DDC">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FE7CACE">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56BDAB53">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7911881A">
      <w:pPr>
        <w:spacing w:line="440" w:lineRule="exact"/>
        <w:rPr>
          <w:rFonts w:hint="eastAsia" w:ascii="仿宋" w:hAnsi="仿宋" w:eastAsia="仿宋" w:cs="仿宋"/>
          <w:color w:val="auto"/>
          <w:sz w:val="32"/>
          <w:szCs w:val="32"/>
        </w:rPr>
      </w:pPr>
    </w:p>
    <w:p w14:paraId="7F0A7CE8">
      <w:pPr>
        <w:spacing w:line="440" w:lineRule="exact"/>
        <w:rPr>
          <w:rFonts w:hint="eastAsia" w:ascii="仿宋" w:hAnsi="仿宋" w:eastAsia="仿宋" w:cs="仿宋"/>
          <w:color w:val="auto"/>
          <w:sz w:val="32"/>
          <w:szCs w:val="32"/>
        </w:rPr>
      </w:pPr>
    </w:p>
    <w:p w14:paraId="7F3E2D92">
      <w:pPr>
        <w:spacing w:line="440" w:lineRule="exact"/>
        <w:rPr>
          <w:rFonts w:hint="eastAsia" w:ascii="仿宋" w:hAnsi="仿宋" w:eastAsia="仿宋" w:cs="仿宋"/>
          <w:color w:val="auto"/>
          <w:sz w:val="32"/>
          <w:szCs w:val="32"/>
        </w:rPr>
      </w:pPr>
    </w:p>
    <w:p w14:paraId="52BB9CEC">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79" w:name="_Toc504488769"/>
      <w:bookmarkStart w:id="180" w:name="_Toc28734"/>
    </w:p>
    <w:p w14:paraId="51AE4CE2">
      <w:pPr>
        <w:pStyle w:val="3"/>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79"/>
      <w:bookmarkEnd w:id="180"/>
    </w:p>
    <w:p w14:paraId="5275B3A7">
      <w:pPr>
        <w:spacing w:line="440" w:lineRule="exact"/>
        <w:rPr>
          <w:rFonts w:hint="eastAsia" w:ascii="仿宋" w:hAnsi="仿宋" w:eastAsia="仿宋" w:cs="仿宋"/>
          <w:color w:val="auto"/>
          <w:sz w:val="32"/>
          <w:szCs w:val="32"/>
        </w:rPr>
      </w:pPr>
    </w:p>
    <w:p w14:paraId="02ECCD1D">
      <w:pPr>
        <w:spacing w:line="440" w:lineRule="exact"/>
        <w:rPr>
          <w:rFonts w:hint="eastAsia" w:ascii="仿宋" w:hAnsi="仿宋" w:eastAsia="仿宋" w:cs="仿宋"/>
          <w:color w:val="auto"/>
          <w:sz w:val="32"/>
          <w:szCs w:val="32"/>
        </w:rPr>
      </w:pPr>
    </w:p>
    <w:p w14:paraId="489BF23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13E1631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1" w:name="_Toc352691662"/>
      <w:bookmarkStart w:id="182" w:name="_Toc369531698"/>
      <w:bookmarkStart w:id="183" w:name="_Toc27897"/>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1"/>
      <w:bookmarkEnd w:id="182"/>
      <w:bookmarkEnd w:id="183"/>
      <w:r>
        <w:rPr>
          <w:rFonts w:hint="eastAsia" w:ascii="仿宋" w:hAnsi="仿宋" w:eastAsia="仿宋" w:cs="仿宋"/>
          <w:color w:val="auto"/>
          <w:sz w:val="32"/>
          <w:szCs w:val="32"/>
        </w:rPr>
        <w:t>龄</w:t>
      </w:r>
      <w:bookmarkStart w:id="184" w:name="_Toc384308377"/>
      <w:bookmarkStart w:id="185" w:name="_Toc144974858"/>
      <w:bookmarkStart w:id="186" w:name="_Toc152045789"/>
      <w:bookmarkStart w:id="187" w:name="_Toc247527829"/>
      <w:bookmarkStart w:id="188" w:name="_Toc15573"/>
      <w:bookmarkStart w:id="189" w:name="_Toc300835211"/>
      <w:bookmarkStart w:id="190" w:name="_Toc369531699"/>
      <w:bookmarkStart w:id="191" w:name="_Toc352691663"/>
      <w:bookmarkStart w:id="192" w:name="_Toc361508754"/>
      <w:bookmarkStart w:id="193" w:name="_Toc152042578"/>
      <w:bookmarkStart w:id="194" w:name="_Toc247514248"/>
      <w:r>
        <w:rPr>
          <w:rFonts w:hint="eastAsia" w:ascii="仿宋" w:hAnsi="仿宋" w:eastAsia="仿宋" w:cs="仿宋"/>
          <w:color w:val="auto"/>
          <w:sz w:val="32"/>
          <w:szCs w:val="32"/>
        </w:rPr>
        <w:t>：</w:t>
      </w:r>
      <w:bookmarkEnd w:id="184"/>
      <w:bookmarkEnd w:id="185"/>
      <w:bookmarkEnd w:id="186"/>
      <w:bookmarkEnd w:id="187"/>
      <w:bookmarkEnd w:id="188"/>
      <w:bookmarkEnd w:id="189"/>
      <w:bookmarkEnd w:id="190"/>
      <w:bookmarkEnd w:id="191"/>
      <w:bookmarkEnd w:id="192"/>
      <w:bookmarkEnd w:id="193"/>
      <w:bookmarkEnd w:id="194"/>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002700E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3C65AF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3D764D5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03097D9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6D7295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0D12D14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19CD925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DDB2C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56E3CE6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063642A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6617C95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50D9506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1B16D620">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3B491CEE">
      <w:pPr>
        <w:pStyle w:val="3"/>
        <w:jc w:val="center"/>
        <w:rPr>
          <w:rFonts w:hint="eastAsia" w:ascii="黑体" w:hAnsi="黑体" w:eastAsia="黑体" w:cs="黑体"/>
          <w:color w:val="auto"/>
          <w:sz w:val="36"/>
          <w:szCs w:val="36"/>
        </w:rPr>
      </w:pPr>
      <w:bookmarkStart w:id="195" w:name="_Toc504488770"/>
      <w:bookmarkStart w:id="196" w:name="_Toc2777"/>
      <w:r>
        <w:rPr>
          <w:rFonts w:hint="eastAsia" w:ascii="黑体" w:hAnsi="黑体" w:eastAsia="黑体" w:cs="黑体"/>
          <w:color w:val="auto"/>
          <w:sz w:val="36"/>
          <w:szCs w:val="36"/>
        </w:rPr>
        <w:t>二、授权委托书</w:t>
      </w:r>
      <w:bookmarkEnd w:id="195"/>
      <w:bookmarkEnd w:id="196"/>
    </w:p>
    <w:p w14:paraId="5D5031A2">
      <w:pPr>
        <w:spacing w:line="440" w:lineRule="exact"/>
        <w:rPr>
          <w:rFonts w:hint="eastAsia" w:ascii="仿宋" w:hAnsi="仿宋" w:eastAsia="仿宋" w:cs="仿宋"/>
          <w:color w:val="auto"/>
          <w:sz w:val="32"/>
          <w:szCs w:val="32"/>
        </w:rPr>
      </w:pPr>
    </w:p>
    <w:p w14:paraId="199BE2B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6CD5B539">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4CBE861">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48A3092F">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69CE5FC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1E17B35A">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56D7EE59">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6D65D37F">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415926D2">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362462BC">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13608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09A0F495">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436762CE">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0FA1F2FE">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F035694">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BBC41E1">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8FA0248">
      <w:pPr>
        <w:pStyle w:val="3"/>
        <w:spacing w:after="0" w:line="413" w:lineRule="auto"/>
        <w:jc w:val="center"/>
        <w:rPr>
          <w:rFonts w:hint="eastAsia" w:ascii="黑体" w:hAnsi="黑体" w:eastAsia="黑体" w:cs="黑体"/>
          <w:color w:val="auto"/>
          <w:sz w:val="36"/>
          <w:szCs w:val="36"/>
          <w:u w:val="single"/>
          <w:lang w:eastAsia="zh-CN"/>
        </w:rPr>
      </w:pPr>
      <w:bookmarkStart w:id="197" w:name="_Toc504488772"/>
      <w:bookmarkStart w:id="198" w:name="_Toc784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7"/>
      <w:bookmarkEnd w:id="198"/>
      <w:r>
        <w:rPr>
          <w:rFonts w:hint="eastAsia" w:ascii="黑体" w:hAnsi="黑体" w:eastAsia="黑体" w:cs="黑体"/>
          <w:color w:val="auto"/>
          <w:sz w:val="36"/>
          <w:szCs w:val="36"/>
          <w:lang w:eastAsia="zh-CN"/>
        </w:rPr>
        <w:t>响应保证金</w:t>
      </w:r>
    </w:p>
    <w:p w14:paraId="0FAD22A3">
      <w:pPr>
        <w:spacing w:line="440" w:lineRule="exact"/>
        <w:rPr>
          <w:rFonts w:hint="eastAsia" w:ascii="仿宋" w:hAnsi="仿宋" w:eastAsia="仿宋" w:cs="仿宋"/>
          <w:b/>
          <w:bCs/>
          <w:color w:val="auto"/>
          <w:sz w:val="32"/>
          <w:szCs w:val="32"/>
        </w:rPr>
      </w:pPr>
    </w:p>
    <w:p w14:paraId="08682D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47E3B33E">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4802DB63">
      <w:pPr>
        <w:spacing w:line="440" w:lineRule="exact"/>
        <w:rPr>
          <w:rFonts w:hint="eastAsia" w:ascii="仿宋" w:hAnsi="仿宋" w:eastAsia="仿宋" w:cs="仿宋"/>
          <w:color w:val="auto"/>
          <w:sz w:val="32"/>
          <w:szCs w:val="32"/>
          <w:u w:val="single"/>
        </w:rPr>
      </w:pPr>
    </w:p>
    <w:p w14:paraId="384C033E">
      <w:pPr>
        <w:spacing w:line="440" w:lineRule="exact"/>
        <w:rPr>
          <w:rFonts w:hint="eastAsia" w:ascii="仿宋" w:hAnsi="仿宋" w:eastAsia="仿宋" w:cs="仿宋"/>
          <w:color w:val="auto"/>
          <w:sz w:val="32"/>
          <w:szCs w:val="32"/>
          <w:u w:val="single"/>
        </w:rPr>
      </w:pPr>
    </w:p>
    <w:p w14:paraId="7CFCA7C1">
      <w:pPr>
        <w:pStyle w:val="3"/>
        <w:pageBreakBefore/>
        <w:snapToGrid w:val="0"/>
        <w:spacing w:before="0" w:after="0" w:line="288" w:lineRule="auto"/>
        <w:rPr>
          <w:rFonts w:hint="eastAsia" w:ascii="仿宋" w:hAnsi="仿宋" w:eastAsia="仿宋" w:cs="仿宋"/>
          <w:color w:val="auto"/>
          <w:sz w:val="32"/>
          <w:szCs w:val="32"/>
        </w:rPr>
      </w:pPr>
      <w:bookmarkStart w:id="199"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199"/>
    </w:p>
    <w:p w14:paraId="2076046E">
      <w:pPr>
        <w:pStyle w:val="5"/>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56FFCB8D">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8CB9897">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6D6BCE75">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7F741C0B">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180518D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46A5A029">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034F9C6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65ED751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715CDC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12F3403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3B70ACE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4032269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52D9135A">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0CCDC3C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0D31F154">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63AF07F8">
      <w:pPr>
        <w:snapToGrid w:val="0"/>
        <w:spacing w:line="312" w:lineRule="auto"/>
        <w:rPr>
          <w:rFonts w:hint="eastAsia" w:ascii="仿宋" w:hAnsi="仿宋" w:eastAsia="仿宋" w:cs="仿宋"/>
          <w:color w:val="auto"/>
          <w:sz w:val="32"/>
          <w:szCs w:val="32"/>
        </w:rPr>
      </w:pPr>
    </w:p>
    <w:p w14:paraId="3A352031">
      <w:pPr>
        <w:snapToGrid w:val="0"/>
        <w:spacing w:line="312" w:lineRule="auto"/>
        <w:rPr>
          <w:rFonts w:hint="eastAsia" w:ascii="仿宋" w:hAnsi="仿宋" w:eastAsia="仿宋" w:cs="仿宋"/>
          <w:color w:val="auto"/>
          <w:sz w:val="32"/>
          <w:szCs w:val="32"/>
        </w:rPr>
      </w:pPr>
    </w:p>
    <w:p w14:paraId="3BB7865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25CA1FF4">
      <w:pPr>
        <w:snapToGrid w:val="0"/>
        <w:spacing w:line="312" w:lineRule="auto"/>
        <w:rPr>
          <w:rFonts w:hint="eastAsia" w:ascii="仿宋" w:hAnsi="仿宋" w:eastAsia="仿宋" w:cs="仿宋"/>
          <w:color w:val="auto"/>
          <w:sz w:val="32"/>
          <w:szCs w:val="32"/>
        </w:rPr>
      </w:pPr>
    </w:p>
    <w:p w14:paraId="7848A65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4A2C114">
      <w:pPr>
        <w:snapToGrid w:val="0"/>
        <w:spacing w:line="312" w:lineRule="auto"/>
        <w:rPr>
          <w:rFonts w:hint="eastAsia" w:ascii="仿宋" w:hAnsi="仿宋" w:eastAsia="仿宋" w:cs="仿宋"/>
          <w:color w:val="auto"/>
          <w:sz w:val="32"/>
          <w:szCs w:val="32"/>
        </w:rPr>
      </w:pPr>
    </w:p>
    <w:p w14:paraId="1107C65B">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3F12BAA4">
      <w:pPr>
        <w:snapToGrid w:val="0"/>
        <w:spacing w:line="312" w:lineRule="auto"/>
        <w:ind w:firstLine="1280" w:firstLineChars="400"/>
        <w:rPr>
          <w:rFonts w:hint="eastAsia" w:ascii="仿宋" w:hAnsi="仿宋" w:eastAsia="仿宋" w:cs="仿宋"/>
          <w:color w:val="auto"/>
          <w:sz w:val="32"/>
          <w:szCs w:val="32"/>
        </w:rPr>
      </w:pPr>
    </w:p>
    <w:p w14:paraId="5949AFFB">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05955BD0">
      <w:pPr>
        <w:pStyle w:val="9"/>
        <w:snapToGrid w:val="0"/>
        <w:spacing w:after="120"/>
        <w:ind w:firstLine="0" w:firstLineChars="0"/>
        <w:jc w:val="both"/>
        <w:rPr>
          <w:rFonts w:hint="eastAsia" w:ascii="仿宋" w:hAnsi="仿宋" w:eastAsia="仿宋" w:cs="仿宋"/>
          <w:color w:val="auto"/>
          <w:sz w:val="32"/>
          <w:szCs w:val="32"/>
        </w:rPr>
      </w:pPr>
    </w:p>
    <w:p w14:paraId="47F7429D">
      <w:pPr>
        <w:pStyle w:val="9"/>
        <w:snapToGrid w:val="0"/>
        <w:spacing w:after="120"/>
        <w:ind w:firstLine="0" w:firstLineChars="0"/>
        <w:jc w:val="both"/>
        <w:rPr>
          <w:rFonts w:hint="eastAsia" w:ascii="仿宋" w:hAnsi="仿宋" w:eastAsia="仿宋" w:cs="仿宋"/>
          <w:color w:val="auto"/>
          <w:sz w:val="32"/>
          <w:szCs w:val="32"/>
        </w:rPr>
      </w:pPr>
    </w:p>
    <w:p w14:paraId="1ACC8AFD">
      <w:pPr>
        <w:pStyle w:val="9"/>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61C97240">
      <w:pPr>
        <w:widowControl/>
        <w:jc w:val="left"/>
        <w:rPr>
          <w:rFonts w:ascii="Times New Roman" w:hAnsi="Times New Roman"/>
          <w:color w:val="auto"/>
          <w:sz w:val="24"/>
          <w:szCs w:val="24"/>
        </w:rPr>
      </w:pPr>
    </w:p>
    <w:p w14:paraId="4D60DD34">
      <w:pPr>
        <w:spacing w:line="440" w:lineRule="exact"/>
        <w:jc w:val="center"/>
        <w:rPr>
          <w:rFonts w:ascii="Times New Roman" w:hAnsi="Times New Roman" w:eastAsia="黑体"/>
          <w:color w:val="auto"/>
          <w:sz w:val="27"/>
          <w:szCs w:val="27"/>
        </w:rPr>
      </w:pPr>
    </w:p>
    <w:p w14:paraId="48B71C22">
      <w:pPr>
        <w:spacing w:line="440" w:lineRule="exact"/>
        <w:ind w:firstLine="420" w:firstLineChars="200"/>
        <w:rPr>
          <w:rFonts w:ascii="Times New Roman" w:hAnsi="Times New Roman"/>
          <w:color w:val="auto"/>
          <w:szCs w:val="21"/>
        </w:rPr>
      </w:pPr>
    </w:p>
    <w:p w14:paraId="7C53B2A4">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32F2DD20">
      <w:pPr>
        <w:pStyle w:val="3"/>
        <w:numPr>
          <w:ilvl w:val="0"/>
          <w:numId w:val="0"/>
        </w:numPr>
        <w:ind w:left="0" w:leftChars="0" w:firstLine="723" w:firstLineChars="200"/>
        <w:jc w:val="left"/>
        <w:rPr>
          <w:rFonts w:hint="default" w:ascii="Times New Roman" w:hAnsi="Times New Roman" w:eastAsia="宋体" w:cs="Times New Roman"/>
          <w:b/>
          <w:bCs/>
          <w:color w:val="auto"/>
          <w:kern w:val="2"/>
          <w:sz w:val="36"/>
          <w:szCs w:val="36"/>
          <w:lang w:val="en-US" w:eastAsia="zh-CN" w:bidi="ar-SA"/>
        </w:rPr>
      </w:pPr>
      <w:bookmarkStart w:id="200" w:name="_Toc504488775"/>
      <w:bookmarkStart w:id="201" w:name="_Toc1755"/>
      <w:r>
        <w:rPr>
          <w:rFonts w:hint="eastAsia" w:ascii="Times New Roman" w:hAnsi="Times New Roman" w:eastAsia="宋体" w:cs="Times New Roman"/>
          <w:b/>
          <w:bCs/>
          <w:color w:val="auto"/>
          <w:kern w:val="2"/>
          <w:sz w:val="36"/>
          <w:szCs w:val="36"/>
          <w:lang w:val="en-US" w:eastAsia="zh-CN" w:bidi="ar-SA"/>
        </w:rPr>
        <w:t>五、分项报价表</w:t>
      </w:r>
    </w:p>
    <w:tbl>
      <w:tblPr>
        <w:tblStyle w:val="10"/>
        <w:tblpPr w:leftFromText="180" w:rightFromText="180" w:vertAnchor="page" w:horzAnchor="page" w:tblpX="1592" w:tblpY="2612"/>
        <w:tblOverlap w:val="never"/>
        <w:tblW w:w="874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4"/>
        <w:gridCol w:w="1112"/>
        <w:gridCol w:w="3312"/>
        <w:gridCol w:w="1080"/>
        <w:gridCol w:w="1200"/>
        <w:gridCol w:w="1540"/>
      </w:tblGrid>
      <w:tr w14:paraId="2B19D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2" w:hRule="atLeast"/>
        </w:trPr>
        <w:tc>
          <w:tcPr>
            <w:tcW w:w="504" w:type="dxa"/>
            <w:tcBorders>
              <w:top w:val="single" w:color="auto" w:sz="6" w:space="0"/>
              <w:left w:val="single" w:color="auto" w:sz="6" w:space="0"/>
              <w:bottom w:val="single" w:color="auto" w:sz="4" w:space="0"/>
              <w:right w:val="single" w:color="auto" w:sz="6" w:space="0"/>
              <w:tl2br w:val="nil"/>
              <w:tr2bl w:val="nil"/>
            </w:tcBorders>
            <w:noWrap w:val="0"/>
            <w:vAlign w:val="center"/>
          </w:tcPr>
          <w:p w14:paraId="72321B16">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编号</w:t>
            </w:r>
          </w:p>
        </w:tc>
        <w:tc>
          <w:tcPr>
            <w:tcW w:w="1112" w:type="dxa"/>
            <w:tcBorders>
              <w:top w:val="single" w:color="auto" w:sz="6" w:space="0"/>
              <w:left w:val="single" w:color="auto" w:sz="6" w:space="0"/>
              <w:bottom w:val="single" w:color="auto" w:sz="4" w:space="0"/>
              <w:right w:val="single" w:color="auto" w:sz="6" w:space="0"/>
              <w:tl2br w:val="nil"/>
              <w:tr2bl w:val="nil"/>
            </w:tcBorders>
            <w:noWrap w:val="0"/>
            <w:vAlign w:val="center"/>
          </w:tcPr>
          <w:p w14:paraId="7B7E0C61">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货物</w:t>
            </w:r>
          </w:p>
          <w:p w14:paraId="3BC0CE4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名称</w:t>
            </w:r>
          </w:p>
        </w:tc>
        <w:tc>
          <w:tcPr>
            <w:tcW w:w="331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33B76F">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规格型号</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4E089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数量</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干量吨</w:t>
            </w:r>
            <w:r>
              <w:rPr>
                <w:rFonts w:hint="eastAsia" w:ascii="宋体" w:hAnsi="宋体" w:cs="宋体"/>
                <w:color w:val="000000"/>
                <w:sz w:val="24"/>
                <w:szCs w:val="24"/>
                <w:lang w:eastAsia="zh-CN"/>
              </w:rPr>
              <w:t>）</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D91EBA">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送到价</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（元/吨）</w:t>
            </w:r>
          </w:p>
        </w:tc>
        <w:tc>
          <w:tcPr>
            <w:tcW w:w="15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2FCA0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总</w:t>
            </w:r>
            <w:r>
              <w:rPr>
                <w:rFonts w:hint="eastAsia" w:ascii="宋体" w:hAnsi="宋体" w:eastAsia="宋体" w:cs="宋体"/>
                <w:color w:val="000000"/>
                <w:sz w:val="24"/>
                <w:szCs w:val="24"/>
              </w:rPr>
              <w:t>金额（元）</w:t>
            </w:r>
          </w:p>
        </w:tc>
      </w:tr>
      <w:tr w14:paraId="2AE58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0" w:hRule="atLeast"/>
        </w:trPr>
        <w:tc>
          <w:tcPr>
            <w:tcW w:w="50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DA22D3">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w:t>
            </w:r>
          </w:p>
        </w:tc>
        <w:tc>
          <w:tcPr>
            <w:tcW w:w="111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C56E82">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二工区用</w:t>
            </w:r>
            <w:r>
              <w:rPr>
                <w:rFonts w:hint="eastAsia" w:ascii="宋体" w:hAnsi="宋体" w:eastAsia="宋体" w:cs="宋体"/>
                <w:color w:val="000000"/>
                <w:sz w:val="24"/>
                <w:szCs w:val="24"/>
                <w:lang w:val="en-US" w:eastAsia="zh-CN"/>
              </w:rPr>
              <w:t>焦沫</w:t>
            </w:r>
          </w:p>
        </w:tc>
        <w:tc>
          <w:tcPr>
            <w:tcW w:w="3312" w:type="dxa"/>
            <w:tcBorders>
              <w:top w:val="single" w:color="auto" w:sz="6" w:space="0"/>
              <w:left w:val="single" w:color="auto" w:sz="4" w:space="0"/>
              <w:bottom w:val="single" w:color="auto" w:sz="6" w:space="0"/>
              <w:right w:val="single" w:color="auto" w:sz="6" w:space="0"/>
              <w:tl2br w:val="nil"/>
              <w:tr2bl w:val="nil"/>
            </w:tcBorders>
            <w:noWrap w:val="0"/>
            <w:vAlign w:val="center"/>
          </w:tcPr>
          <w:p w14:paraId="47CB0F04">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宋体" w:hAnsi="宋体" w:eastAsia="宋体" w:cs="宋体"/>
                <w:sz w:val="21"/>
                <w:szCs w:val="21"/>
              </w:rPr>
            </w:pPr>
            <w:r>
              <w:rPr>
                <w:rFonts w:hint="eastAsia" w:ascii="仿宋" w:hAnsi="仿宋" w:eastAsia="仿宋" w:cs="仿宋"/>
                <w:color w:val="auto"/>
                <w:sz w:val="28"/>
                <w:szCs w:val="28"/>
              </w:rPr>
              <w:t>C≥</w:t>
            </w:r>
            <w:r>
              <w:rPr>
                <w:rFonts w:hint="eastAsia" w:ascii="仿宋" w:hAnsi="仿宋" w:eastAsia="仿宋" w:cs="仿宋"/>
                <w:color w:val="auto"/>
                <w:sz w:val="28"/>
                <w:szCs w:val="28"/>
                <w:lang w:val="en-US" w:eastAsia="zh-CN"/>
              </w:rPr>
              <w:t>78</w:t>
            </w:r>
            <w:r>
              <w:rPr>
                <w:rFonts w:hint="eastAsia" w:ascii="仿宋" w:hAnsi="仿宋" w:eastAsia="仿宋" w:cs="仿宋"/>
                <w:color w:val="auto"/>
                <w:sz w:val="28"/>
                <w:szCs w:val="28"/>
              </w:rPr>
              <w:t>%，挥发份≤</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.0%，灰分≤15.0%，S≤</w:t>
            </w:r>
            <w:r>
              <w:rPr>
                <w:rFonts w:hint="eastAsia" w:ascii="仿宋" w:hAnsi="仿宋" w:eastAsia="仿宋" w:cs="仿宋"/>
                <w:color w:val="auto"/>
                <w:sz w:val="28"/>
                <w:szCs w:val="28"/>
                <w:lang w:val="en-US" w:eastAsia="zh-CN"/>
              </w:rPr>
              <w:t>0.8</w:t>
            </w:r>
            <w:r>
              <w:rPr>
                <w:rFonts w:hint="eastAsia" w:ascii="仿宋" w:hAnsi="仿宋" w:eastAsia="仿宋" w:cs="仿宋"/>
                <w:color w:val="auto"/>
                <w:sz w:val="28"/>
                <w:szCs w:val="28"/>
              </w:rPr>
              <w:t>%,水分≤</w:t>
            </w:r>
            <w:r>
              <w:rPr>
                <w:rFonts w:hint="eastAsia" w:ascii="仿宋" w:hAnsi="仿宋" w:eastAsia="仿宋" w:cs="仿宋"/>
                <w:color w:val="auto"/>
                <w:sz w:val="28"/>
                <w:szCs w:val="28"/>
                <w:lang w:val="en-US" w:eastAsia="zh-CN"/>
              </w:rPr>
              <w:t>15</w:t>
            </w:r>
            <w:r>
              <w:rPr>
                <w:rFonts w:hint="eastAsia" w:ascii="仿宋" w:hAnsi="仿宋" w:eastAsia="仿宋" w:cs="仿宋"/>
                <w:color w:val="auto"/>
                <w:sz w:val="28"/>
                <w:szCs w:val="28"/>
              </w:rPr>
              <w:t>%，粒度符合5-10mm≤</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0%</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15mm＜</w:t>
            </w: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%，5mm＜</w:t>
            </w:r>
            <w:r>
              <w:rPr>
                <w:rFonts w:hint="eastAsia" w:ascii="仿宋" w:hAnsi="仿宋" w:eastAsia="仿宋" w:cs="仿宋"/>
                <w:color w:val="auto"/>
                <w:sz w:val="28"/>
                <w:szCs w:val="28"/>
                <w:lang w:val="en-US" w:eastAsia="zh-CN"/>
              </w:rPr>
              <w:t>50</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8A0536">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2000</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9BCB4A">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color w:val="000000"/>
                <w:sz w:val="24"/>
                <w:szCs w:val="24"/>
              </w:rPr>
            </w:pPr>
          </w:p>
        </w:tc>
        <w:tc>
          <w:tcPr>
            <w:tcW w:w="15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E5A5FE">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color w:val="000000"/>
                <w:sz w:val="24"/>
                <w:szCs w:val="24"/>
              </w:rPr>
            </w:pPr>
          </w:p>
        </w:tc>
      </w:tr>
    </w:tbl>
    <w:p w14:paraId="6DD097D9">
      <w:pPr>
        <w:bidi w:val="0"/>
        <w:ind w:firstLine="300" w:firstLineChars="100"/>
        <w:jc w:val="left"/>
        <w:rPr>
          <w:rFonts w:hint="eastAsia" w:ascii="Times New Roman" w:hAnsi="Times New Roman"/>
          <w:color w:val="auto"/>
          <w:kern w:val="0"/>
          <w:sz w:val="30"/>
          <w:szCs w:val="30"/>
          <w:lang w:val="en-US" w:eastAsia="zh-CN"/>
        </w:rPr>
      </w:pPr>
    </w:p>
    <w:p w14:paraId="413685F5">
      <w:pPr>
        <w:bidi w:val="0"/>
        <w:ind w:firstLine="1500" w:firstLineChars="500"/>
        <w:jc w:val="left"/>
        <w:rPr>
          <w:rFonts w:hint="default" w:ascii="Times New Roman" w:hAnsi="Times New Roman"/>
          <w:color w:val="auto"/>
          <w:kern w:val="0"/>
          <w:sz w:val="30"/>
          <w:szCs w:val="30"/>
          <w:u w:val="single"/>
          <w:lang w:val="en-US" w:eastAsia="zh-CN"/>
        </w:rPr>
      </w:pPr>
      <w:r>
        <w:rPr>
          <w:rFonts w:hint="eastAsia" w:ascii="Times New Roman" w:hAnsi="Times New Roman"/>
          <w:color w:val="auto"/>
          <w:kern w:val="0"/>
          <w:sz w:val="30"/>
          <w:szCs w:val="30"/>
          <w:lang w:val="en-US" w:eastAsia="zh-CN"/>
        </w:rPr>
        <w:t xml:space="preserve">报价单位签字盖章： </w:t>
      </w:r>
      <w:r>
        <w:rPr>
          <w:rFonts w:hint="eastAsia" w:ascii="Times New Roman" w:hAnsi="Times New Roman"/>
          <w:color w:val="auto"/>
          <w:kern w:val="0"/>
          <w:sz w:val="30"/>
          <w:szCs w:val="30"/>
          <w:u w:val="single"/>
          <w:lang w:val="en-US" w:eastAsia="zh-CN"/>
        </w:rPr>
        <w:t xml:space="preserve">                           </w:t>
      </w:r>
    </w:p>
    <w:p w14:paraId="0C4F7D97">
      <w:pPr>
        <w:pStyle w:val="3"/>
        <w:spacing w:after="0"/>
        <w:ind w:firstLine="4800" w:firstLineChars="1600"/>
        <w:jc w:val="both"/>
        <w:rPr>
          <w:rFonts w:ascii="Times New Roman" w:hAnsi="Times New Roman"/>
          <w:color w:val="auto"/>
        </w:rPr>
      </w:pPr>
      <w:r>
        <w:rPr>
          <w:rFonts w:hint="eastAsia" w:ascii="Times New Roman" w:hAnsi="Times New Roman"/>
          <w:b w:val="0"/>
          <w:bCs/>
          <w:color w:val="auto"/>
          <w:kern w:val="0"/>
          <w:sz w:val="30"/>
          <w:szCs w:val="30"/>
          <w:u w:val="single"/>
          <w:lang w:val="en-US" w:eastAsia="zh-CN"/>
        </w:rPr>
        <w:t xml:space="preserve">     </w:t>
      </w:r>
      <w:r>
        <w:rPr>
          <w:rFonts w:hint="eastAsia" w:ascii="Times New Roman" w:hAnsi="Times New Roman"/>
          <w:b w:val="0"/>
          <w:bCs/>
          <w:color w:val="auto"/>
          <w:kern w:val="0"/>
          <w:sz w:val="30"/>
          <w:szCs w:val="30"/>
          <w:lang w:val="en-US" w:eastAsia="zh-CN"/>
        </w:rPr>
        <w:t>年</w:t>
      </w:r>
      <w:r>
        <w:rPr>
          <w:rFonts w:hint="eastAsia" w:ascii="Times New Roman" w:hAnsi="Times New Roman"/>
          <w:b w:val="0"/>
          <w:bCs/>
          <w:color w:val="auto"/>
          <w:kern w:val="0"/>
          <w:sz w:val="30"/>
          <w:szCs w:val="30"/>
          <w:u w:val="single"/>
          <w:lang w:val="en-US" w:eastAsia="zh-CN"/>
        </w:rPr>
        <w:t xml:space="preserve">     </w:t>
      </w:r>
      <w:r>
        <w:rPr>
          <w:rFonts w:hint="eastAsia" w:ascii="Times New Roman" w:hAnsi="Times New Roman"/>
          <w:b w:val="0"/>
          <w:bCs/>
          <w:color w:val="auto"/>
          <w:kern w:val="0"/>
          <w:sz w:val="30"/>
          <w:szCs w:val="30"/>
          <w:lang w:val="en-US" w:eastAsia="zh-CN"/>
        </w:rPr>
        <w:t>月</w:t>
      </w:r>
      <w:r>
        <w:rPr>
          <w:rFonts w:hint="eastAsia" w:ascii="Times New Roman" w:hAnsi="Times New Roman"/>
          <w:b w:val="0"/>
          <w:bCs/>
          <w:color w:val="auto"/>
          <w:kern w:val="0"/>
          <w:sz w:val="30"/>
          <w:szCs w:val="30"/>
          <w:u w:val="single"/>
          <w:lang w:val="en-US" w:eastAsia="zh-CN"/>
        </w:rPr>
        <w:t xml:space="preserve">    </w:t>
      </w:r>
      <w:r>
        <w:rPr>
          <w:rFonts w:hint="eastAsia" w:ascii="Times New Roman" w:hAnsi="Times New Roman"/>
          <w:b w:val="0"/>
          <w:bCs/>
          <w:color w:val="auto"/>
          <w:kern w:val="0"/>
          <w:sz w:val="30"/>
          <w:szCs w:val="30"/>
          <w:lang w:val="en-US" w:eastAsia="zh-CN"/>
        </w:rPr>
        <w:t>日</w:t>
      </w:r>
      <w:r>
        <w:rPr>
          <w:rFonts w:hint="eastAsia" w:ascii="Times New Roman" w:hAnsi="Times New Roman"/>
          <w:b w:val="0"/>
          <w:bCs/>
          <w:color w:val="auto"/>
          <w:kern w:val="0"/>
          <w:sz w:val="30"/>
          <w:szCs w:val="30"/>
        </w:rPr>
        <w:br w:type="page"/>
      </w:r>
      <w:r>
        <w:rPr>
          <w:rFonts w:hint="eastAsia" w:ascii="Times New Roman" w:hAnsi="Times New Roman"/>
          <w:color w:val="auto"/>
          <w:kern w:val="0"/>
          <w:lang w:val="en-US" w:eastAsia="zh-CN"/>
        </w:rPr>
        <w:t>六</w:t>
      </w:r>
      <w:r>
        <w:rPr>
          <w:rFonts w:hint="eastAsia" w:ascii="Times New Roman" w:hAnsi="Times New Roman"/>
          <w:color w:val="auto"/>
        </w:rPr>
        <w:t>、资格审查资料</w:t>
      </w:r>
      <w:bookmarkEnd w:id="200"/>
      <w:bookmarkEnd w:id="201"/>
    </w:p>
    <w:p w14:paraId="097D03FF">
      <w:pPr>
        <w:pStyle w:val="4"/>
        <w:spacing w:before="20" w:after="0"/>
        <w:ind w:firstLine="103"/>
        <w:rPr>
          <w:rFonts w:ascii="Times New Roman"/>
          <w:color w:val="auto"/>
          <w:sz w:val="32"/>
          <w:szCs w:val="32"/>
        </w:rPr>
      </w:pPr>
      <w:bookmarkStart w:id="202" w:name="_Toc504488776"/>
      <w:bookmarkStart w:id="203" w:name="_Toc13906"/>
      <w:r>
        <w:rPr>
          <w:rFonts w:hint="eastAsia" w:ascii="Times New Roman"/>
          <w:color w:val="auto"/>
          <w:sz w:val="32"/>
          <w:szCs w:val="32"/>
        </w:rPr>
        <w:t>（一）基本情况表</w:t>
      </w:r>
      <w:bookmarkEnd w:id="202"/>
      <w:bookmarkEnd w:id="203"/>
    </w:p>
    <w:tbl>
      <w:tblPr>
        <w:tblStyle w:val="10"/>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5BED70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2838750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w:t>
            </w:r>
          </w:p>
        </w:tc>
        <w:tc>
          <w:tcPr>
            <w:tcW w:w="6307" w:type="dxa"/>
            <w:gridSpan w:val="4"/>
            <w:tcBorders>
              <w:top w:val="single" w:color="auto" w:sz="4" w:space="0"/>
              <w:left w:val="single" w:color="auto" w:sz="4" w:space="0"/>
              <w:bottom w:val="single" w:color="auto" w:sz="4" w:space="0"/>
            </w:tcBorders>
            <w:noWrap w:val="0"/>
            <w:vAlign w:val="center"/>
          </w:tcPr>
          <w:p w14:paraId="27FEC7C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50BBC6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78AE814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67EF714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DB1CC3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成立时间</w:t>
            </w:r>
          </w:p>
        </w:tc>
        <w:tc>
          <w:tcPr>
            <w:tcW w:w="1958" w:type="dxa"/>
            <w:tcBorders>
              <w:top w:val="single" w:color="auto" w:sz="4" w:space="0"/>
              <w:left w:val="single" w:color="auto" w:sz="4" w:space="0"/>
              <w:bottom w:val="single" w:color="auto" w:sz="4" w:space="0"/>
            </w:tcBorders>
            <w:noWrap w:val="0"/>
            <w:vAlign w:val="center"/>
          </w:tcPr>
          <w:p w14:paraId="6C3B41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03DC79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0C2C4F1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注册地址</w:t>
            </w:r>
          </w:p>
        </w:tc>
        <w:tc>
          <w:tcPr>
            <w:tcW w:w="6307" w:type="dxa"/>
            <w:gridSpan w:val="4"/>
            <w:tcBorders>
              <w:top w:val="single" w:color="auto" w:sz="4" w:space="0"/>
              <w:left w:val="single" w:color="auto" w:sz="4" w:space="0"/>
              <w:bottom w:val="single" w:color="auto" w:sz="4" w:space="0"/>
            </w:tcBorders>
            <w:noWrap w:val="0"/>
            <w:vAlign w:val="center"/>
          </w:tcPr>
          <w:p w14:paraId="072FB8B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6693E2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04B5FAD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542C9D2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476B92E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员工总数</w:t>
            </w:r>
          </w:p>
        </w:tc>
        <w:tc>
          <w:tcPr>
            <w:tcW w:w="1958" w:type="dxa"/>
            <w:tcBorders>
              <w:top w:val="single" w:color="auto" w:sz="4" w:space="0"/>
              <w:left w:val="single" w:color="auto" w:sz="4" w:space="0"/>
              <w:bottom w:val="single" w:color="auto" w:sz="4" w:space="0"/>
            </w:tcBorders>
            <w:noWrap w:val="0"/>
            <w:vAlign w:val="center"/>
          </w:tcPr>
          <w:p w14:paraId="665274E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3AD328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0B312C4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79DE292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7CFC6E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8C9AA5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7A50BE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4A0718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38BCC693">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4"/>
                <w:szCs w:val="24"/>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3BEAD21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074666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7BE475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传真</w:t>
            </w:r>
          </w:p>
        </w:tc>
        <w:tc>
          <w:tcPr>
            <w:tcW w:w="1958" w:type="dxa"/>
            <w:tcBorders>
              <w:top w:val="single" w:color="auto" w:sz="4" w:space="0"/>
              <w:left w:val="single" w:color="auto" w:sz="4" w:space="0"/>
              <w:bottom w:val="single" w:color="auto" w:sz="4" w:space="0"/>
            </w:tcBorders>
            <w:noWrap w:val="0"/>
            <w:vAlign w:val="center"/>
          </w:tcPr>
          <w:p w14:paraId="4E2F5C1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616A01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72CE29C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p w14:paraId="762057D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0F8E5F6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61DF80B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CBCBD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3212C8A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709690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2" w:hRule="exact"/>
        </w:trPr>
        <w:tc>
          <w:tcPr>
            <w:tcW w:w="2210" w:type="dxa"/>
            <w:tcBorders>
              <w:top w:val="single" w:color="auto" w:sz="4" w:space="0"/>
              <w:bottom w:val="single" w:color="auto" w:sz="4" w:space="0"/>
              <w:right w:val="single" w:color="auto" w:sz="4" w:space="0"/>
            </w:tcBorders>
            <w:noWrap w:val="0"/>
            <w:vAlign w:val="center"/>
          </w:tcPr>
          <w:p w14:paraId="7008DA1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须知要求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52411539">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类型：</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等级：</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证书号：</w:t>
            </w:r>
          </w:p>
        </w:tc>
      </w:tr>
      <w:tr w14:paraId="6B6D8F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1205FB2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基本账户开户银行</w:t>
            </w:r>
          </w:p>
        </w:tc>
        <w:tc>
          <w:tcPr>
            <w:tcW w:w="6307" w:type="dxa"/>
            <w:gridSpan w:val="4"/>
            <w:tcBorders>
              <w:top w:val="single" w:color="auto" w:sz="4" w:space="0"/>
              <w:left w:val="single" w:color="auto" w:sz="4" w:space="0"/>
              <w:bottom w:val="single" w:color="auto" w:sz="4" w:space="0"/>
            </w:tcBorders>
            <w:noWrap w:val="0"/>
            <w:vAlign w:val="center"/>
          </w:tcPr>
          <w:p w14:paraId="6ED79AC0">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p>
        </w:tc>
      </w:tr>
      <w:tr w14:paraId="01D316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19084C8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基本账户银行账号</w:t>
            </w:r>
          </w:p>
        </w:tc>
        <w:tc>
          <w:tcPr>
            <w:tcW w:w="6307" w:type="dxa"/>
            <w:gridSpan w:val="4"/>
            <w:tcBorders>
              <w:top w:val="single" w:color="auto" w:sz="4" w:space="0"/>
              <w:left w:val="single" w:color="auto" w:sz="4" w:space="0"/>
            </w:tcBorders>
            <w:noWrap w:val="0"/>
            <w:vAlign w:val="center"/>
          </w:tcPr>
          <w:p w14:paraId="3CF097E2">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41E21F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70FACA4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近三年营业额</w:t>
            </w:r>
          </w:p>
        </w:tc>
        <w:tc>
          <w:tcPr>
            <w:tcW w:w="6307" w:type="dxa"/>
            <w:gridSpan w:val="4"/>
            <w:tcBorders>
              <w:top w:val="single" w:color="auto" w:sz="4" w:space="0"/>
              <w:left w:val="single" w:color="auto" w:sz="4" w:space="0"/>
            </w:tcBorders>
            <w:noWrap w:val="0"/>
            <w:vAlign w:val="center"/>
          </w:tcPr>
          <w:p w14:paraId="51A28D29">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595607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exact"/>
        </w:trPr>
        <w:tc>
          <w:tcPr>
            <w:tcW w:w="2210" w:type="dxa"/>
            <w:tcBorders>
              <w:top w:val="single" w:color="auto" w:sz="4" w:space="0"/>
              <w:right w:val="single" w:color="auto" w:sz="4" w:space="0"/>
            </w:tcBorders>
            <w:noWrap w:val="0"/>
            <w:vAlign w:val="center"/>
          </w:tcPr>
          <w:p w14:paraId="4816A164">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关联企业情况（包括但不限于与</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法定代表人（单位负责人）为同一人或者存在控股、管理关系的不同单位）</w:t>
            </w:r>
          </w:p>
        </w:tc>
        <w:tc>
          <w:tcPr>
            <w:tcW w:w="6307" w:type="dxa"/>
            <w:gridSpan w:val="4"/>
            <w:tcBorders>
              <w:top w:val="single" w:color="auto" w:sz="4" w:space="0"/>
              <w:left w:val="single" w:color="auto" w:sz="4" w:space="0"/>
            </w:tcBorders>
            <w:noWrap w:val="0"/>
            <w:vAlign w:val="center"/>
          </w:tcPr>
          <w:p w14:paraId="76C17A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7A32DC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49CEDEB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响应文件所供</w:t>
            </w:r>
            <w:r>
              <w:rPr>
                <w:rFonts w:hint="eastAsia" w:ascii="宋体" w:hAnsi="宋体" w:eastAsia="宋体" w:cs="宋体"/>
                <w:color w:val="auto"/>
                <w:sz w:val="24"/>
                <w:szCs w:val="24"/>
              </w:rPr>
              <w:t>产品制造商名称</w:t>
            </w:r>
          </w:p>
        </w:tc>
        <w:tc>
          <w:tcPr>
            <w:tcW w:w="6307" w:type="dxa"/>
            <w:gridSpan w:val="4"/>
            <w:tcBorders>
              <w:top w:val="single" w:color="auto" w:sz="4" w:space="0"/>
              <w:left w:val="single" w:color="auto" w:sz="4" w:space="0"/>
            </w:tcBorders>
            <w:noWrap w:val="0"/>
            <w:vAlign w:val="center"/>
          </w:tcPr>
          <w:p w14:paraId="6A82E8F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483701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E43573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6307" w:type="dxa"/>
            <w:gridSpan w:val="4"/>
            <w:tcBorders>
              <w:top w:val="single" w:color="auto" w:sz="4" w:space="0"/>
              <w:left w:val="single" w:color="auto" w:sz="4" w:space="0"/>
              <w:bottom w:val="single" w:color="auto" w:sz="4" w:space="0"/>
            </w:tcBorders>
            <w:noWrap w:val="0"/>
            <w:vAlign w:val="center"/>
          </w:tcPr>
          <w:p w14:paraId="1A5EF4F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bl>
    <w:p w14:paraId="27EE9404">
      <w:pPr>
        <w:spacing w:line="360" w:lineRule="auto"/>
        <w:ind w:firstLine="480" w:firstLineChars="200"/>
        <w:rPr>
          <w:rFonts w:hint="eastAsia" w:ascii="宋体" w:hAnsi="宋体" w:eastAsia="宋体" w:cs="宋体"/>
          <w:color w:val="auto"/>
          <w:sz w:val="24"/>
          <w:szCs w:val="24"/>
        </w:rPr>
      </w:pPr>
    </w:p>
    <w:p w14:paraId="6F9C9DC1">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应根据</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须知第</w:t>
      </w:r>
      <w:r>
        <w:rPr>
          <w:rFonts w:hint="eastAsia" w:ascii="宋体" w:hAnsi="宋体" w:eastAsia="宋体" w:cs="宋体"/>
          <w:b w:val="0"/>
          <w:bCs w:val="0"/>
          <w:color w:val="auto"/>
          <w:sz w:val="24"/>
          <w:szCs w:val="24"/>
          <w:lang w:val="en-US" w:eastAsia="zh-CN"/>
        </w:rPr>
        <w:t>三条第5款第1</w:t>
      </w:r>
      <w:r>
        <w:rPr>
          <w:rFonts w:hint="eastAsia" w:ascii="宋体" w:hAnsi="宋体" w:eastAsia="宋体" w:cs="宋体"/>
          <w:b w:val="0"/>
          <w:bCs w:val="0"/>
          <w:color w:val="auto"/>
          <w:sz w:val="24"/>
          <w:szCs w:val="24"/>
        </w:rPr>
        <w:t>项的要求在本表后附相关证明材料。境内</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以现金（电汇）或者支票形式提交</w:t>
      </w:r>
      <w:r>
        <w:rPr>
          <w:rFonts w:hint="eastAsia" w:ascii="宋体" w:hAnsi="宋体" w:eastAsia="宋体" w:cs="宋体"/>
          <w:b w:val="0"/>
          <w:bCs w:val="0"/>
          <w:color w:val="auto"/>
          <w:sz w:val="24"/>
          <w:szCs w:val="24"/>
          <w:lang w:eastAsia="zh-CN"/>
        </w:rPr>
        <w:t>响应保证金</w:t>
      </w:r>
      <w:r>
        <w:rPr>
          <w:rFonts w:hint="eastAsia" w:ascii="宋体" w:hAnsi="宋体" w:eastAsia="宋体" w:cs="宋体"/>
          <w:b w:val="0"/>
          <w:bCs w:val="0"/>
          <w:color w:val="auto"/>
          <w:sz w:val="24"/>
          <w:szCs w:val="24"/>
        </w:rPr>
        <w:t>的，还应附基本账户开户许可证复印件。</w:t>
      </w:r>
    </w:p>
    <w:p w14:paraId="2FD648B7">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附营业执照复印件、财务状况承诺、</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18D6260">
      <w:pPr>
        <w:rPr>
          <w:b/>
          <w:color w:val="auto"/>
          <w:sz w:val="28"/>
          <w:szCs w:val="28"/>
        </w:rPr>
      </w:pPr>
      <w:r>
        <w:rPr>
          <w:rFonts w:hint="eastAsia" w:ascii="宋体" w:hAnsi="宋体" w:eastAsia="宋体" w:cs="宋体"/>
          <w:color w:val="auto"/>
          <w:sz w:val="24"/>
          <w:szCs w:val="24"/>
        </w:rPr>
        <w:br w:type="page"/>
      </w:r>
    </w:p>
    <w:p w14:paraId="0B8BB8D4">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354EE8DB">
      <w:pPr>
        <w:spacing w:line="440" w:lineRule="exact"/>
        <w:ind w:firstLine="643" w:firstLineChars="200"/>
        <w:jc w:val="left"/>
        <w:rPr>
          <w:rFonts w:hint="eastAsia" w:ascii="仿宋" w:hAnsi="仿宋" w:eastAsia="仿宋" w:cs="仿宋"/>
          <w:b/>
          <w:color w:val="auto"/>
          <w:sz w:val="32"/>
          <w:szCs w:val="32"/>
          <w:u w:val="single"/>
        </w:rPr>
      </w:pPr>
    </w:p>
    <w:p w14:paraId="60FBFAC3">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7200C681">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13ED73E2">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5D4102B1">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188F0F79">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0C17E6D">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C99C55C">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5ED32552">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40477634">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3691D2EE">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3AE81C05">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45C9A990">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2C5D0474">
      <w:pPr>
        <w:pStyle w:val="4"/>
        <w:ind w:firstLine="103"/>
        <w:rPr>
          <w:rFonts w:ascii="Times New Roman"/>
          <w:color w:val="auto"/>
          <w:sz w:val="32"/>
          <w:szCs w:val="32"/>
        </w:rPr>
      </w:pPr>
      <w:bookmarkStart w:id="204" w:name="_Toc19475"/>
      <w:bookmarkStart w:id="205" w:name="_Toc504488778"/>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近年完成的类似项目情况表</w:t>
      </w:r>
      <w:bookmarkEnd w:id="204"/>
      <w:bookmarkEnd w:id="205"/>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4749E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269" w:type="dxa"/>
            <w:noWrap w:val="0"/>
            <w:vAlign w:val="center"/>
          </w:tcPr>
          <w:p w14:paraId="187F7EB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项目名称</w:t>
            </w:r>
          </w:p>
        </w:tc>
        <w:tc>
          <w:tcPr>
            <w:tcW w:w="6253" w:type="dxa"/>
            <w:noWrap w:val="0"/>
            <w:vAlign w:val="top"/>
          </w:tcPr>
          <w:p w14:paraId="523430E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7895C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2269" w:type="dxa"/>
            <w:noWrap w:val="0"/>
            <w:vAlign w:val="center"/>
          </w:tcPr>
          <w:p w14:paraId="3B09DBE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买方名称</w:t>
            </w:r>
          </w:p>
        </w:tc>
        <w:tc>
          <w:tcPr>
            <w:tcW w:w="6253" w:type="dxa"/>
            <w:noWrap w:val="0"/>
            <w:vAlign w:val="top"/>
          </w:tcPr>
          <w:p w14:paraId="0FC7D535">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31DF0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269" w:type="dxa"/>
            <w:noWrap w:val="0"/>
            <w:vAlign w:val="center"/>
          </w:tcPr>
          <w:p w14:paraId="5F7D860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买方联系人及电话</w:t>
            </w:r>
          </w:p>
        </w:tc>
        <w:tc>
          <w:tcPr>
            <w:tcW w:w="6253" w:type="dxa"/>
            <w:noWrap w:val="0"/>
            <w:vAlign w:val="top"/>
          </w:tcPr>
          <w:p w14:paraId="01753948">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790CF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269" w:type="dxa"/>
            <w:noWrap w:val="0"/>
            <w:vAlign w:val="center"/>
          </w:tcPr>
          <w:p w14:paraId="17F40FB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合同价格</w:t>
            </w:r>
          </w:p>
        </w:tc>
        <w:tc>
          <w:tcPr>
            <w:tcW w:w="6253" w:type="dxa"/>
            <w:noWrap w:val="0"/>
            <w:vAlign w:val="top"/>
          </w:tcPr>
          <w:p w14:paraId="1B4883F6">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DB5F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2D54678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项目概况及</w:t>
            </w:r>
            <w:r>
              <w:rPr>
                <w:rFonts w:hint="eastAsia" w:ascii="Times New Roman" w:hAnsi="Times New Roman"/>
                <w:color w:val="auto"/>
                <w:sz w:val="24"/>
                <w:szCs w:val="24"/>
                <w:lang w:eastAsia="zh-CN"/>
              </w:rPr>
              <w:t>供应商</w:t>
            </w:r>
            <w:r>
              <w:rPr>
                <w:rFonts w:hint="eastAsia" w:ascii="Times New Roman" w:hAnsi="Times New Roman"/>
                <w:color w:val="auto"/>
                <w:sz w:val="24"/>
                <w:szCs w:val="24"/>
              </w:rPr>
              <w:t>履约情况</w:t>
            </w:r>
          </w:p>
        </w:tc>
        <w:tc>
          <w:tcPr>
            <w:tcW w:w="6253" w:type="dxa"/>
            <w:noWrap w:val="0"/>
            <w:vAlign w:val="top"/>
          </w:tcPr>
          <w:p w14:paraId="3507F0C6">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1A0EDDE7">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4E09C4E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56F42CB2">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7E9C6402">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2AB6555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553010C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27A40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5393F8A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6253" w:type="dxa"/>
            <w:noWrap w:val="0"/>
            <w:vAlign w:val="top"/>
          </w:tcPr>
          <w:p w14:paraId="2873B140">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21F6D489">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时间以合同签订时间为准。</w:t>
      </w:r>
    </w:p>
    <w:p w14:paraId="17AEFDC3">
      <w:pPr>
        <w:spacing w:line="440" w:lineRule="exact"/>
        <w:ind w:firstLine="480" w:firstLineChars="200"/>
        <w:rPr>
          <w:color w:val="auto"/>
          <w:sz w:val="24"/>
          <w:szCs w:val="24"/>
        </w:rPr>
      </w:pPr>
    </w:p>
    <w:p w14:paraId="5D07889C">
      <w:pPr>
        <w:spacing w:line="440" w:lineRule="exact"/>
        <w:rPr>
          <w:rFonts w:ascii="Times New Roman" w:hAnsi="Times New Roman"/>
          <w:color w:val="auto"/>
        </w:rPr>
      </w:pPr>
    </w:p>
    <w:p w14:paraId="6ECAF8ED">
      <w:pPr>
        <w:spacing w:line="440" w:lineRule="exact"/>
        <w:rPr>
          <w:rFonts w:ascii="Times New Roman" w:hAnsi="Times New Roman"/>
          <w:color w:val="auto"/>
        </w:rPr>
      </w:pPr>
    </w:p>
    <w:p w14:paraId="0EB9854E">
      <w:pPr>
        <w:topLinePunct/>
        <w:spacing w:line="440" w:lineRule="exact"/>
        <w:rPr>
          <w:rFonts w:ascii="Times New Roman" w:hAnsi="Times New Roman"/>
          <w:color w:val="auto"/>
        </w:rPr>
      </w:pPr>
      <w:r>
        <w:rPr>
          <w:rFonts w:ascii="Times New Roman" w:hAnsi="Times New Roman"/>
          <w:color w:val="auto"/>
        </w:rPr>
        <w:br w:type="page"/>
      </w:r>
    </w:p>
    <w:p w14:paraId="1DBB3D05">
      <w:pPr>
        <w:spacing w:line="440" w:lineRule="exact"/>
        <w:rPr>
          <w:rFonts w:ascii="Times New Roman"/>
          <w:b/>
          <w:bCs/>
          <w:color w:val="auto"/>
          <w:sz w:val="32"/>
          <w:szCs w:val="32"/>
        </w:rPr>
      </w:pPr>
      <w:bookmarkStart w:id="206" w:name="_Toc504488780"/>
      <w:bookmarkStart w:id="207" w:name="_Toc14234"/>
      <w:r>
        <w:rPr>
          <w:rFonts w:hint="eastAsia" w:ascii="Times New Roman"/>
          <w:b/>
          <w:bCs/>
          <w:color w:val="auto"/>
          <w:sz w:val="32"/>
          <w:szCs w:val="32"/>
        </w:rPr>
        <w:t>（</w:t>
      </w:r>
      <w:r>
        <w:rPr>
          <w:rFonts w:hint="eastAsia" w:ascii="Times New Roman"/>
          <w:b/>
          <w:bCs/>
          <w:color w:val="auto"/>
          <w:sz w:val="32"/>
          <w:szCs w:val="32"/>
          <w:lang w:val="en-US" w:eastAsia="zh-CN"/>
        </w:rPr>
        <w:t>三</w:t>
      </w:r>
      <w:r>
        <w:rPr>
          <w:rFonts w:hint="eastAsia" w:ascii="Times New Roman"/>
          <w:b/>
          <w:bCs/>
          <w:color w:val="auto"/>
          <w:sz w:val="32"/>
          <w:szCs w:val="32"/>
        </w:rPr>
        <w:t>）近</w:t>
      </w:r>
      <w:r>
        <w:rPr>
          <w:rFonts w:hint="eastAsia" w:ascii="Times New Roman"/>
          <w:b/>
          <w:bCs/>
          <w:color w:val="auto"/>
          <w:sz w:val="32"/>
          <w:szCs w:val="32"/>
          <w:lang w:val="en-US" w:eastAsia="zh-CN"/>
        </w:rPr>
        <w:t>三</w:t>
      </w:r>
      <w:r>
        <w:rPr>
          <w:rFonts w:hint="eastAsia" w:ascii="Times New Roman"/>
          <w:b/>
          <w:bCs/>
          <w:color w:val="auto"/>
          <w:sz w:val="32"/>
          <w:szCs w:val="32"/>
        </w:rPr>
        <w:t>年发生的诉讼及仲裁情况</w:t>
      </w:r>
      <w:bookmarkEnd w:id="206"/>
      <w:bookmarkEnd w:id="207"/>
    </w:p>
    <w:p w14:paraId="63A0E2D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431F8D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w:t>
      </w:r>
    </w:p>
    <w:p w14:paraId="530A0E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应根据</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三条第五款第五</w:t>
      </w:r>
      <w:r>
        <w:rPr>
          <w:rFonts w:hint="eastAsia" w:ascii="仿宋" w:hAnsi="仿宋" w:eastAsia="仿宋" w:cs="仿宋"/>
          <w:color w:val="auto"/>
          <w:sz w:val="32"/>
          <w:szCs w:val="32"/>
        </w:rPr>
        <w:t>项的要求附相关证明材料；</w:t>
      </w:r>
    </w:p>
    <w:p w14:paraId="32ED38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如没有发生诉讼和仲裁的情况，需提供相关承诺，格式自拟。（</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不得虚假承诺，否则后果自负）</w:t>
      </w:r>
    </w:p>
    <w:p w14:paraId="714653E0">
      <w:pPr>
        <w:rPr>
          <w:rFonts w:hint="eastAsia" w:ascii="Times New Roman" w:hAnsi="Times New Roman"/>
          <w:color w:val="auto"/>
        </w:rPr>
      </w:pPr>
    </w:p>
    <w:p w14:paraId="77CFE807">
      <w:pPr>
        <w:pStyle w:val="3"/>
        <w:spacing w:line="400" w:lineRule="exact"/>
        <w:jc w:val="both"/>
        <w:rPr>
          <w:rFonts w:hint="eastAsia" w:ascii="仿宋" w:hAnsi="仿宋" w:eastAsia="仿宋" w:cs="仿宋"/>
          <w:color w:val="auto"/>
          <w:sz w:val="32"/>
          <w:szCs w:val="32"/>
          <w:lang w:val="en-US" w:eastAsia="zh-CN"/>
        </w:rPr>
      </w:pPr>
      <w:bookmarkStart w:id="208" w:name="_Toc22199"/>
      <w:bookmarkStart w:id="209" w:name="_Toc504488783"/>
    </w:p>
    <w:p w14:paraId="739BEF52">
      <w:pPr>
        <w:topLinePunct/>
        <w:spacing w:line="440" w:lineRule="exact"/>
        <w:ind w:firstLine="643" w:firstLineChars="200"/>
        <w:jc w:val="center"/>
        <w:rPr>
          <w:rFonts w:hint="eastAsia" w:ascii="Times New Roman" w:hAnsi="Times New Roman" w:eastAsia="黑体" w:cs="Times New Roman"/>
          <w:b/>
          <w:color w:val="auto"/>
          <w:kern w:val="2"/>
          <w:sz w:val="32"/>
          <w:szCs w:val="20"/>
          <w:lang w:val="en-US" w:eastAsia="zh-CN" w:bidi="ar-SA"/>
        </w:rPr>
      </w:pPr>
    </w:p>
    <w:bookmarkEnd w:id="208"/>
    <w:bookmarkEnd w:id="209"/>
    <w:p w14:paraId="4BD5665A">
      <w:pPr>
        <w:topLinePunct/>
        <w:spacing w:line="440" w:lineRule="exact"/>
        <w:jc w:val="both"/>
        <w:rPr>
          <w:rFonts w:hint="eastAsia" w:ascii="Times New Roman" w:hAnsi="Times New Roman" w:eastAsia="黑体" w:cs="Times New Roman"/>
          <w:b/>
          <w:color w:val="auto"/>
          <w:kern w:val="2"/>
          <w:sz w:val="32"/>
          <w:szCs w:val="20"/>
          <w:lang w:val="en-US" w:eastAsia="zh-CN" w:bidi="ar-SA"/>
        </w:rPr>
      </w:pPr>
    </w:p>
    <w:p w14:paraId="07FF820A">
      <w:pPr>
        <w:rPr>
          <w:rFonts w:hint="eastAsia" w:ascii="Times New Roman" w:hAnsi="Times New Roman" w:eastAsia="黑体" w:cs="Times New Roman"/>
          <w:b/>
          <w:color w:val="auto"/>
          <w:kern w:val="2"/>
          <w:sz w:val="32"/>
          <w:szCs w:val="20"/>
          <w:lang w:val="en-US" w:eastAsia="zh-CN" w:bidi="ar-SA"/>
        </w:rPr>
      </w:pPr>
    </w:p>
    <w:p w14:paraId="3633010C">
      <w:pPr>
        <w:jc w:val="center"/>
        <w:rPr>
          <w:color w:val="auto"/>
        </w:rPr>
      </w:pPr>
    </w:p>
    <w:p w14:paraId="1294FB62">
      <w:pPr>
        <w:rPr>
          <w:color w:val="auto"/>
        </w:rPr>
      </w:pPr>
    </w:p>
    <w:p w14:paraId="2147CE8C">
      <w:pPr>
        <w:pStyle w:val="9"/>
        <w:keepNext w:val="0"/>
        <w:keepLines w:val="0"/>
        <w:widowControl/>
        <w:suppressLineNumbers w:val="0"/>
        <w:spacing w:before="0" w:beforeAutospacing="0" w:after="0" w:afterAutospacing="0" w:line="405" w:lineRule="atLeast"/>
        <w:ind w:left="0" w:firstLine="0"/>
        <w:jc w:val="center"/>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5EACE7EB">
      <w:pPr>
        <w:pStyle w:val="9"/>
        <w:keepNext w:val="0"/>
        <w:keepLines w:val="0"/>
        <w:widowControl/>
        <w:suppressLineNumbers w:val="0"/>
        <w:spacing w:before="0" w:beforeAutospacing="0" w:after="0" w:afterAutospacing="0" w:line="405" w:lineRule="atLeast"/>
        <w:ind w:left="0" w:firstLine="0"/>
        <w:jc w:val="center"/>
        <w:rPr>
          <w:rFonts w:hint="eastAsia" w:ascii="宋体" w:hAnsi="宋体" w:eastAsia="宋体" w:cs="宋体"/>
          <w:i w:val="0"/>
          <w:iCs w:val="0"/>
          <w:caps w:val="0"/>
          <w:color w:val="000000"/>
          <w:spacing w:val="0"/>
          <w:sz w:val="32"/>
          <w:szCs w:val="32"/>
        </w:rPr>
      </w:pPr>
      <w:r>
        <w:rPr>
          <w:rFonts w:hint="eastAsia" w:ascii="仿宋" w:hAnsi="仿宋" w:eastAsia="仿宋" w:cs="仿宋"/>
          <w:i w:val="0"/>
          <w:iCs w:val="0"/>
          <w:caps w:val="0"/>
          <w:color w:val="000000"/>
          <w:spacing w:val="0"/>
          <w:sz w:val="28"/>
          <w:szCs w:val="28"/>
        </w:rPr>
        <w:t>                                         </w:t>
      </w:r>
      <w:r>
        <w:rPr>
          <w:rFonts w:hint="eastAsia" w:ascii="宋体" w:hAnsi="宋体" w:eastAsia="宋体" w:cs="宋体"/>
          <w:i w:val="0"/>
          <w:iCs w:val="0"/>
          <w:caps w:val="0"/>
          <w:color w:val="000000"/>
          <w:spacing w:val="0"/>
          <w:sz w:val="32"/>
          <w:szCs w:val="32"/>
        </w:rPr>
        <w:t> </w:t>
      </w:r>
    </w:p>
    <w:p w14:paraId="30EAACD1">
      <w:pPr>
        <w:pStyle w:val="9"/>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Fonts w:hint="eastAsia" w:ascii="宋体" w:hAnsi="宋体" w:eastAsia="宋体" w:cs="宋体"/>
          <w:i w:val="0"/>
          <w:iCs w:val="0"/>
          <w:caps w:val="0"/>
          <w:color w:val="000000"/>
          <w:spacing w:val="0"/>
          <w:sz w:val="32"/>
          <w:szCs w:val="32"/>
          <w:lang w:val="en-US" w:eastAsia="zh-CN"/>
        </w:rPr>
        <w:t xml:space="preserve">                  </w:t>
      </w:r>
    </w:p>
    <w:p w14:paraId="55A58DCE">
      <w:pPr>
        <w:pStyle w:val="9"/>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           </w:t>
      </w:r>
      <w:r>
        <w:rPr>
          <w:rFonts w:hint="eastAsia" w:ascii="仿宋" w:hAnsi="仿宋" w:eastAsia="仿宋" w:cs="仿宋"/>
          <w:i w:val="0"/>
          <w:iCs w:val="0"/>
          <w:caps w:val="0"/>
          <w:color w:val="000000"/>
          <w:spacing w:val="0"/>
          <w:sz w:val="32"/>
          <w:szCs w:val="32"/>
          <w:lang w:val="en-US" w:eastAsia="zh-CN"/>
        </w:rPr>
        <w:t xml:space="preserve">       </w:t>
      </w:r>
    </w:p>
    <w:p w14:paraId="6A74097B"/>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3657559-CD20-46FB-93C0-9A24B18D547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embedRegular r:id="rId2" w:fontKey="{6B418189-37E8-452E-BCA4-C3C56D92CC2C}"/>
  </w:font>
  <w:font w:name="仿宋">
    <w:panose1 w:val="02010609060101010101"/>
    <w:charset w:val="86"/>
    <w:family w:val="auto"/>
    <w:pitch w:val="default"/>
    <w:sig w:usb0="800002BF" w:usb1="38CF7CFA" w:usb2="00000016" w:usb3="00000000" w:csb0="00040001" w:csb1="00000000"/>
    <w:embedRegular r:id="rId3" w:fontKey="{9A287374-5611-4970-94C9-CFEFFC4B656A}"/>
  </w:font>
  <w:font w:name="微软雅黑">
    <w:panose1 w:val="020B0503020204020204"/>
    <w:charset w:val="86"/>
    <w:family w:val="auto"/>
    <w:pitch w:val="default"/>
    <w:sig w:usb0="80000287" w:usb1="2ACF3C50" w:usb2="00000016" w:usb3="00000000" w:csb0="0004001F" w:csb1="00000000"/>
    <w:embedRegular r:id="rId4" w:fontKey="{D4800195-A8BF-427F-904A-0ACCBEB52C1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5CA1F">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782D49">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9782D49">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A14B2">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0F72CA9"/>
    <w:rsid w:val="023E2922"/>
    <w:rsid w:val="026E6F9B"/>
    <w:rsid w:val="0453071C"/>
    <w:rsid w:val="05BE40FB"/>
    <w:rsid w:val="08C03178"/>
    <w:rsid w:val="0B1E43C0"/>
    <w:rsid w:val="0F295B98"/>
    <w:rsid w:val="102F1EF5"/>
    <w:rsid w:val="10785328"/>
    <w:rsid w:val="10D43734"/>
    <w:rsid w:val="15350822"/>
    <w:rsid w:val="19BF0744"/>
    <w:rsid w:val="19BF485E"/>
    <w:rsid w:val="1C25356A"/>
    <w:rsid w:val="1DB27CC5"/>
    <w:rsid w:val="1E34479D"/>
    <w:rsid w:val="211454BC"/>
    <w:rsid w:val="21834158"/>
    <w:rsid w:val="241430A6"/>
    <w:rsid w:val="297D7484"/>
    <w:rsid w:val="31832E12"/>
    <w:rsid w:val="333C7F24"/>
    <w:rsid w:val="333D3C9C"/>
    <w:rsid w:val="339B5162"/>
    <w:rsid w:val="3A561988"/>
    <w:rsid w:val="3BE13D5E"/>
    <w:rsid w:val="3CB63F34"/>
    <w:rsid w:val="3E8053A1"/>
    <w:rsid w:val="433C5D1E"/>
    <w:rsid w:val="438C17CA"/>
    <w:rsid w:val="460F14C8"/>
    <w:rsid w:val="4B896DF6"/>
    <w:rsid w:val="4C221D14"/>
    <w:rsid w:val="4CB27A82"/>
    <w:rsid w:val="4D66647C"/>
    <w:rsid w:val="509B2FD7"/>
    <w:rsid w:val="524F1A19"/>
    <w:rsid w:val="56F815DC"/>
    <w:rsid w:val="57711FE2"/>
    <w:rsid w:val="5B97061C"/>
    <w:rsid w:val="5C2B04AE"/>
    <w:rsid w:val="5E325758"/>
    <w:rsid w:val="5F28567D"/>
    <w:rsid w:val="5F8C5DB5"/>
    <w:rsid w:val="61137C66"/>
    <w:rsid w:val="639D41AF"/>
    <w:rsid w:val="63BD4A30"/>
    <w:rsid w:val="65850A73"/>
    <w:rsid w:val="66452F0C"/>
    <w:rsid w:val="67806D62"/>
    <w:rsid w:val="69E314DA"/>
    <w:rsid w:val="69F446AA"/>
    <w:rsid w:val="6DB30807"/>
    <w:rsid w:val="76987E92"/>
    <w:rsid w:val="7B085B7C"/>
    <w:rsid w:val="7B896467"/>
    <w:rsid w:val="7FBB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Indent"/>
    <w:basedOn w:val="1"/>
    <w:qFormat/>
    <w:uiPriority w:val="0"/>
    <w:pPr>
      <w:spacing w:after="120"/>
      <w:ind w:left="420" w:left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5">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6">
    <w:name w:val="font71"/>
    <w:basedOn w:val="11"/>
    <w:qFormat/>
    <w:uiPriority w:val="0"/>
    <w:rPr>
      <w:rFonts w:hint="eastAsia" w:ascii="宋体" w:hAnsi="宋体" w:eastAsia="宋体" w:cs="宋体"/>
      <w:b/>
      <w:bCs/>
      <w:color w:val="000000"/>
      <w:sz w:val="24"/>
      <w:szCs w:val="24"/>
      <w:u w:val="none"/>
    </w:rPr>
  </w:style>
  <w:style w:type="character" w:customStyle="1" w:styleId="17">
    <w:name w:val="font81"/>
    <w:basedOn w:val="11"/>
    <w:qFormat/>
    <w:uiPriority w:val="0"/>
    <w:rPr>
      <w:rFonts w:hint="eastAsia" w:ascii="宋体" w:hAnsi="宋体" w:eastAsia="宋体" w:cs="宋体"/>
      <w:color w:val="000000"/>
      <w:sz w:val="24"/>
      <w:szCs w:val="24"/>
      <w:u w:val="none"/>
    </w:rPr>
  </w:style>
  <w:style w:type="character" w:customStyle="1" w:styleId="18">
    <w:name w:val="font91"/>
    <w:basedOn w:val="11"/>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7558</Words>
  <Characters>7818</Characters>
  <Lines>0</Lines>
  <Paragraphs>0</Paragraphs>
  <TotalTime>313</TotalTime>
  <ScaleCrop>false</ScaleCrop>
  <LinksUpToDate>false</LinksUpToDate>
  <CharactersWithSpaces>8310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李晶</cp:lastModifiedBy>
  <cp:lastPrinted>2025-08-25T07:20:00Z</cp:lastPrinted>
  <dcterms:modified xsi:type="dcterms:W3CDTF">2025-08-26T01:23:07Z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99C532C8C18C4FCA96263150A373C5EC_13</vt:lpwstr>
  </property>
  <property fmtid="{D5CDD505-2E9C-101B-9397-08002B2CF9AE}" pid="4" name="KSOTemplateDocerSaveRecord">
    <vt:lpwstr>eyJoZGlkIjoiM2ExNjY5MWQ0OWUzYjcxZjUxYWY0YjAzMjk0YjQ0NDAiLCJ1c2VySWQiOiI2Mjg3MjA1MDUifQ==</vt:lpwstr>
  </property>
</Properties>
</file>