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C881E1">
      <w:pPr>
        <w:spacing w:line="400" w:lineRule="exact"/>
        <w:rPr>
          <w:rFonts w:ascii="Times New Roman" w:hAnsi="Times New Roman" w:eastAsia="黑体"/>
        </w:rPr>
      </w:pPr>
      <w:r>
        <w:rPr>
          <w:rFonts w:hint="eastAsia" w:ascii="Times New Roman" w:hAnsi="Times New Roman" w:eastAsia="黑体"/>
          <w:sz w:val="28"/>
          <w:szCs w:val="28"/>
        </w:rPr>
        <w:t>项目编号：XB2025081</w:t>
      </w:r>
      <w:r>
        <w:rPr>
          <w:rFonts w:hint="eastAsia" w:ascii="Times New Roman" w:hAnsi="Times New Roman" w:eastAsia="黑体"/>
          <w:sz w:val="28"/>
          <w:szCs w:val="28"/>
          <w:lang w:val="en-US" w:eastAsia="zh-CN"/>
        </w:rPr>
        <w:t>8</w:t>
      </w:r>
      <w:r>
        <w:rPr>
          <w:rFonts w:hint="eastAsia" w:ascii="Times New Roman" w:hAnsi="Times New Roman" w:eastAsia="黑体"/>
          <w:sz w:val="28"/>
          <w:szCs w:val="28"/>
        </w:rPr>
        <w:t>-01</w:t>
      </w:r>
    </w:p>
    <w:p w14:paraId="41DEA499">
      <w:pPr>
        <w:spacing w:line="400" w:lineRule="exact"/>
        <w:rPr>
          <w:rFonts w:ascii="Times New Roman" w:hAnsi="Times New Roman"/>
        </w:rPr>
      </w:pPr>
    </w:p>
    <w:p w14:paraId="33B97A2A">
      <w:pPr>
        <w:spacing w:line="400" w:lineRule="exact"/>
        <w:rPr>
          <w:rFonts w:ascii="Times New Roman" w:hAnsi="Times New Roman"/>
        </w:rPr>
      </w:pPr>
    </w:p>
    <w:p w14:paraId="2675DF1E"/>
    <w:p w14:paraId="338CAE2E">
      <w:pPr>
        <w:spacing w:line="400" w:lineRule="exact"/>
        <w:rPr>
          <w:rFonts w:ascii="Times New Roman" w:hAnsi="Times New Roman"/>
        </w:rPr>
      </w:pPr>
    </w:p>
    <w:p w14:paraId="6BCE03A0">
      <w:pPr>
        <w:spacing w:line="400" w:lineRule="exact"/>
        <w:rPr>
          <w:rFonts w:ascii="Times New Roman" w:hAnsi="Times New Roman"/>
        </w:rPr>
      </w:pPr>
    </w:p>
    <w:p w14:paraId="51A057DA">
      <w:pPr>
        <w:spacing w:line="360" w:lineRule="auto"/>
        <w:jc w:val="center"/>
        <w:rPr>
          <w:rFonts w:ascii="Times New Roman" w:hAnsi="Times New Roman" w:eastAsia="黑体"/>
          <w:sz w:val="44"/>
          <w:szCs w:val="44"/>
        </w:rPr>
      </w:pPr>
      <w:r>
        <w:rPr>
          <w:rFonts w:hint="eastAsia" w:ascii="Times New Roman" w:hAnsi="Times New Roman" w:eastAsia="黑体"/>
          <w:sz w:val="44"/>
          <w:szCs w:val="44"/>
        </w:rPr>
        <w:t>陕西锌业有限公司</w:t>
      </w:r>
    </w:p>
    <w:p w14:paraId="43EDCF82">
      <w:pPr>
        <w:spacing w:line="360" w:lineRule="auto"/>
        <w:jc w:val="center"/>
        <w:rPr>
          <w:rFonts w:ascii="Times New Roman" w:hAnsi="Times New Roman" w:eastAsia="黑体"/>
          <w:sz w:val="44"/>
          <w:szCs w:val="44"/>
          <w:highlight w:val="yellow"/>
        </w:rPr>
      </w:pPr>
      <w:r>
        <w:rPr>
          <w:rFonts w:hint="eastAsia" w:ascii="Times New Roman" w:hAnsi="Times New Roman" w:eastAsia="黑体"/>
          <w:sz w:val="44"/>
          <w:szCs w:val="44"/>
        </w:rPr>
        <w:t>小硫酸4b换热器制作及安装采购项目</w:t>
      </w:r>
    </w:p>
    <w:p w14:paraId="7117E4F1">
      <w:pPr>
        <w:rPr>
          <w:rFonts w:ascii="Times New Roman" w:hAnsi="Times New Roman"/>
          <w:sz w:val="28"/>
        </w:rPr>
      </w:pPr>
    </w:p>
    <w:p w14:paraId="7C187FEF">
      <w:pPr>
        <w:jc w:val="center"/>
        <w:rPr>
          <w:rFonts w:ascii="Times New Roman" w:hAnsi="Times New Roman" w:eastAsia="黑体"/>
          <w:sz w:val="44"/>
        </w:rPr>
      </w:pPr>
      <w:r>
        <w:rPr>
          <w:rFonts w:hint="eastAsia" w:ascii="Times New Roman" w:hAnsi="Times New Roman" w:eastAsia="黑体"/>
          <w:sz w:val="44"/>
          <w:lang w:val="en-US" w:eastAsia="zh-CN"/>
        </w:rPr>
        <w:t>二次</w:t>
      </w:r>
      <w:r>
        <w:rPr>
          <w:rFonts w:hint="eastAsia" w:ascii="Times New Roman" w:hAnsi="Times New Roman" w:eastAsia="黑体"/>
          <w:sz w:val="44"/>
        </w:rPr>
        <w:t>询比采购文件</w:t>
      </w:r>
    </w:p>
    <w:p w14:paraId="5E7BF4EE">
      <w:pPr>
        <w:spacing w:line="400" w:lineRule="exact"/>
        <w:rPr>
          <w:rFonts w:ascii="Times New Roman" w:hAnsi="Times New Roman"/>
        </w:rPr>
      </w:pPr>
    </w:p>
    <w:p w14:paraId="56BAF6A0">
      <w:pPr>
        <w:spacing w:line="400" w:lineRule="exact"/>
        <w:rPr>
          <w:rFonts w:ascii="Times New Roman" w:hAnsi="Times New Roman"/>
        </w:rPr>
      </w:pPr>
    </w:p>
    <w:p w14:paraId="63E1BCA9">
      <w:pPr>
        <w:spacing w:line="400" w:lineRule="exact"/>
        <w:rPr>
          <w:rFonts w:ascii="Times New Roman" w:hAnsi="Times New Roman"/>
        </w:rPr>
      </w:pPr>
    </w:p>
    <w:p w14:paraId="09B8300C">
      <w:pPr>
        <w:spacing w:line="400" w:lineRule="exact"/>
        <w:rPr>
          <w:rFonts w:ascii="Times New Roman" w:hAnsi="Times New Roman"/>
        </w:rPr>
      </w:pPr>
    </w:p>
    <w:p w14:paraId="603E8CBF">
      <w:pPr>
        <w:spacing w:line="400" w:lineRule="exact"/>
        <w:rPr>
          <w:rFonts w:ascii="Times New Roman" w:hAnsi="Times New Roman"/>
        </w:rPr>
      </w:pPr>
    </w:p>
    <w:p w14:paraId="6331DA8F">
      <w:pPr>
        <w:spacing w:line="400" w:lineRule="exact"/>
        <w:rPr>
          <w:rFonts w:ascii="Times New Roman" w:hAnsi="Times New Roman"/>
        </w:rPr>
      </w:pPr>
    </w:p>
    <w:p w14:paraId="0C5EE92A">
      <w:pPr>
        <w:spacing w:line="400" w:lineRule="exact"/>
        <w:rPr>
          <w:rFonts w:ascii="Times New Roman" w:hAnsi="Times New Roman"/>
        </w:rPr>
      </w:pPr>
    </w:p>
    <w:p w14:paraId="70332C36">
      <w:pPr>
        <w:spacing w:line="400" w:lineRule="exact"/>
        <w:rPr>
          <w:rFonts w:ascii="Times New Roman" w:hAnsi="Times New Roman"/>
        </w:rPr>
      </w:pPr>
    </w:p>
    <w:p w14:paraId="459319BC">
      <w:pPr>
        <w:pStyle w:val="5"/>
        <w:spacing w:before="24" w:after="24"/>
        <w:ind w:firstLine="480"/>
      </w:pPr>
    </w:p>
    <w:p w14:paraId="5986417F">
      <w:pPr>
        <w:pStyle w:val="5"/>
        <w:spacing w:before="24" w:after="24"/>
        <w:ind w:firstLine="480"/>
      </w:pPr>
    </w:p>
    <w:p w14:paraId="55DCF675">
      <w:pPr>
        <w:pStyle w:val="5"/>
        <w:spacing w:before="24" w:after="24"/>
        <w:ind w:firstLine="0" w:firstLineChars="0"/>
      </w:pPr>
    </w:p>
    <w:p w14:paraId="6FA05438">
      <w:pPr>
        <w:pStyle w:val="5"/>
        <w:spacing w:before="24" w:after="24"/>
        <w:ind w:firstLine="0" w:firstLineChars="0"/>
      </w:pPr>
    </w:p>
    <w:p w14:paraId="18B75C99">
      <w:pPr>
        <w:spacing w:line="360" w:lineRule="auto"/>
        <w:ind w:firstLine="1800" w:firstLineChars="500"/>
        <w:rPr>
          <w:rFonts w:ascii="Times New Roman" w:hAnsi="Times New Roman" w:eastAsia="黑体"/>
          <w:sz w:val="36"/>
          <w:szCs w:val="36"/>
        </w:rPr>
      </w:pPr>
      <w:r>
        <w:rPr>
          <w:rFonts w:hint="eastAsia" w:ascii="Times New Roman" w:hAnsi="Times New Roman" w:eastAsia="黑体"/>
          <w:sz w:val="36"/>
          <w:szCs w:val="36"/>
        </w:rPr>
        <w:t>采购人：陕西锌业有限公司</w:t>
      </w:r>
    </w:p>
    <w:p w14:paraId="3736584A">
      <w:pPr>
        <w:spacing w:line="360" w:lineRule="auto"/>
        <w:ind w:firstLine="1800" w:firstLineChars="500"/>
        <w:rPr>
          <w:rFonts w:ascii="Times New Roman" w:hAnsi="Times New Roman" w:eastAsia="黑体"/>
          <w:sz w:val="36"/>
          <w:szCs w:val="36"/>
        </w:rPr>
      </w:pPr>
      <w:r>
        <w:rPr>
          <w:rFonts w:hint="eastAsia" w:ascii="Times New Roman" w:hAnsi="Times New Roman" w:eastAsia="黑体"/>
          <w:sz w:val="36"/>
          <w:szCs w:val="36"/>
        </w:rPr>
        <w:t>负责人：    徐   靖</w:t>
      </w:r>
    </w:p>
    <w:p w14:paraId="26E85203">
      <w:pPr>
        <w:spacing w:line="360" w:lineRule="auto"/>
        <w:ind w:firstLine="5760" w:firstLineChars="1800"/>
        <w:rPr>
          <w:rFonts w:ascii="Times New Roman" w:hAnsi="Times New Roman" w:eastAsia="黑体"/>
          <w:sz w:val="32"/>
          <w:szCs w:val="32"/>
        </w:rPr>
      </w:pPr>
    </w:p>
    <w:p w14:paraId="26CEE8B6">
      <w:pPr>
        <w:spacing w:line="360" w:lineRule="auto"/>
        <w:ind w:firstLine="5760" w:firstLineChars="1800"/>
        <w:rPr>
          <w:rFonts w:ascii="Times New Roman" w:hAnsi="Times New Roman" w:eastAsia="黑体"/>
          <w:sz w:val="32"/>
          <w:szCs w:val="32"/>
        </w:rPr>
      </w:pPr>
    </w:p>
    <w:p w14:paraId="360B4CF5">
      <w:pPr>
        <w:spacing w:line="360" w:lineRule="auto"/>
        <w:ind w:firstLine="2880" w:firstLineChars="900"/>
        <w:rPr>
          <w:rFonts w:ascii="Times New Roman" w:hAnsi="Times New Roman" w:eastAsia="宋体"/>
          <w:sz w:val="32"/>
          <w:szCs w:val="32"/>
        </w:rPr>
        <w:sectPr>
          <w:headerReference r:id="rId3" w:type="default"/>
          <w:footerReference r:id="rId4" w:type="default"/>
          <w:footerReference r:id="rId5" w:type="even"/>
          <w:pgSz w:w="11905" w:h="16838"/>
          <w:pgMar w:top="1134" w:right="1134" w:bottom="1134" w:left="1417" w:header="720" w:footer="720" w:gutter="0"/>
          <w:cols w:space="720" w:num="1"/>
          <w:docGrid w:linePitch="285" w:charSpace="0"/>
        </w:sectPr>
      </w:pPr>
      <w:r>
        <w:rPr>
          <w:rFonts w:hint="eastAsia" w:ascii="Times New Roman" w:hAnsi="Times New Roman" w:eastAsia="黑体"/>
          <w:sz w:val="32"/>
          <w:szCs w:val="32"/>
        </w:rPr>
        <w:t>二〇二五年八月十</w:t>
      </w:r>
      <w:r>
        <w:rPr>
          <w:rFonts w:hint="eastAsia" w:ascii="Times New Roman" w:hAnsi="Times New Roman" w:eastAsia="黑体"/>
          <w:sz w:val="32"/>
          <w:szCs w:val="32"/>
          <w:lang w:val="en-US" w:eastAsia="zh-CN"/>
        </w:rPr>
        <w:t>八</w:t>
      </w:r>
      <w:r>
        <w:rPr>
          <w:rFonts w:hint="eastAsia" w:ascii="Times New Roman" w:hAnsi="Times New Roman" w:eastAsia="黑体"/>
          <w:sz w:val="32"/>
          <w:szCs w:val="32"/>
        </w:rPr>
        <w:t>日</w:t>
      </w:r>
    </w:p>
    <w:p w14:paraId="6A7BE39A">
      <w:pPr>
        <w:pStyle w:val="9"/>
        <w:widowControl/>
        <w:spacing w:beforeAutospacing="0" w:afterAutospacing="0" w:line="405" w:lineRule="atLeast"/>
        <w:jc w:val="center"/>
        <w:rPr>
          <w:rFonts w:ascii="黑体" w:hAnsi="黑体" w:eastAsia="黑体" w:cs="黑体"/>
          <w:b/>
          <w:bCs/>
          <w:sz w:val="36"/>
          <w:szCs w:val="36"/>
        </w:rPr>
      </w:pPr>
    </w:p>
    <w:p w14:paraId="6F35B9A2">
      <w:pPr>
        <w:pStyle w:val="9"/>
        <w:widowControl/>
        <w:spacing w:beforeAutospacing="0" w:afterAutospacing="0" w:line="405" w:lineRule="atLeast"/>
        <w:jc w:val="center"/>
        <w:rPr>
          <w:rFonts w:ascii="黑体" w:hAnsi="黑体" w:eastAsia="黑体" w:cs="黑体"/>
          <w:b/>
          <w:bCs/>
          <w:sz w:val="36"/>
          <w:szCs w:val="36"/>
        </w:rPr>
      </w:pPr>
    </w:p>
    <w:p w14:paraId="11E64BDA">
      <w:pPr>
        <w:pStyle w:val="9"/>
        <w:widowControl/>
        <w:spacing w:beforeAutospacing="0" w:afterAutospacing="0" w:line="405" w:lineRule="atLeast"/>
        <w:jc w:val="center"/>
        <w:rPr>
          <w:rFonts w:ascii="黑体" w:hAnsi="黑体" w:eastAsia="黑体" w:cs="黑体"/>
          <w:b/>
          <w:bCs/>
          <w:sz w:val="36"/>
          <w:szCs w:val="36"/>
        </w:rPr>
      </w:pPr>
    </w:p>
    <w:p w14:paraId="5C9E0DF2">
      <w:pPr>
        <w:pStyle w:val="9"/>
        <w:widowControl/>
        <w:spacing w:beforeAutospacing="0" w:afterAutospacing="0" w:line="405" w:lineRule="atLeast"/>
        <w:jc w:val="center"/>
        <w:rPr>
          <w:rFonts w:ascii="黑体" w:hAnsi="黑体" w:eastAsia="黑体" w:cs="黑体"/>
          <w:b/>
          <w:bCs/>
          <w:sz w:val="36"/>
          <w:szCs w:val="36"/>
        </w:rPr>
      </w:pPr>
    </w:p>
    <w:p w14:paraId="653A0DD3">
      <w:pPr>
        <w:pStyle w:val="9"/>
        <w:widowControl/>
        <w:spacing w:beforeAutospacing="0" w:afterAutospacing="0" w:line="405" w:lineRule="atLeast"/>
        <w:jc w:val="center"/>
        <w:rPr>
          <w:rFonts w:ascii="黑体" w:hAnsi="黑体" w:eastAsia="黑体" w:cs="黑体"/>
          <w:b/>
          <w:bCs/>
          <w:sz w:val="36"/>
          <w:szCs w:val="36"/>
        </w:rPr>
      </w:pPr>
    </w:p>
    <w:p w14:paraId="2698A8F6">
      <w:pPr>
        <w:pStyle w:val="9"/>
        <w:widowControl/>
        <w:spacing w:beforeAutospacing="0" w:afterAutospacing="0" w:line="405" w:lineRule="atLeast"/>
        <w:jc w:val="center"/>
        <w:rPr>
          <w:rFonts w:ascii="黑体" w:hAnsi="黑体" w:eastAsia="黑体" w:cs="黑体"/>
          <w:b/>
          <w:bCs/>
          <w:sz w:val="36"/>
          <w:szCs w:val="36"/>
        </w:rPr>
      </w:pPr>
    </w:p>
    <w:p w14:paraId="34CF6A21">
      <w:pPr>
        <w:pStyle w:val="9"/>
        <w:widowControl/>
        <w:spacing w:beforeAutospacing="0" w:afterAutospacing="0" w:line="405" w:lineRule="atLeast"/>
        <w:jc w:val="center"/>
        <w:rPr>
          <w:rFonts w:ascii="黑体" w:hAnsi="黑体" w:eastAsia="黑体" w:cs="黑体"/>
          <w:b/>
          <w:bCs/>
          <w:sz w:val="36"/>
          <w:szCs w:val="36"/>
        </w:rPr>
      </w:pPr>
    </w:p>
    <w:p w14:paraId="63B612D7">
      <w:pPr>
        <w:pStyle w:val="9"/>
        <w:widowControl/>
        <w:spacing w:beforeAutospacing="0" w:afterAutospacing="0" w:line="405" w:lineRule="atLeast"/>
        <w:jc w:val="center"/>
        <w:rPr>
          <w:rFonts w:ascii="黑体" w:hAnsi="黑体" w:eastAsia="黑体" w:cs="黑体"/>
          <w:b/>
          <w:bCs/>
          <w:sz w:val="36"/>
          <w:szCs w:val="36"/>
        </w:rPr>
      </w:pPr>
    </w:p>
    <w:p w14:paraId="71A1CBA0">
      <w:pPr>
        <w:pStyle w:val="9"/>
        <w:widowControl/>
        <w:spacing w:beforeAutospacing="0" w:afterAutospacing="0" w:line="405" w:lineRule="atLeast"/>
        <w:jc w:val="center"/>
        <w:rPr>
          <w:rFonts w:ascii="黑体" w:hAnsi="黑体" w:eastAsia="黑体" w:cs="黑体"/>
          <w:b/>
          <w:bCs/>
          <w:sz w:val="36"/>
          <w:szCs w:val="36"/>
        </w:rPr>
      </w:pPr>
    </w:p>
    <w:p w14:paraId="2E24DE8E">
      <w:pPr>
        <w:pStyle w:val="9"/>
        <w:widowControl/>
        <w:spacing w:beforeAutospacing="0" w:afterAutospacing="0" w:line="405" w:lineRule="atLeast"/>
        <w:jc w:val="center"/>
        <w:rPr>
          <w:rFonts w:ascii="黑体" w:hAnsi="黑体" w:eastAsia="黑体" w:cs="黑体"/>
          <w:b/>
          <w:bCs/>
          <w:sz w:val="36"/>
          <w:szCs w:val="36"/>
        </w:rPr>
      </w:pPr>
    </w:p>
    <w:p w14:paraId="35023432">
      <w:pPr>
        <w:pStyle w:val="9"/>
        <w:widowControl/>
        <w:spacing w:beforeAutospacing="0" w:afterAutospacing="0" w:line="405" w:lineRule="atLeast"/>
        <w:jc w:val="center"/>
        <w:rPr>
          <w:rFonts w:ascii="黑体" w:hAnsi="黑体" w:eastAsia="黑体" w:cs="黑体"/>
          <w:b/>
          <w:bCs/>
          <w:sz w:val="36"/>
          <w:szCs w:val="36"/>
        </w:rPr>
      </w:pPr>
    </w:p>
    <w:p w14:paraId="1C92F5D5">
      <w:pPr>
        <w:pStyle w:val="9"/>
        <w:widowControl/>
        <w:spacing w:beforeAutospacing="0" w:afterAutospacing="0" w:line="405" w:lineRule="atLeast"/>
        <w:jc w:val="center"/>
        <w:rPr>
          <w:rFonts w:ascii="黑体" w:hAnsi="黑体" w:eastAsia="黑体" w:cs="黑体"/>
          <w:b/>
          <w:bCs/>
          <w:sz w:val="36"/>
          <w:szCs w:val="36"/>
        </w:rPr>
      </w:pPr>
    </w:p>
    <w:p w14:paraId="5581A116">
      <w:pPr>
        <w:pStyle w:val="9"/>
        <w:widowControl/>
        <w:spacing w:beforeAutospacing="0" w:afterAutospacing="0" w:line="405" w:lineRule="atLeast"/>
        <w:jc w:val="center"/>
        <w:rPr>
          <w:rFonts w:ascii="黑体" w:hAnsi="黑体" w:eastAsia="黑体" w:cs="黑体"/>
          <w:b/>
          <w:bCs/>
          <w:sz w:val="36"/>
          <w:szCs w:val="36"/>
        </w:rPr>
      </w:pPr>
    </w:p>
    <w:p w14:paraId="14102DD2">
      <w:pPr>
        <w:pStyle w:val="9"/>
        <w:widowControl/>
        <w:spacing w:beforeAutospacing="0" w:afterAutospacing="0" w:line="405" w:lineRule="atLeast"/>
        <w:jc w:val="center"/>
        <w:rPr>
          <w:rFonts w:ascii="黑体" w:hAnsi="黑体" w:eastAsia="黑体" w:cs="黑体"/>
          <w:b/>
          <w:bCs/>
          <w:sz w:val="36"/>
          <w:szCs w:val="36"/>
        </w:rPr>
      </w:pPr>
    </w:p>
    <w:p w14:paraId="16C75B2E">
      <w:pPr>
        <w:pStyle w:val="9"/>
        <w:widowControl/>
        <w:spacing w:beforeAutospacing="0" w:afterAutospacing="0" w:line="405" w:lineRule="atLeast"/>
        <w:jc w:val="center"/>
        <w:rPr>
          <w:rFonts w:ascii="黑体" w:hAnsi="黑体" w:eastAsia="黑体" w:cs="黑体"/>
          <w:b/>
          <w:bCs/>
          <w:sz w:val="36"/>
          <w:szCs w:val="36"/>
        </w:rPr>
      </w:pPr>
    </w:p>
    <w:p w14:paraId="4B762F80">
      <w:pPr>
        <w:pStyle w:val="9"/>
        <w:widowControl/>
        <w:spacing w:beforeAutospacing="0" w:afterAutospacing="0" w:line="405" w:lineRule="atLeast"/>
        <w:jc w:val="center"/>
        <w:rPr>
          <w:rFonts w:ascii="黑体" w:hAnsi="黑体" w:eastAsia="黑体" w:cs="黑体"/>
          <w:b/>
          <w:bCs/>
          <w:sz w:val="36"/>
          <w:szCs w:val="36"/>
        </w:rPr>
      </w:pPr>
    </w:p>
    <w:p w14:paraId="6DE4560C">
      <w:pPr>
        <w:pStyle w:val="9"/>
        <w:widowControl/>
        <w:spacing w:beforeAutospacing="0" w:afterAutospacing="0" w:line="405" w:lineRule="atLeast"/>
        <w:jc w:val="center"/>
        <w:rPr>
          <w:rFonts w:ascii="黑体" w:hAnsi="黑体" w:eastAsia="黑体" w:cs="黑体"/>
          <w:b/>
          <w:bCs/>
          <w:sz w:val="36"/>
          <w:szCs w:val="36"/>
        </w:rPr>
      </w:pPr>
    </w:p>
    <w:p w14:paraId="1A471C0E">
      <w:pPr>
        <w:pStyle w:val="9"/>
        <w:widowControl/>
        <w:spacing w:beforeAutospacing="0" w:afterAutospacing="0" w:line="405" w:lineRule="atLeast"/>
        <w:jc w:val="center"/>
        <w:rPr>
          <w:rFonts w:ascii="黑体" w:hAnsi="黑体" w:eastAsia="黑体" w:cs="黑体"/>
          <w:b/>
          <w:bCs/>
          <w:sz w:val="36"/>
          <w:szCs w:val="36"/>
        </w:rPr>
      </w:pPr>
    </w:p>
    <w:p w14:paraId="502E8B85">
      <w:pPr>
        <w:pStyle w:val="9"/>
        <w:widowControl/>
        <w:spacing w:beforeAutospacing="0" w:afterAutospacing="0" w:line="405" w:lineRule="atLeast"/>
        <w:jc w:val="center"/>
        <w:rPr>
          <w:rFonts w:ascii="黑体" w:hAnsi="黑体" w:eastAsia="黑体" w:cs="黑体"/>
          <w:b/>
          <w:bCs/>
          <w:sz w:val="36"/>
          <w:szCs w:val="36"/>
        </w:rPr>
      </w:pPr>
    </w:p>
    <w:p w14:paraId="6363E811">
      <w:pPr>
        <w:pStyle w:val="9"/>
        <w:widowControl/>
        <w:spacing w:beforeAutospacing="0" w:afterAutospacing="0" w:line="405" w:lineRule="atLeast"/>
        <w:jc w:val="center"/>
        <w:rPr>
          <w:rFonts w:ascii="黑体" w:hAnsi="黑体" w:eastAsia="黑体" w:cs="黑体"/>
          <w:b/>
          <w:bCs/>
          <w:sz w:val="36"/>
          <w:szCs w:val="36"/>
        </w:rPr>
      </w:pPr>
    </w:p>
    <w:p w14:paraId="17E39B7F">
      <w:pPr>
        <w:pStyle w:val="9"/>
        <w:widowControl/>
        <w:spacing w:beforeAutospacing="0" w:afterAutospacing="0" w:line="405" w:lineRule="atLeast"/>
        <w:jc w:val="center"/>
        <w:rPr>
          <w:rFonts w:ascii="黑体" w:hAnsi="黑体" w:eastAsia="黑体" w:cs="黑体"/>
          <w:b/>
          <w:bCs/>
          <w:sz w:val="36"/>
          <w:szCs w:val="36"/>
        </w:rPr>
      </w:pPr>
    </w:p>
    <w:p w14:paraId="77073EF1">
      <w:pPr>
        <w:pStyle w:val="9"/>
        <w:widowControl/>
        <w:spacing w:beforeAutospacing="0" w:afterAutospacing="0" w:line="405" w:lineRule="atLeast"/>
        <w:jc w:val="center"/>
        <w:rPr>
          <w:rFonts w:ascii="黑体" w:hAnsi="黑体" w:eastAsia="黑体" w:cs="黑体"/>
          <w:b/>
          <w:bCs/>
          <w:sz w:val="36"/>
          <w:szCs w:val="36"/>
        </w:rPr>
      </w:pPr>
    </w:p>
    <w:p w14:paraId="60A48D5A">
      <w:pPr>
        <w:pStyle w:val="9"/>
        <w:widowControl/>
        <w:spacing w:beforeAutospacing="0" w:afterAutospacing="0" w:line="405" w:lineRule="atLeast"/>
        <w:jc w:val="center"/>
        <w:rPr>
          <w:rFonts w:hint="eastAsia" w:ascii="黑体" w:hAnsi="黑体" w:eastAsia="黑体" w:cs="黑体"/>
          <w:b/>
          <w:bCs/>
          <w:sz w:val="36"/>
          <w:szCs w:val="36"/>
        </w:rPr>
      </w:pPr>
      <w:r>
        <w:rPr>
          <w:rFonts w:hint="eastAsia" w:ascii="黑体" w:hAnsi="黑体" w:eastAsia="黑体" w:cs="黑体"/>
          <w:b/>
          <w:bCs/>
          <w:sz w:val="36"/>
          <w:szCs w:val="36"/>
        </w:rPr>
        <w:t>2025年八月小硫酸4b换热器制作及安装</w:t>
      </w:r>
    </w:p>
    <w:p w14:paraId="3FECCF47">
      <w:pPr>
        <w:pStyle w:val="9"/>
        <w:widowControl/>
        <w:spacing w:beforeAutospacing="0" w:afterAutospacing="0" w:line="405" w:lineRule="atLeast"/>
        <w:jc w:val="center"/>
        <w:rPr>
          <w:rFonts w:ascii="黑体" w:hAnsi="黑体" w:eastAsia="黑体" w:cs="黑体"/>
          <w:b/>
          <w:bCs/>
          <w:sz w:val="36"/>
          <w:szCs w:val="36"/>
        </w:rPr>
      </w:pPr>
      <w:r>
        <w:rPr>
          <w:rFonts w:hint="eastAsia" w:ascii="黑体" w:hAnsi="黑体" w:eastAsia="黑体" w:cs="黑体"/>
          <w:b/>
          <w:bCs/>
          <w:sz w:val="36"/>
          <w:szCs w:val="36"/>
          <w:lang w:val="en-US" w:eastAsia="zh-CN"/>
        </w:rPr>
        <w:t>二次</w:t>
      </w:r>
      <w:r>
        <w:rPr>
          <w:rFonts w:hint="eastAsia" w:ascii="黑体" w:hAnsi="黑体" w:eastAsia="黑体" w:cs="黑体"/>
          <w:b/>
          <w:bCs/>
          <w:sz w:val="36"/>
          <w:szCs w:val="36"/>
        </w:rPr>
        <w:t>询比采购邀请函</w:t>
      </w:r>
    </w:p>
    <w:p w14:paraId="256DEC60">
      <w:pPr>
        <w:spacing w:line="520" w:lineRule="exact"/>
        <w:jc w:val="center"/>
        <w:rPr>
          <w:rFonts w:ascii="仿宋" w:hAnsi="仿宋" w:eastAsia="仿宋" w:cs="仿宋"/>
          <w:b/>
          <w:bCs/>
          <w:sz w:val="32"/>
          <w:szCs w:val="32"/>
        </w:rPr>
      </w:pPr>
      <w:r>
        <w:rPr>
          <w:rFonts w:hint="eastAsia" w:ascii="仿宋" w:hAnsi="仿宋" w:eastAsia="仿宋" w:cs="仿宋"/>
          <w:b/>
          <w:bCs/>
          <w:sz w:val="32"/>
          <w:szCs w:val="32"/>
        </w:rPr>
        <w:t>（采购编号：XB2025081</w:t>
      </w:r>
      <w:r>
        <w:rPr>
          <w:rFonts w:hint="eastAsia" w:ascii="仿宋" w:hAnsi="仿宋" w:eastAsia="仿宋" w:cs="仿宋"/>
          <w:b/>
          <w:bCs/>
          <w:sz w:val="32"/>
          <w:szCs w:val="32"/>
          <w:lang w:val="en-US" w:eastAsia="zh-CN"/>
        </w:rPr>
        <w:t>8</w:t>
      </w:r>
      <w:r>
        <w:rPr>
          <w:rFonts w:hint="eastAsia" w:ascii="仿宋" w:hAnsi="仿宋" w:eastAsia="仿宋" w:cs="仿宋"/>
          <w:b/>
          <w:bCs/>
          <w:sz w:val="32"/>
          <w:szCs w:val="32"/>
        </w:rPr>
        <w:t>-01）</w:t>
      </w:r>
    </w:p>
    <w:p w14:paraId="3324EC9C">
      <w:pPr>
        <w:spacing w:line="640" w:lineRule="exact"/>
        <w:ind w:firstLine="640" w:firstLineChars="200"/>
        <w:jc w:val="left"/>
        <w:rPr>
          <w:rFonts w:ascii="仿宋" w:hAnsi="仿宋" w:eastAsia="仿宋" w:cs="仿宋"/>
          <w:color w:val="000000"/>
          <w:sz w:val="32"/>
          <w:szCs w:val="32"/>
        </w:rPr>
      </w:pPr>
      <w:r>
        <w:rPr>
          <w:rFonts w:hint="eastAsia" w:ascii="仿宋" w:hAnsi="仿宋" w:eastAsia="仿宋" w:cs="仿宋"/>
          <w:color w:val="000000"/>
          <w:sz w:val="32"/>
          <w:szCs w:val="32"/>
        </w:rPr>
        <w:t>陕西锌业有限公司因生产需要，拟采购硫酸转化4b换热器一套，按照公司有关规定，拟通过询比方式确定供应商，欢迎具备相应资质及能力的单位参与该项目询比采购，具体内容如下：</w:t>
      </w:r>
    </w:p>
    <w:p w14:paraId="3C2144CF">
      <w:pPr>
        <w:pStyle w:val="3"/>
        <w:spacing w:before="0" w:after="0" w:line="640" w:lineRule="exact"/>
        <w:ind w:firstLine="643" w:firstLineChars="200"/>
        <w:rPr>
          <w:rFonts w:ascii="仿宋" w:hAnsi="仿宋" w:eastAsia="仿宋" w:cs="仿宋"/>
          <w:bCs/>
          <w:szCs w:val="32"/>
        </w:rPr>
      </w:pPr>
      <w:bookmarkStart w:id="0" w:name="_Toc33795775"/>
      <w:bookmarkStart w:id="1" w:name="_Toc14440"/>
      <w:bookmarkStart w:id="2" w:name="_Toc20230"/>
      <w:bookmarkStart w:id="3" w:name="_Toc4593"/>
      <w:r>
        <w:rPr>
          <w:rFonts w:hint="eastAsia" w:ascii="仿宋" w:hAnsi="仿宋" w:eastAsia="仿宋" w:cs="仿宋"/>
          <w:bCs/>
          <w:szCs w:val="32"/>
        </w:rPr>
        <w:t>一、采购项目</w:t>
      </w:r>
      <w:bookmarkEnd w:id="0"/>
      <w:bookmarkEnd w:id="1"/>
      <w:bookmarkEnd w:id="2"/>
      <w:bookmarkEnd w:id="3"/>
      <w:r>
        <w:rPr>
          <w:rFonts w:hint="eastAsia" w:ascii="仿宋" w:hAnsi="仿宋" w:eastAsia="仿宋" w:cs="仿宋"/>
          <w:bCs/>
          <w:szCs w:val="32"/>
        </w:rPr>
        <w:t>基本要求</w:t>
      </w:r>
    </w:p>
    <w:p w14:paraId="2778EEF7">
      <w:pPr>
        <w:pStyle w:val="3"/>
        <w:spacing w:before="0" w:after="0" w:line="640" w:lineRule="exact"/>
        <w:ind w:firstLine="320" w:firstLineChars="100"/>
        <w:rPr>
          <w:rFonts w:ascii="仿宋" w:hAnsi="仿宋" w:eastAsia="仿宋" w:cs="仿宋"/>
          <w:b w:val="0"/>
          <w:bCs/>
          <w:szCs w:val="32"/>
        </w:rPr>
      </w:pPr>
      <w:r>
        <w:rPr>
          <w:rFonts w:hint="eastAsia" w:ascii="仿宋" w:hAnsi="仿宋" w:eastAsia="仿宋" w:cs="仿宋"/>
          <w:b w:val="0"/>
          <w:bCs/>
          <w:szCs w:val="32"/>
        </w:rPr>
        <w:t>（一）采购人：陕西锌业有限公司</w:t>
      </w:r>
    </w:p>
    <w:p w14:paraId="13FCDE0B">
      <w:pPr>
        <w:spacing w:line="640" w:lineRule="exact"/>
        <w:ind w:firstLine="320" w:firstLineChars="100"/>
        <w:rPr>
          <w:rFonts w:ascii="仿宋" w:hAnsi="仿宋" w:eastAsia="仿宋" w:cs="仿宋"/>
          <w:sz w:val="32"/>
          <w:szCs w:val="32"/>
        </w:rPr>
      </w:pPr>
      <w:r>
        <w:rPr>
          <w:rFonts w:hint="eastAsia" w:ascii="仿宋" w:hAnsi="仿宋" w:eastAsia="仿宋" w:cs="仿宋"/>
          <w:sz w:val="32"/>
          <w:szCs w:val="32"/>
        </w:rPr>
        <w:t>（二）采购项目名称：</w:t>
      </w:r>
      <w:bookmarkStart w:id="4" w:name="_Toc7037"/>
      <w:bookmarkStart w:id="5" w:name="_Toc11471"/>
      <w:bookmarkStart w:id="6" w:name="_Toc33795776"/>
      <w:bookmarkStart w:id="7" w:name="_Toc14565"/>
      <w:r>
        <w:rPr>
          <w:rFonts w:hint="eastAsia" w:ascii="仿宋" w:hAnsi="仿宋" w:eastAsia="仿宋" w:cs="仿宋"/>
          <w:sz w:val="32"/>
          <w:szCs w:val="32"/>
        </w:rPr>
        <w:t>陕西锌业有限公司</w:t>
      </w:r>
      <w:bookmarkEnd w:id="4"/>
      <w:bookmarkEnd w:id="5"/>
      <w:bookmarkEnd w:id="6"/>
      <w:bookmarkEnd w:id="7"/>
      <w:r>
        <w:rPr>
          <w:rFonts w:hint="eastAsia" w:ascii="仿宋" w:hAnsi="仿宋" w:eastAsia="仿宋" w:cs="仿宋"/>
          <w:sz w:val="32"/>
          <w:szCs w:val="32"/>
        </w:rPr>
        <w:t>硫酸4b换热器制作及安装采购项目</w:t>
      </w:r>
    </w:p>
    <w:p w14:paraId="06711FD8">
      <w:pPr>
        <w:spacing w:line="64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（三）交货时间：</w:t>
      </w:r>
      <w:r>
        <w:rPr>
          <w:rFonts w:hint="eastAsia" w:ascii="仿宋" w:hAnsi="仿宋" w:eastAsia="仿宋" w:cs="仿宋"/>
          <w:sz w:val="32"/>
          <w:szCs w:val="32"/>
          <w:highlight w:val="none"/>
        </w:rPr>
        <w:t>合同签订后60个日历天到货，安装调试10天。不能按期交货的，注明工期。</w:t>
      </w:r>
    </w:p>
    <w:p w14:paraId="210E4537">
      <w:pPr>
        <w:spacing w:line="640" w:lineRule="exact"/>
        <w:ind w:firstLine="320" w:firstLineChars="100"/>
        <w:rPr>
          <w:rFonts w:ascii="仿宋" w:hAnsi="仿宋" w:eastAsia="仿宋" w:cs="仿宋"/>
          <w:sz w:val="32"/>
          <w:szCs w:val="32"/>
        </w:rPr>
      </w:pPr>
      <w:r>
        <w:rPr>
          <w:rFonts w:hint="eastAsia" w:ascii="仿宋" w:hAnsi="仿宋" w:eastAsia="仿宋" w:cs="仿宋"/>
          <w:sz w:val="32"/>
          <w:szCs w:val="32"/>
        </w:rPr>
        <w:t>（四）交货地点：采购方指定地点。</w:t>
      </w:r>
    </w:p>
    <w:p w14:paraId="0DC081CC">
      <w:pPr>
        <w:spacing w:line="640" w:lineRule="exact"/>
        <w:ind w:firstLine="320" w:firstLineChars="100"/>
        <w:rPr>
          <w:rFonts w:hint="eastAsia" w:ascii="仿宋" w:hAnsi="仿宋" w:eastAsia="仿宋" w:cs="仿宋"/>
          <w:sz w:val="32"/>
          <w:szCs w:val="32"/>
        </w:rPr>
      </w:pPr>
      <w:r>
        <w:rPr>
          <w:rFonts w:hint="eastAsia" w:ascii="仿宋" w:hAnsi="仿宋" w:eastAsia="仿宋" w:cs="仿宋"/>
          <w:sz w:val="32"/>
          <w:szCs w:val="32"/>
        </w:rPr>
        <w:t>（五）采购货物一览表及需求描述</w:t>
      </w:r>
    </w:p>
    <w:p w14:paraId="1CC382EE">
      <w:pPr>
        <w:spacing w:line="640" w:lineRule="exact"/>
        <w:ind w:firstLine="320" w:firstLineChars="100"/>
        <w:rPr>
          <w:rFonts w:hint="eastAsia" w:ascii="仿宋" w:hAnsi="仿宋" w:eastAsia="仿宋" w:cs="仿宋"/>
          <w:sz w:val="32"/>
          <w:szCs w:val="32"/>
        </w:rPr>
      </w:pPr>
      <w:r>
        <w:rPr>
          <w:rFonts w:hint="eastAsia" w:ascii="仿宋" w:hAnsi="仿宋" w:eastAsia="仿宋" w:cs="仿宋"/>
          <w:sz w:val="32"/>
          <w:szCs w:val="32"/>
        </w:rPr>
        <w:t>A、货物一览表</w:t>
      </w:r>
    </w:p>
    <w:tbl>
      <w:tblPr>
        <w:tblStyle w:val="10"/>
        <w:tblW w:w="8234" w:type="dxa"/>
        <w:tblInd w:w="4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0"/>
        <w:gridCol w:w="2520"/>
        <w:gridCol w:w="1856"/>
        <w:gridCol w:w="2958"/>
      </w:tblGrid>
      <w:tr w14:paraId="5BBDA0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900" w:type="dxa"/>
            <w:tcBorders>
              <w:top w:val="single" w:color="auto" w:sz="4" w:space="0"/>
              <w:left w:val="single" w:color="auto" w:sz="4" w:space="0"/>
              <w:bottom w:val="single" w:color="auto" w:sz="4" w:space="0"/>
              <w:right w:val="single" w:color="auto" w:sz="4" w:space="0"/>
            </w:tcBorders>
            <w:vAlign w:val="center"/>
          </w:tcPr>
          <w:p w14:paraId="4F6EA6C3">
            <w:pPr>
              <w:spacing w:line="268" w:lineRule="auto"/>
              <w:jc w:val="center"/>
              <w:rPr>
                <w:rFonts w:hint="eastAsia" w:ascii="仿宋" w:hAnsi="仿宋" w:eastAsia="仿宋" w:cs="仿宋"/>
                <w:b/>
                <w:color w:val="000000"/>
                <w:sz w:val="28"/>
                <w:szCs w:val="28"/>
              </w:rPr>
            </w:pPr>
            <w:r>
              <w:rPr>
                <w:rFonts w:hint="eastAsia" w:ascii="仿宋" w:hAnsi="仿宋" w:eastAsia="仿宋" w:cs="仿宋"/>
                <w:b/>
                <w:color w:val="000000"/>
                <w:sz w:val="28"/>
                <w:szCs w:val="28"/>
              </w:rPr>
              <w:t>序号</w:t>
            </w:r>
          </w:p>
        </w:tc>
        <w:tc>
          <w:tcPr>
            <w:tcW w:w="2520" w:type="dxa"/>
            <w:tcBorders>
              <w:top w:val="single" w:color="auto" w:sz="4" w:space="0"/>
              <w:left w:val="single" w:color="auto" w:sz="4" w:space="0"/>
              <w:bottom w:val="single" w:color="auto" w:sz="4" w:space="0"/>
              <w:right w:val="single" w:color="auto" w:sz="4" w:space="0"/>
            </w:tcBorders>
            <w:vAlign w:val="center"/>
          </w:tcPr>
          <w:p w14:paraId="52DC3598">
            <w:pPr>
              <w:spacing w:line="268" w:lineRule="auto"/>
              <w:jc w:val="center"/>
              <w:rPr>
                <w:rFonts w:hint="eastAsia" w:ascii="仿宋" w:hAnsi="仿宋" w:eastAsia="仿宋" w:cs="仿宋"/>
                <w:b/>
                <w:color w:val="000000"/>
                <w:sz w:val="28"/>
                <w:szCs w:val="28"/>
              </w:rPr>
            </w:pPr>
            <w:r>
              <w:rPr>
                <w:rFonts w:hint="eastAsia" w:ascii="仿宋" w:hAnsi="仿宋" w:eastAsia="仿宋" w:cs="仿宋"/>
                <w:b/>
                <w:color w:val="000000"/>
                <w:sz w:val="28"/>
                <w:szCs w:val="28"/>
              </w:rPr>
              <w:t>设备名称</w:t>
            </w:r>
          </w:p>
        </w:tc>
        <w:tc>
          <w:tcPr>
            <w:tcW w:w="1856" w:type="dxa"/>
            <w:tcBorders>
              <w:top w:val="single" w:color="auto" w:sz="4" w:space="0"/>
              <w:left w:val="single" w:color="auto" w:sz="4" w:space="0"/>
              <w:bottom w:val="single" w:color="auto" w:sz="4" w:space="0"/>
              <w:right w:val="single" w:color="auto" w:sz="4" w:space="0"/>
            </w:tcBorders>
            <w:vAlign w:val="center"/>
          </w:tcPr>
          <w:p w14:paraId="6A2D07B8">
            <w:pPr>
              <w:spacing w:line="268" w:lineRule="auto"/>
              <w:jc w:val="center"/>
              <w:rPr>
                <w:rFonts w:hint="eastAsia" w:ascii="仿宋" w:hAnsi="仿宋" w:eastAsia="仿宋" w:cs="仿宋"/>
                <w:b/>
                <w:color w:val="000000"/>
                <w:sz w:val="28"/>
                <w:szCs w:val="28"/>
              </w:rPr>
            </w:pPr>
            <w:r>
              <w:rPr>
                <w:rFonts w:hint="eastAsia" w:ascii="仿宋" w:hAnsi="仿宋" w:eastAsia="仿宋" w:cs="仿宋"/>
                <w:b/>
                <w:color w:val="000000"/>
                <w:sz w:val="28"/>
                <w:szCs w:val="28"/>
              </w:rPr>
              <w:t>数量</w:t>
            </w:r>
          </w:p>
        </w:tc>
        <w:tc>
          <w:tcPr>
            <w:tcW w:w="2958" w:type="dxa"/>
            <w:tcBorders>
              <w:top w:val="single" w:color="auto" w:sz="4" w:space="0"/>
              <w:left w:val="single" w:color="auto" w:sz="4" w:space="0"/>
              <w:bottom w:val="single" w:color="auto" w:sz="4" w:space="0"/>
              <w:right w:val="single" w:color="auto" w:sz="4" w:space="0"/>
            </w:tcBorders>
            <w:vAlign w:val="center"/>
          </w:tcPr>
          <w:p w14:paraId="29D89C88">
            <w:pPr>
              <w:spacing w:line="268" w:lineRule="auto"/>
              <w:jc w:val="center"/>
              <w:rPr>
                <w:rFonts w:hint="eastAsia" w:ascii="仿宋" w:hAnsi="仿宋" w:eastAsia="仿宋" w:cs="仿宋"/>
                <w:b/>
                <w:color w:val="000000"/>
                <w:sz w:val="28"/>
                <w:szCs w:val="28"/>
              </w:rPr>
            </w:pPr>
            <w:r>
              <w:rPr>
                <w:rFonts w:hint="eastAsia" w:ascii="仿宋" w:hAnsi="仿宋" w:eastAsia="仿宋" w:cs="仿宋"/>
                <w:b/>
                <w:color w:val="000000"/>
                <w:sz w:val="28"/>
                <w:szCs w:val="28"/>
              </w:rPr>
              <w:t>交货期</w:t>
            </w:r>
          </w:p>
        </w:tc>
      </w:tr>
      <w:tr w14:paraId="4F0CDA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900" w:type="dxa"/>
            <w:tcBorders>
              <w:top w:val="single" w:color="auto" w:sz="4" w:space="0"/>
              <w:left w:val="single" w:color="auto" w:sz="4" w:space="0"/>
              <w:bottom w:val="single" w:color="auto" w:sz="4" w:space="0"/>
              <w:right w:val="single" w:color="auto" w:sz="4" w:space="0"/>
            </w:tcBorders>
            <w:vAlign w:val="center"/>
          </w:tcPr>
          <w:p w14:paraId="04E96B9C">
            <w:pPr>
              <w:spacing w:line="268" w:lineRule="auto"/>
              <w:jc w:val="center"/>
              <w:rPr>
                <w:rFonts w:hint="eastAsia" w:ascii="仿宋" w:hAnsi="仿宋" w:eastAsia="仿宋" w:cs="仿宋"/>
                <w:color w:val="000000"/>
                <w:sz w:val="28"/>
                <w:szCs w:val="28"/>
              </w:rPr>
            </w:pPr>
            <w:r>
              <w:rPr>
                <w:rFonts w:hint="eastAsia" w:ascii="仿宋" w:hAnsi="仿宋" w:eastAsia="仿宋" w:cs="仿宋"/>
                <w:color w:val="000000"/>
                <w:sz w:val="28"/>
                <w:szCs w:val="28"/>
              </w:rPr>
              <w:t>1</w:t>
            </w:r>
          </w:p>
        </w:tc>
        <w:tc>
          <w:tcPr>
            <w:tcW w:w="2520" w:type="dxa"/>
            <w:tcBorders>
              <w:top w:val="single" w:color="auto" w:sz="4" w:space="0"/>
              <w:left w:val="single" w:color="auto" w:sz="4" w:space="0"/>
              <w:bottom w:val="single" w:color="auto" w:sz="4" w:space="0"/>
              <w:right w:val="single" w:color="auto" w:sz="4" w:space="0"/>
            </w:tcBorders>
            <w:vAlign w:val="center"/>
          </w:tcPr>
          <w:p w14:paraId="46F51642">
            <w:pPr>
              <w:spacing w:line="360" w:lineRule="auto"/>
              <w:jc w:val="center"/>
              <w:rPr>
                <w:rFonts w:hint="eastAsia" w:ascii="仿宋" w:hAnsi="仿宋" w:eastAsia="仿宋" w:cs="仿宋"/>
                <w:b/>
                <w:color w:val="000000"/>
                <w:sz w:val="28"/>
                <w:szCs w:val="28"/>
              </w:rPr>
            </w:pPr>
            <w:r>
              <w:rPr>
                <w:rFonts w:hint="eastAsia" w:ascii="仿宋" w:hAnsi="仿宋" w:eastAsia="仿宋" w:cs="仿宋"/>
                <w:b/>
                <w:color w:val="000000"/>
                <w:sz w:val="28"/>
                <w:szCs w:val="28"/>
              </w:rPr>
              <w:t>转化4b#换热器，</w:t>
            </w:r>
          </w:p>
          <w:p w14:paraId="6429EE95">
            <w:pPr>
              <w:spacing w:line="360" w:lineRule="auto"/>
              <w:jc w:val="center"/>
              <w:rPr>
                <w:rFonts w:hint="eastAsia" w:ascii="仿宋" w:hAnsi="仿宋" w:eastAsia="仿宋" w:cs="仿宋"/>
                <w:b/>
                <w:color w:val="000000"/>
                <w:sz w:val="28"/>
                <w:szCs w:val="28"/>
              </w:rPr>
            </w:pPr>
            <w:r>
              <w:rPr>
                <w:rFonts w:hint="eastAsia" w:ascii="仿宋" w:hAnsi="仿宋" w:eastAsia="仿宋" w:cs="仿宋"/>
                <w:b/>
                <w:color w:val="000000"/>
                <w:sz w:val="28"/>
                <w:szCs w:val="28"/>
              </w:rPr>
              <w:t>换热面积1050m</w:t>
            </w:r>
            <w:r>
              <w:rPr>
                <w:rFonts w:hint="eastAsia" w:ascii="仿宋" w:hAnsi="仿宋" w:eastAsia="仿宋" w:cs="仿宋"/>
                <w:b/>
                <w:color w:val="000000"/>
                <w:sz w:val="28"/>
                <w:szCs w:val="28"/>
                <w:vertAlign w:val="superscript"/>
              </w:rPr>
              <w:t>2</w:t>
            </w:r>
          </w:p>
        </w:tc>
        <w:tc>
          <w:tcPr>
            <w:tcW w:w="1856" w:type="dxa"/>
            <w:tcBorders>
              <w:top w:val="single" w:color="auto" w:sz="4" w:space="0"/>
              <w:left w:val="single" w:color="auto" w:sz="4" w:space="0"/>
              <w:bottom w:val="single" w:color="auto" w:sz="4" w:space="0"/>
              <w:right w:val="single" w:color="auto" w:sz="4" w:space="0"/>
            </w:tcBorders>
            <w:vAlign w:val="center"/>
          </w:tcPr>
          <w:p w14:paraId="64E95DDA">
            <w:pPr>
              <w:spacing w:line="268" w:lineRule="auto"/>
              <w:jc w:val="center"/>
              <w:rPr>
                <w:rFonts w:hint="eastAsia" w:ascii="仿宋" w:hAnsi="仿宋" w:eastAsia="仿宋" w:cs="仿宋"/>
                <w:color w:val="000000"/>
                <w:sz w:val="28"/>
                <w:szCs w:val="28"/>
              </w:rPr>
            </w:pPr>
            <w:r>
              <w:rPr>
                <w:rFonts w:hint="eastAsia" w:ascii="仿宋" w:hAnsi="仿宋" w:eastAsia="仿宋" w:cs="仿宋"/>
                <w:color w:val="000000"/>
                <w:sz w:val="28"/>
                <w:szCs w:val="28"/>
              </w:rPr>
              <w:t>1台      （不含保温）</w:t>
            </w:r>
          </w:p>
        </w:tc>
        <w:tc>
          <w:tcPr>
            <w:tcW w:w="2958" w:type="dxa"/>
            <w:tcBorders>
              <w:top w:val="single" w:color="auto" w:sz="4" w:space="0"/>
              <w:left w:val="single" w:color="auto" w:sz="4" w:space="0"/>
              <w:bottom w:val="single" w:color="auto" w:sz="4" w:space="0"/>
              <w:right w:val="single" w:color="auto" w:sz="4" w:space="0"/>
            </w:tcBorders>
            <w:vAlign w:val="center"/>
          </w:tcPr>
          <w:p w14:paraId="35B18BE9">
            <w:pPr>
              <w:spacing w:line="268" w:lineRule="auto"/>
              <w:jc w:val="center"/>
              <w:rPr>
                <w:rFonts w:hint="eastAsia" w:ascii="仿宋" w:hAnsi="仿宋" w:eastAsia="仿宋" w:cs="仿宋"/>
                <w:sz w:val="28"/>
                <w:szCs w:val="28"/>
              </w:rPr>
            </w:pPr>
            <w:r>
              <w:rPr>
                <w:rFonts w:hint="eastAsia" w:ascii="仿宋" w:hAnsi="仿宋" w:eastAsia="仿宋" w:cs="仿宋"/>
                <w:sz w:val="28"/>
                <w:szCs w:val="28"/>
              </w:rPr>
              <w:t>合同签订后</w:t>
            </w:r>
            <w:r>
              <w:rPr>
                <w:rFonts w:hint="eastAsia" w:ascii="仿宋" w:hAnsi="仿宋" w:eastAsia="仿宋" w:cs="仿宋"/>
                <w:sz w:val="28"/>
                <w:szCs w:val="28"/>
                <w:lang w:val="en-US" w:eastAsia="zh-CN"/>
              </w:rPr>
              <w:t>60个日历天</w:t>
            </w:r>
            <w:r>
              <w:rPr>
                <w:rFonts w:hint="eastAsia" w:ascii="仿宋" w:hAnsi="仿宋" w:eastAsia="仿宋" w:cs="仿宋"/>
                <w:sz w:val="28"/>
                <w:szCs w:val="28"/>
              </w:rPr>
              <w:t>内交付</w:t>
            </w:r>
          </w:p>
        </w:tc>
      </w:tr>
    </w:tbl>
    <w:p w14:paraId="32BFBD82">
      <w:pPr>
        <w:overflowPunct w:val="0"/>
        <w:spacing w:line="640" w:lineRule="exact"/>
        <w:rPr>
          <w:rFonts w:hint="eastAsia" w:ascii="仿宋" w:hAnsi="仿宋" w:eastAsia="仿宋" w:cs="仿宋"/>
          <w:sz w:val="32"/>
          <w:szCs w:val="32"/>
        </w:rPr>
      </w:pPr>
    </w:p>
    <w:p w14:paraId="7280C53A">
      <w:pPr>
        <w:overflowPunct w:val="0"/>
        <w:spacing w:line="6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B、需求描述</w:t>
      </w:r>
    </w:p>
    <w:p w14:paraId="286CC324">
      <w:pPr>
        <w:overflowPunct w:val="0"/>
        <w:spacing w:line="6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1. 设计数据：</w:t>
      </w:r>
    </w:p>
    <w:p w14:paraId="7450EA2F">
      <w:pPr>
        <w:overflowPunct w:val="0"/>
        <w:spacing w:line="6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1.1、1台换热器，换热面积1050m</w:t>
      </w:r>
      <w:r>
        <w:rPr>
          <w:rFonts w:hint="eastAsia" w:ascii="仿宋" w:hAnsi="仿宋" w:eastAsia="仿宋" w:cs="仿宋"/>
          <w:sz w:val="32"/>
          <w:szCs w:val="32"/>
          <w:vertAlign w:val="superscript"/>
        </w:rPr>
        <w:t>2</w:t>
      </w:r>
      <w:r>
        <w:rPr>
          <w:rFonts w:hint="eastAsia" w:ascii="仿宋" w:hAnsi="仿宋" w:eastAsia="仿宋" w:cs="仿宋"/>
          <w:sz w:val="32"/>
          <w:szCs w:val="32"/>
        </w:rPr>
        <w:t>。不含原设备的拆除。</w:t>
      </w:r>
    </w:p>
    <w:p w14:paraId="16002C91">
      <w:pPr>
        <w:overflowPunct w:val="0"/>
        <w:spacing w:line="6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换热器结构形式采用旋流网板支撑管束的管壳式换热器及其强化传热方法和急扩加速流缩放管技术。</w:t>
      </w:r>
    </w:p>
    <w:p w14:paraId="43BB0557">
      <w:pPr>
        <w:overflowPunct w:val="0"/>
        <w:spacing w:line="6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换热管，采用轧制梯形缩放管。换热管材质：上段20#/下段材质316L</w:t>
      </w:r>
      <w:r>
        <w:rPr>
          <w:rFonts w:hint="eastAsia" w:ascii="仿宋" w:hAnsi="仿宋" w:eastAsia="仿宋" w:cs="仿宋"/>
          <w:sz w:val="32"/>
          <w:szCs w:val="32"/>
          <w:lang w:eastAsia="zh-CN"/>
        </w:rPr>
        <w:t>（</w:t>
      </w:r>
      <w:r>
        <w:rPr>
          <w:rFonts w:hint="eastAsia" w:ascii="仿宋" w:hAnsi="仿宋" w:eastAsia="仿宋" w:cs="仿宋"/>
          <w:sz w:val="32"/>
          <w:szCs w:val="32"/>
        </w:rPr>
        <w:t>2米长</w:t>
      </w:r>
      <w:r>
        <w:rPr>
          <w:rFonts w:hint="eastAsia" w:ascii="仿宋" w:hAnsi="仿宋" w:eastAsia="仿宋" w:cs="仿宋"/>
          <w:sz w:val="32"/>
          <w:szCs w:val="32"/>
          <w:lang w:eastAsia="zh-CN"/>
        </w:rPr>
        <w:t>）</w:t>
      </w:r>
      <w:r>
        <w:rPr>
          <w:rFonts w:hint="eastAsia" w:ascii="仿宋" w:hAnsi="仿宋" w:eastAsia="仿宋" w:cs="仿宋"/>
          <w:sz w:val="32"/>
          <w:szCs w:val="32"/>
        </w:rPr>
        <w:t>。</w:t>
      </w:r>
    </w:p>
    <w:p w14:paraId="11044A39">
      <w:pPr>
        <w:overflowPunct w:val="0"/>
        <w:spacing w:line="6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1.2.根据以上条件，制造商可参考以下内容设计。</w:t>
      </w:r>
    </w:p>
    <w:p w14:paraId="009476C4">
      <w:pPr>
        <w:overflowPunct w:val="0"/>
        <w:spacing w:line="6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 使用环境条件</w:t>
      </w:r>
    </w:p>
    <w:p w14:paraId="3B0EC914">
      <w:pPr>
        <w:overflowPunct w:val="0"/>
        <w:spacing w:line="6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年平均气温                   12.9℃</w:t>
      </w:r>
    </w:p>
    <w:p w14:paraId="3F52DA80">
      <w:pPr>
        <w:overflowPunct w:val="0"/>
        <w:spacing w:line="6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多年极端最高温度：           39.8 ℃</w:t>
      </w:r>
    </w:p>
    <w:p w14:paraId="127715DA">
      <w:pPr>
        <w:overflowPunct w:val="0"/>
        <w:spacing w:line="6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多年极端最低温度：           -14.8℃</w:t>
      </w:r>
    </w:p>
    <w:p w14:paraId="7A54A3A8">
      <w:pPr>
        <w:overflowPunct w:val="0"/>
        <w:spacing w:line="6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年平均相对湿度：             66％</w:t>
      </w:r>
    </w:p>
    <w:p w14:paraId="1D2BF046">
      <w:pPr>
        <w:overflowPunct w:val="0"/>
        <w:spacing w:line="6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海拔高度：                   740 m</w:t>
      </w:r>
    </w:p>
    <w:p w14:paraId="1C7BB0F3">
      <w:pPr>
        <w:overflowPunct w:val="0"/>
        <w:spacing w:line="6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年最大降水量:                94.4㎜</w:t>
      </w:r>
    </w:p>
    <w:p w14:paraId="1CB13C9F">
      <w:pPr>
        <w:overflowPunct w:val="0"/>
        <w:spacing w:line="6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年最大风速:                  4.5m/s</w:t>
      </w:r>
    </w:p>
    <w:p w14:paraId="713C52DF">
      <w:pPr>
        <w:overflowPunct w:val="0"/>
        <w:spacing w:line="6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基本风压:                    0.30kPa</w:t>
      </w:r>
    </w:p>
    <w:p w14:paraId="1E3F8F94">
      <w:pPr>
        <w:overflowPunct w:val="0"/>
        <w:spacing w:line="6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基本雪压:                    0.30kPa</w:t>
      </w:r>
    </w:p>
    <w:p w14:paraId="6C946910">
      <w:pPr>
        <w:overflowPunct w:val="0"/>
        <w:spacing w:line="6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主导风向:以东风和东南风为主,冬季多为北风</w:t>
      </w:r>
    </w:p>
    <w:p w14:paraId="53F51D3D">
      <w:pPr>
        <w:overflowPunct w:val="0"/>
        <w:spacing w:line="6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3. 供货范围：（凡</w:t>
      </w:r>
      <w:r>
        <w:rPr>
          <w:rFonts w:hint="eastAsia" w:ascii="仿宋" w:hAnsi="仿宋" w:eastAsia="仿宋" w:cs="仿宋"/>
          <w:sz w:val="32"/>
          <w:szCs w:val="32"/>
          <w:lang w:eastAsia="zh-CN"/>
        </w:rPr>
        <w:t>乙方</w:t>
      </w:r>
      <w:r>
        <w:rPr>
          <w:rFonts w:hint="eastAsia" w:ascii="仿宋" w:hAnsi="仿宋" w:eastAsia="仿宋" w:cs="仿宋"/>
          <w:sz w:val="32"/>
          <w:szCs w:val="32"/>
        </w:rPr>
        <w:t>提供的设备设施等必须分项报价并列清单）</w:t>
      </w:r>
    </w:p>
    <w:p w14:paraId="305AEBCF">
      <w:pPr>
        <w:overflowPunct w:val="0"/>
        <w:spacing w:line="6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3.1 描 述：</w:t>
      </w:r>
    </w:p>
    <w:p w14:paraId="0F35DAD8">
      <w:pPr>
        <w:overflowPunct w:val="0"/>
        <w:spacing w:line="6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锌冶炼烟气二氧化硫制酸转化工序用。安装位置在现Ⅳa换热器旁，接管方位按照现场布置。</w:t>
      </w:r>
    </w:p>
    <w:p w14:paraId="57A55992">
      <w:pPr>
        <w:overflowPunct w:val="0"/>
        <w:spacing w:line="6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3.2 供货范围及要求：</w:t>
      </w:r>
    </w:p>
    <w:p w14:paraId="5C06BF62">
      <w:pPr>
        <w:overflowPunct w:val="0"/>
        <w:spacing w:line="6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3.2.1本体到接管法兰为止（不含对接管的法兰）。包含壳体下部防腐材料及施工、。</w:t>
      </w:r>
    </w:p>
    <w:p w14:paraId="393C14CF">
      <w:pPr>
        <w:overflowPunct w:val="0"/>
        <w:spacing w:line="6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3.2.2全部进出管线的温度、压力测量仪表检测设置协助安装。以及人孔等密封试漏。</w:t>
      </w:r>
    </w:p>
    <w:p w14:paraId="05DCF640">
      <w:pPr>
        <w:overflowPunct w:val="0"/>
        <w:spacing w:line="6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3.2.3配置本体支座、必要的检修人孔及安全、起吊设置。</w:t>
      </w:r>
    </w:p>
    <w:p w14:paraId="21E8720C">
      <w:pPr>
        <w:overflowPunct w:val="0"/>
        <w:spacing w:line="6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3.2.4安装尺寸满足现空间要求。参考外形尺寸：原面积1050m</w:t>
      </w:r>
      <w:r>
        <w:rPr>
          <w:rFonts w:hint="eastAsia" w:ascii="仿宋" w:hAnsi="仿宋" w:eastAsia="仿宋" w:cs="仿宋"/>
          <w:sz w:val="32"/>
          <w:szCs w:val="32"/>
          <w:vertAlign w:val="superscript"/>
        </w:rPr>
        <w:t>2</w:t>
      </w:r>
      <w:r>
        <w:rPr>
          <w:rFonts w:hint="eastAsia" w:ascii="仿宋" w:hAnsi="仿宋" w:eastAsia="仿宋" w:cs="仿宋"/>
          <w:sz w:val="32"/>
          <w:szCs w:val="32"/>
        </w:rPr>
        <w:t>，外形尺寸</w:t>
      </w:r>
      <w:r>
        <w:rPr>
          <w:rFonts w:hint="eastAsia" w:ascii="微软雅黑" w:hAnsi="微软雅黑" w:eastAsia="微软雅黑" w:cs="微软雅黑"/>
          <w:sz w:val="32"/>
          <w:szCs w:val="32"/>
        </w:rPr>
        <w:t>Ø</w:t>
      </w:r>
      <w:r>
        <w:rPr>
          <w:rFonts w:hint="eastAsia" w:ascii="仿宋" w:hAnsi="仿宋" w:eastAsia="仿宋" w:cs="仿宋"/>
          <w:sz w:val="32"/>
          <w:szCs w:val="32"/>
        </w:rPr>
        <w:t>2220/3350*9849，烟气管线</w:t>
      </w:r>
      <w:r>
        <w:rPr>
          <w:rFonts w:hint="eastAsia" w:ascii="微软雅黑" w:hAnsi="微软雅黑" w:eastAsia="微软雅黑" w:cs="微软雅黑"/>
          <w:sz w:val="32"/>
          <w:szCs w:val="32"/>
        </w:rPr>
        <w:t>Ø</w:t>
      </w:r>
      <w:r>
        <w:rPr>
          <w:rFonts w:hint="eastAsia" w:ascii="仿宋" w:hAnsi="仿宋" w:eastAsia="仿宋" w:cs="仿宋"/>
          <w:sz w:val="32"/>
          <w:szCs w:val="32"/>
        </w:rPr>
        <w:t>920*8</w:t>
      </w:r>
      <w:r>
        <w:rPr>
          <w:rFonts w:hint="eastAsia" w:ascii="仿宋" w:hAnsi="仿宋" w:eastAsia="仿宋" w:cs="仿宋"/>
          <w:sz w:val="32"/>
          <w:szCs w:val="32"/>
          <w:lang w:val="en-US" w:eastAsia="zh-CN"/>
        </w:rPr>
        <w:t>mm</w:t>
      </w:r>
      <w:r>
        <w:rPr>
          <w:rFonts w:hint="eastAsia" w:ascii="仿宋" w:hAnsi="仿宋" w:eastAsia="仿宋" w:cs="仿宋"/>
          <w:sz w:val="32"/>
          <w:szCs w:val="32"/>
        </w:rPr>
        <w:t>,</w:t>
      </w:r>
      <w:r>
        <w:rPr>
          <w:rFonts w:hint="eastAsia" w:ascii="微软雅黑" w:hAnsi="微软雅黑" w:eastAsia="微软雅黑" w:cs="微软雅黑"/>
          <w:sz w:val="32"/>
          <w:szCs w:val="32"/>
        </w:rPr>
        <w:t>Ø</w:t>
      </w:r>
      <w:r>
        <w:rPr>
          <w:rFonts w:hint="eastAsia" w:ascii="仿宋" w:hAnsi="仿宋" w:eastAsia="仿宋" w:cs="仿宋"/>
          <w:sz w:val="32"/>
          <w:szCs w:val="32"/>
        </w:rPr>
        <w:t>1020*8</w:t>
      </w:r>
      <w:r>
        <w:rPr>
          <w:rFonts w:hint="eastAsia" w:ascii="仿宋" w:hAnsi="仿宋" w:eastAsia="仿宋" w:cs="仿宋"/>
          <w:sz w:val="32"/>
          <w:szCs w:val="32"/>
          <w:lang w:val="en-US" w:eastAsia="zh-CN"/>
        </w:rPr>
        <w:t>mm</w:t>
      </w:r>
      <w:r>
        <w:rPr>
          <w:rFonts w:hint="eastAsia" w:ascii="仿宋" w:hAnsi="仿宋" w:eastAsia="仿宋" w:cs="仿宋"/>
          <w:sz w:val="32"/>
          <w:szCs w:val="32"/>
        </w:rPr>
        <w:t>两种规格。</w:t>
      </w:r>
    </w:p>
    <w:p w14:paraId="68853B1F">
      <w:pPr>
        <w:overflowPunct w:val="0"/>
        <w:spacing w:line="6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3.2.5包括制造、运输、安装（含卸车、吊装等）、保险、调试、税费（乙方提交13%增值税发票）等一切实际费用。新换热器安装所需的水、电由</w:t>
      </w:r>
      <w:r>
        <w:rPr>
          <w:rFonts w:hint="eastAsia" w:ascii="仿宋" w:hAnsi="仿宋" w:eastAsia="仿宋" w:cs="仿宋"/>
          <w:sz w:val="32"/>
          <w:szCs w:val="32"/>
          <w:lang w:val="en-US" w:eastAsia="zh-CN"/>
        </w:rPr>
        <w:t>采购人</w:t>
      </w:r>
      <w:r>
        <w:rPr>
          <w:rFonts w:hint="eastAsia" w:ascii="仿宋" w:hAnsi="仿宋" w:eastAsia="仿宋" w:cs="仿宋"/>
          <w:sz w:val="32"/>
          <w:szCs w:val="32"/>
        </w:rPr>
        <w:t>承担。</w:t>
      </w:r>
    </w:p>
    <w:p w14:paraId="75EA4E90">
      <w:pPr>
        <w:overflowPunct w:val="0"/>
        <w:spacing w:line="6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不包括：原热交换器的拆除、设备配套的所有土建基础（含预埋件）、外部管道、保温、阀门、补偿器及支架、照明、防雷、接地、排水（污）以及仪表及相关配套设施安装等</w:t>
      </w:r>
    </w:p>
    <w:p w14:paraId="6635E5B2">
      <w:pPr>
        <w:overflowPunct w:val="0"/>
        <w:spacing w:line="6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3.3现场技术服务：现场指导调试。</w:t>
      </w:r>
    </w:p>
    <w:p w14:paraId="0FFDBCFE">
      <w:pPr>
        <w:overflowPunct w:val="0"/>
        <w:spacing w:line="6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3.4运输到</w:t>
      </w:r>
      <w:r>
        <w:rPr>
          <w:rFonts w:hint="eastAsia" w:ascii="仿宋" w:hAnsi="仿宋" w:eastAsia="仿宋" w:cs="仿宋"/>
          <w:sz w:val="32"/>
          <w:szCs w:val="32"/>
          <w:lang w:val="en-US" w:eastAsia="zh-CN"/>
        </w:rPr>
        <w:t>采购人</w:t>
      </w:r>
      <w:r>
        <w:rPr>
          <w:rFonts w:hint="eastAsia" w:ascii="仿宋" w:hAnsi="仿宋" w:eastAsia="仿宋" w:cs="仿宋"/>
          <w:sz w:val="32"/>
          <w:szCs w:val="32"/>
        </w:rPr>
        <w:t>厂内现场施工。</w:t>
      </w:r>
    </w:p>
    <w:p w14:paraId="3101857B">
      <w:pPr>
        <w:overflowPunct w:val="0"/>
        <w:spacing w:line="64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4</w:t>
      </w: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w:t>
      </w:r>
      <w:r>
        <w:rPr>
          <w:rFonts w:hint="eastAsia" w:ascii="仿宋" w:hAnsi="仿宋" w:eastAsia="仿宋" w:cs="仿宋"/>
          <w:sz w:val="32"/>
          <w:szCs w:val="32"/>
        </w:rPr>
        <w:t>提交的技术文件如下但不限于：</w:t>
      </w:r>
    </w:p>
    <w:p w14:paraId="2AC47031">
      <w:pPr>
        <w:overflowPunct w:val="0"/>
        <w:spacing w:line="64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4</w:t>
      </w:r>
      <w:r>
        <w:rPr>
          <w:rFonts w:hint="eastAsia" w:ascii="仿宋" w:hAnsi="仿宋" w:eastAsia="仿宋" w:cs="仿宋"/>
          <w:sz w:val="32"/>
          <w:szCs w:val="32"/>
        </w:rPr>
        <w:t>.1 安装图纸：主要外型尺寸、安装及总装图纸、基础图，起吊能力以及厂房布局。</w:t>
      </w:r>
    </w:p>
    <w:p w14:paraId="6F24163A">
      <w:pPr>
        <w:overflowPunct w:val="0"/>
        <w:spacing w:line="64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4</w:t>
      </w:r>
      <w:r>
        <w:rPr>
          <w:rFonts w:hint="eastAsia" w:ascii="仿宋" w:hAnsi="仿宋" w:eastAsia="仿宋" w:cs="仿宋"/>
          <w:sz w:val="32"/>
          <w:szCs w:val="32"/>
        </w:rPr>
        <w:t>.2 压力容器的检验证明</w:t>
      </w:r>
    </w:p>
    <w:p w14:paraId="06E9706B">
      <w:pPr>
        <w:overflowPunct w:val="0"/>
        <w:spacing w:line="64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4</w:t>
      </w:r>
      <w:r>
        <w:rPr>
          <w:rFonts w:hint="eastAsia" w:ascii="仿宋" w:hAnsi="仿宋" w:eastAsia="仿宋" w:cs="仿宋"/>
          <w:sz w:val="32"/>
          <w:szCs w:val="32"/>
        </w:rPr>
        <w:t>.3 质量检测证明、材料检测报告</w:t>
      </w:r>
    </w:p>
    <w:p w14:paraId="4834B386">
      <w:pPr>
        <w:overflowPunct w:val="0"/>
        <w:spacing w:line="64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5</w:t>
      </w:r>
      <w:r>
        <w:rPr>
          <w:rFonts w:hint="eastAsia" w:ascii="仿宋" w:hAnsi="仿宋" w:eastAsia="仿宋" w:cs="仿宋"/>
          <w:sz w:val="32"/>
          <w:szCs w:val="32"/>
        </w:rPr>
        <w:t>. 其它技术文件</w:t>
      </w:r>
    </w:p>
    <w:p w14:paraId="5AF0FE10">
      <w:pPr>
        <w:overflowPunct w:val="0"/>
        <w:spacing w:line="64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乙方</w:t>
      </w:r>
      <w:r>
        <w:rPr>
          <w:rFonts w:hint="eastAsia" w:ascii="仿宋" w:hAnsi="仿宋" w:eastAsia="仿宋" w:cs="仿宋"/>
          <w:sz w:val="32"/>
          <w:szCs w:val="32"/>
        </w:rPr>
        <w:t>应免费提供完整的三套技术文件（设计文件提供图纸）。包括但不限于：</w:t>
      </w:r>
    </w:p>
    <w:p w14:paraId="756D118A">
      <w:pPr>
        <w:overflowPunct w:val="0"/>
        <w:spacing w:line="6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-外型尺寸图；</w:t>
      </w:r>
    </w:p>
    <w:p w14:paraId="5A8026A5">
      <w:pPr>
        <w:overflowPunct w:val="0"/>
        <w:spacing w:line="6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-设备总装图；</w:t>
      </w:r>
    </w:p>
    <w:p w14:paraId="1371DD8F">
      <w:pPr>
        <w:overflowPunct w:val="0"/>
        <w:spacing w:line="640" w:lineRule="exact"/>
        <w:ind w:firstLine="640" w:firstLineChars="200"/>
        <w:rPr>
          <w:rFonts w:hint="eastAsia" w:ascii="仿宋_GB2312" w:hAnsi="宋体" w:eastAsia="仿宋_GB2312"/>
          <w:color w:val="000000"/>
          <w:sz w:val="28"/>
          <w:szCs w:val="28"/>
        </w:rPr>
      </w:pPr>
      <w:r>
        <w:rPr>
          <w:rFonts w:hint="eastAsia" w:ascii="仿宋" w:hAnsi="仿宋" w:eastAsia="仿宋" w:cs="仿宋"/>
          <w:sz w:val="32"/>
          <w:szCs w:val="32"/>
        </w:rPr>
        <w:t>-运行维护手册；</w:t>
      </w:r>
    </w:p>
    <w:p w14:paraId="7FBA7B38">
      <w:pPr>
        <w:spacing w:line="640" w:lineRule="exact"/>
        <w:jc w:val="left"/>
        <w:rPr>
          <w:rFonts w:ascii="仿宋" w:hAnsi="仿宋" w:eastAsia="仿宋" w:cs="仿宋"/>
          <w:sz w:val="32"/>
          <w:szCs w:val="32"/>
        </w:rPr>
      </w:pPr>
      <w:r>
        <w:rPr>
          <w:rFonts w:hint="eastAsia" w:ascii="仿宋" w:hAnsi="仿宋" w:eastAsia="仿宋" w:cs="仿宋"/>
          <w:sz w:val="32"/>
          <w:szCs w:val="32"/>
        </w:rPr>
        <w:t>（六）质量要求：</w:t>
      </w:r>
    </w:p>
    <w:p w14:paraId="2EDD0F48">
      <w:pPr>
        <w:overflowPunct w:val="0"/>
        <w:spacing w:line="640" w:lineRule="exact"/>
        <w:ind w:firstLine="640" w:firstLineChars="200"/>
        <w:rPr>
          <w:rFonts w:ascii="仿宋" w:hAnsi="仿宋" w:eastAsia="仿宋" w:cs="仿宋"/>
          <w:sz w:val="32"/>
          <w:szCs w:val="32"/>
        </w:rPr>
      </w:pPr>
      <w:r>
        <w:rPr>
          <w:rFonts w:hint="eastAsia" w:ascii="仿宋" w:hAnsi="仿宋" w:eastAsia="仿宋" w:cs="仿宋"/>
          <w:sz w:val="32"/>
          <w:szCs w:val="32"/>
        </w:rPr>
        <w:t>1、产品的设计及制造必须严格按照最新行业标准执行，质量符合国标要求。</w:t>
      </w:r>
    </w:p>
    <w:p w14:paraId="79C7C928">
      <w:pPr>
        <w:overflowPunct w:val="0"/>
        <w:spacing w:line="640" w:lineRule="exact"/>
        <w:ind w:firstLine="640" w:firstLineChars="200"/>
        <w:rPr>
          <w:rFonts w:ascii="仿宋" w:hAnsi="仿宋" w:eastAsia="仿宋" w:cs="仿宋"/>
          <w:sz w:val="32"/>
          <w:szCs w:val="32"/>
        </w:rPr>
      </w:pPr>
      <w:r>
        <w:rPr>
          <w:rFonts w:hint="eastAsia" w:ascii="仿宋" w:hAnsi="仿宋" w:eastAsia="仿宋" w:cs="仿宋"/>
          <w:sz w:val="32"/>
          <w:szCs w:val="32"/>
        </w:rPr>
        <w:t>2、所供产品必须有合格证、使用说明书、出厂质量检验报告单等，否则按不合格品对待。</w:t>
      </w:r>
    </w:p>
    <w:p w14:paraId="16F46ABC">
      <w:pPr>
        <w:overflowPunct w:val="0"/>
        <w:spacing w:line="640" w:lineRule="exact"/>
        <w:ind w:firstLine="640" w:firstLineChars="200"/>
        <w:rPr>
          <w:rFonts w:ascii="仿宋" w:hAnsi="仿宋" w:eastAsia="仿宋" w:cs="仿宋"/>
          <w:bCs/>
          <w:sz w:val="32"/>
          <w:szCs w:val="32"/>
        </w:rPr>
      </w:pPr>
      <w:r>
        <w:rPr>
          <w:rFonts w:hint="eastAsia" w:ascii="仿宋" w:hAnsi="仿宋" w:eastAsia="仿宋" w:cs="仿宋"/>
          <w:sz w:val="32"/>
          <w:szCs w:val="32"/>
        </w:rPr>
        <w:t>3、质量保证期：质保期壹年，在质保期内出现货物质量问题供方无条件退换，如因货物质量问题给采购人造成损失的，供货方应承担相应的赔偿责任。</w:t>
      </w:r>
    </w:p>
    <w:p w14:paraId="39D5CAE6">
      <w:pPr>
        <w:overflowPunct w:val="0"/>
        <w:adjustRightInd w:val="0"/>
        <w:spacing w:line="640" w:lineRule="exact"/>
        <w:ind w:firstLine="320" w:firstLineChars="100"/>
        <w:rPr>
          <w:rFonts w:hint="eastAsia" w:ascii="仿宋" w:hAnsi="仿宋" w:eastAsia="仿宋" w:cs="仿宋"/>
          <w:bCs/>
          <w:sz w:val="32"/>
          <w:szCs w:val="32"/>
        </w:rPr>
      </w:pPr>
      <w:bookmarkStart w:id="8" w:name="_Toc14688"/>
      <w:bookmarkStart w:id="9" w:name="_Toc29895"/>
      <w:bookmarkStart w:id="10" w:name="_Toc14196"/>
      <w:bookmarkStart w:id="11" w:name="_Toc33795778"/>
      <w:r>
        <w:rPr>
          <w:rFonts w:hint="eastAsia" w:ascii="仿宋" w:hAnsi="仿宋" w:eastAsia="仿宋" w:cs="仿宋"/>
          <w:bCs/>
          <w:sz w:val="32"/>
          <w:szCs w:val="32"/>
        </w:rPr>
        <w:t>（七）运输方式及到达站港和费用负担：汽车运输，包装。运输费用由供方承担，运输车辆应加装符合国家安全管理需要的防火安全设备，如灭火器、防火罩等，否则不得进入采购人厂内。</w:t>
      </w:r>
    </w:p>
    <w:p w14:paraId="57FD71B1">
      <w:pPr>
        <w:overflowPunct w:val="0"/>
        <w:adjustRightInd w:val="0"/>
        <w:spacing w:line="640" w:lineRule="exact"/>
        <w:ind w:firstLine="320" w:firstLineChars="100"/>
        <w:rPr>
          <w:rFonts w:hint="eastAsia" w:ascii="仿宋" w:hAnsi="仿宋" w:eastAsia="仿宋" w:cs="仿宋"/>
          <w:bCs/>
          <w:sz w:val="32"/>
          <w:szCs w:val="32"/>
        </w:rPr>
      </w:pPr>
      <w:r>
        <w:rPr>
          <w:rFonts w:hint="eastAsia" w:ascii="仿宋" w:hAnsi="仿宋" w:eastAsia="仿宋" w:cs="仿宋"/>
          <w:bCs/>
          <w:sz w:val="32"/>
          <w:szCs w:val="32"/>
        </w:rPr>
        <w:t>（八）包装标准，包装物的供应及回收：标准包装，包装物不回收。</w:t>
      </w:r>
    </w:p>
    <w:p w14:paraId="7D1B7C9E">
      <w:pPr>
        <w:overflowPunct w:val="0"/>
        <w:adjustRightInd w:val="0"/>
        <w:spacing w:line="640" w:lineRule="exact"/>
        <w:ind w:firstLine="320" w:firstLineChars="100"/>
        <w:rPr>
          <w:rFonts w:hint="eastAsia" w:ascii="仿宋" w:hAnsi="仿宋" w:eastAsia="仿宋" w:cs="仿宋"/>
          <w:sz w:val="32"/>
          <w:szCs w:val="32"/>
        </w:rPr>
      </w:pPr>
      <w:r>
        <w:rPr>
          <w:rFonts w:hint="eastAsia" w:ascii="仿宋" w:hAnsi="仿宋" w:eastAsia="仿宋" w:cs="仿宋"/>
          <w:bCs/>
          <w:sz w:val="32"/>
          <w:szCs w:val="32"/>
        </w:rPr>
        <w:t>（九）验收标准：</w:t>
      </w:r>
      <w:r>
        <w:rPr>
          <w:rFonts w:hint="eastAsia" w:ascii="仿宋" w:hAnsi="仿宋" w:eastAsia="仿宋" w:cs="仿宋"/>
          <w:sz w:val="32"/>
          <w:szCs w:val="32"/>
        </w:rPr>
        <w:t>按合同</w:t>
      </w:r>
      <w:r>
        <w:rPr>
          <w:rFonts w:hint="eastAsia" w:ascii="仿宋" w:hAnsi="仿宋" w:eastAsia="仿宋" w:cs="仿宋"/>
          <w:sz w:val="32"/>
          <w:szCs w:val="32"/>
          <w:lang w:eastAsia="zh-CN"/>
        </w:rPr>
        <w:t>、</w:t>
      </w:r>
      <w:r>
        <w:rPr>
          <w:rFonts w:hint="eastAsia" w:ascii="仿宋" w:hAnsi="仿宋" w:eastAsia="仿宋" w:cs="仿宋"/>
          <w:sz w:val="32"/>
          <w:szCs w:val="32"/>
        </w:rPr>
        <w:t>技术协议</w:t>
      </w:r>
      <w:r>
        <w:rPr>
          <w:rFonts w:hint="eastAsia" w:ascii="仿宋" w:hAnsi="仿宋" w:eastAsia="仿宋" w:cs="仿宋"/>
          <w:sz w:val="32"/>
          <w:szCs w:val="32"/>
          <w:lang w:val="en-US" w:eastAsia="zh-CN"/>
        </w:rPr>
        <w:t>以及</w:t>
      </w:r>
      <w:r>
        <w:rPr>
          <w:rFonts w:hint="eastAsia" w:ascii="仿宋" w:hAnsi="仿宋" w:eastAsia="仿宋" w:cs="仿宋"/>
          <w:bCs/>
          <w:sz w:val="32"/>
          <w:szCs w:val="32"/>
        </w:rPr>
        <w:t>第六款质量标准验收</w:t>
      </w:r>
    </w:p>
    <w:p w14:paraId="417688B3">
      <w:pPr>
        <w:spacing w:line="560" w:lineRule="exact"/>
        <w:ind w:firstLine="320" w:firstLineChars="100"/>
        <w:jc w:val="left"/>
        <w:rPr>
          <w:rFonts w:ascii="仿宋" w:hAnsi="仿宋" w:eastAsia="仿宋" w:cs="仿宋"/>
          <w:sz w:val="24"/>
        </w:rPr>
      </w:pPr>
      <w:r>
        <w:rPr>
          <w:rFonts w:hint="eastAsia" w:ascii="仿宋" w:hAnsi="仿宋" w:eastAsia="仿宋" w:cs="仿宋"/>
          <w:sz w:val="32"/>
          <w:szCs w:val="32"/>
        </w:rPr>
        <w:t>（十）付款方式：合同生效后，</w:t>
      </w:r>
      <w:r>
        <w:rPr>
          <w:rFonts w:hint="eastAsia" w:ascii="仿宋" w:hAnsi="仿宋" w:eastAsia="仿宋" w:cs="仿宋"/>
          <w:sz w:val="32"/>
          <w:szCs w:val="32"/>
          <w:lang w:eastAsia="zh-CN"/>
        </w:rPr>
        <w:t>乙方</w:t>
      </w:r>
      <w:r>
        <w:rPr>
          <w:rFonts w:hint="eastAsia" w:ascii="仿宋" w:hAnsi="仿宋" w:eastAsia="仿宋" w:cs="仿宋"/>
          <w:sz w:val="32"/>
          <w:szCs w:val="32"/>
        </w:rPr>
        <w:t>开具合同总额30%的增值税发票（税率13%），</w:t>
      </w:r>
      <w:r>
        <w:rPr>
          <w:rFonts w:hint="eastAsia" w:ascii="仿宋" w:hAnsi="仿宋" w:eastAsia="仿宋" w:cs="仿宋"/>
          <w:sz w:val="32"/>
          <w:szCs w:val="32"/>
          <w:lang w:eastAsia="zh-CN"/>
        </w:rPr>
        <w:t>甲方</w:t>
      </w:r>
      <w:r>
        <w:rPr>
          <w:rFonts w:hint="eastAsia" w:ascii="仿宋" w:hAnsi="仿宋" w:eastAsia="仿宋" w:cs="仿宋"/>
          <w:sz w:val="32"/>
          <w:szCs w:val="32"/>
        </w:rPr>
        <w:t>预付合同总额的30%；货到</w:t>
      </w:r>
      <w:r>
        <w:rPr>
          <w:rFonts w:hint="eastAsia" w:ascii="仿宋" w:hAnsi="仿宋" w:eastAsia="仿宋" w:cs="仿宋"/>
          <w:sz w:val="32"/>
          <w:szCs w:val="32"/>
          <w:lang w:eastAsia="zh-CN"/>
        </w:rPr>
        <w:t>甲方</w:t>
      </w:r>
      <w:r>
        <w:rPr>
          <w:rFonts w:hint="eastAsia" w:ascii="仿宋" w:hAnsi="仿宋" w:eastAsia="仿宋" w:cs="仿宋"/>
          <w:sz w:val="32"/>
          <w:szCs w:val="32"/>
        </w:rPr>
        <w:t>厂内，初步验收合格，</w:t>
      </w:r>
      <w:r>
        <w:rPr>
          <w:rFonts w:hint="eastAsia" w:ascii="仿宋" w:hAnsi="仿宋" w:eastAsia="仿宋" w:cs="仿宋"/>
          <w:sz w:val="32"/>
          <w:szCs w:val="32"/>
          <w:lang w:eastAsia="zh-CN"/>
        </w:rPr>
        <w:t>乙方</w:t>
      </w:r>
      <w:r>
        <w:rPr>
          <w:rFonts w:hint="eastAsia" w:ascii="仿宋" w:hAnsi="仿宋" w:eastAsia="仿宋" w:cs="仿宋"/>
          <w:sz w:val="32"/>
          <w:szCs w:val="32"/>
        </w:rPr>
        <w:t>开具合同总额30%的增值税发票（税率13%），</w:t>
      </w:r>
      <w:r>
        <w:rPr>
          <w:rFonts w:hint="eastAsia" w:ascii="仿宋" w:hAnsi="仿宋" w:eastAsia="仿宋" w:cs="仿宋"/>
          <w:sz w:val="32"/>
          <w:szCs w:val="32"/>
          <w:lang w:eastAsia="zh-CN"/>
        </w:rPr>
        <w:t>甲方</w:t>
      </w:r>
      <w:r>
        <w:rPr>
          <w:rFonts w:hint="eastAsia" w:ascii="仿宋" w:hAnsi="仿宋" w:eastAsia="仿宋" w:cs="仿宋"/>
          <w:sz w:val="32"/>
          <w:szCs w:val="32"/>
        </w:rPr>
        <w:t>再付合同总额的30%；安装调试完毕，验收合格后，</w:t>
      </w:r>
      <w:r>
        <w:rPr>
          <w:rFonts w:hint="eastAsia" w:ascii="仿宋" w:hAnsi="仿宋" w:eastAsia="仿宋" w:cs="仿宋"/>
          <w:sz w:val="32"/>
          <w:szCs w:val="32"/>
          <w:lang w:eastAsia="zh-CN"/>
        </w:rPr>
        <w:t>乙方</w:t>
      </w:r>
      <w:r>
        <w:rPr>
          <w:rFonts w:hint="eastAsia" w:ascii="仿宋" w:hAnsi="仿宋" w:eastAsia="仿宋" w:cs="仿宋"/>
          <w:sz w:val="32"/>
          <w:szCs w:val="32"/>
        </w:rPr>
        <w:t>开具合同总额40%的增值税发票（税率13%），</w:t>
      </w:r>
      <w:r>
        <w:rPr>
          <w:rFonts w:hint="eastAsia" w:ascii="仿宋" w:hAnsi="仿宋" w:eastAsia="仿宋" w:cs="仿宋"/>
          <w:sz w:val="32"/>
          <w:szCs w:val="32"/>
          <w:lang w:eastAsia="zh-CN"/>
        </w:rPr>
        <w:t>甲方</w:t>
      </w:r>
      <w:r>
        <w:rPr>
          <w:rFonts w:hint="eastAsia" w:ascii="仿宋" w:hAnsi="仿宋" w:eastAsia="仿宋" w:cs="仿宋"/>
          <w:sz w:val="32"/>
          <w:szCs w:val="32"/>
        </w:rPr>
        <w:t>再付合同总额的30%；留10%作为质保金，质保期满无质量问题需方一次付清。</w:t>
      </w:r>
      <w:r>
        <w:rPr>
          <w:rFonts w:hint="eastAsia" w:ascii="仿宋" w:hAnsi="仿宋" w:eastAsia="仿宋" w:cs="仿宋"/>
          <w:b/>
          <w:bCs/>
          <w:sz w:val="32"/>
          <w:szCs w:val="32"/>
          <w:lang w:eastAsia="zh-CN"/>
        </w:rPr>
        <w:t>乙方</w:t>
      </w:r>
      <w:r>
        <w:rPr>
          <w:rFonts w:hint="eastAsia" w:ascii="仿宋" w:hAnsi="仿宋" w:eastAsia="仿宋" w:cs="仿宋"/>
          <w:b/>
          <w:bCs/>
          <w:sz w:val="32"/>
          <w:szCs w:val="32"/>
        </w:rPr>
        <w:t>可按付款进度开具发票，也可一次性开具全额发票，但必须先票后款。</w:t>
      </w:r>
    </w:p>
    <w:p w14:paraId="03A7A7D6">
      <w:pPr>
        <w:overflowPunct w:val="0"/>
        <w:spacing w:line="560" w:lineRule="exact"/>
        <w:ind w:firstLine="320" w:firstLineChars="100"/>
        <w:rPr>
          <w:rFonts w:ascii="仿宋" w:hAnsi="仿宋" w:eastAsia="仿宋" w:cs="仿宋"/>
          <w:sz w:val="32"/>
          <w:szCs w:val="32"/>
        </w:rPr>
      </w:pPr>
      <w:r>
        <w:rPr>
          <w:rFonts w:hint="eastAsia" w:ascii="仿宋" w:hAnsi="仿宋" w:eastAsia="仿宋" w:cs="仿宋"/>
          <w:sz w:val="32"/>
          <w:szCs w:val="32"/>
        </w:rPr>
        <w:t>（十一）供应商资格和履约能力要求</w:t>
      </w:r>
      <w:bookmarkEnd w:id="8"/>
      <w:bookmarkEnd w:id="9"/>
      <w:bookmarkEnd w:id="10"/>
      <w:bookmarkEnd w:id="11"/>
      <w:r>
        <w:rPr>
          <w:rFonts w:hint="eastAsia" w:ascii="仿宋" w:hAnsi="仿宋" w:eastAsia="仿宋" w:cs="仿宋"/>
          <w:sz w:val="32"/>
          <w:szCs w:val="32"/>
        </w:rPr>
        <w:t>：</w:t>
      </w:r>
    </w:p>
    <w:p w14:paraId="5EF9E737">
      <w:pPr>
        <w:overflowPunct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1.资质要求：</w:t>
      </w:r>
    </w:p>
    <w:p w14:paraId="7FBE48E8">
      <w:pPr>
        <w:overflowPunct w:val="0"/>
        <w:spacing w:line="560" w:lineRule="exact"/>
        <w:ind w:firstLine="320" w:firstLineChars="100"/>
        <w:rPr>
          <w:rFonts w:ascii="仿宋" w:hAnsi="仿宋" w:eastAsia="仿宋" w:cs="仿宋"/>
          <w:color w:val="000000"/>
          <w:sz w:val="32"/>
          <w:szCs w:val="32"/>
        </w:rPr>
      </w:pPr>
      <w:r>
        <w:rPr>
          <w:rFonts w:hint="eastAsia" w:ascii="仿宋" w:hAnsi="仿宋" w:eastAsia="仿宋" w:cs="仿宋"/>
          <w:sz w:val="32"/>
          <w:szCs w:val="32"/>
        </w:rPr>
        <w:t>（1）供应商须为中华人民共和国境内依法注册的法人或者其他组织，有能力完成本项目的厂家或经销商，具备合法的营业执照</w:t>
      </w:r>
      <w:r>
        <w:rPr>
          <w:rFonts w:hint="eastAsia" w:ascii="仿宋" w:hAnsi="仿宋" w:eastAsia="仿宋" w:cs="仿宋"/>
          <w:color w:val="000000"/>
          <w:sz w:val="32"/>
          <w:szCs w:val="32"/>
        </w:rPr>
        <w:t>。</w:t>
      </w:r>
    </w:p>
    <w:p w14:paraId="3F35F634">
      <w:pPr>
        <w:overflowPunct w:val="0"/>
        <w:spacing w:line="560" w:lineRule="exact"/>
        <w:ind w:firstLine="320" w:firstLineChars="100"/>
        <w:rPr>
          <w:rFonts w:ascii="仿宋" w:hAnsi="仿宋" w:eastAsia="仿宋" w:cs="仿宋"/>
          <w:color w:val="000000"/>
          <w:sz w:val="32"/>
          <w:szCs w:val="32"/>
        </w:rPr>
      </w:pPr>
      <w:r>
        <w:rPr>
          <w:rFonts w:hint="eastAsia" w:ascii="仿宋" w:hAnsi="仿宋" w:eastAsia="仿宋" w:cs="仿宋"/>
          <w:color w:val="000000"/>
          <w:sz w:val="32"/>
          <w:szCs w:val="32"/>
        </w:rPr>
        <w:t>（2）若供应商为代理商的，须提供其代理品牌的授权委托书。</w:t>
      </w:r>
    </w:p>
    <w:p w14:paraId="47676A96">
      <w:pPr>
        <w:overflowPunct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2.信用要求：</w:t>
      </w:r>
    </w:p>
    <w:p w14:paraId="1D0F5C1C">
      <w:pPr>
        <w:overflowPunct w:val="0"/>
        <w:spacing w:line="560" w:lineRule="exact"/>
        <w:ind w:firstLine="320" w:firstLineChars="100"/>
        <w:rPr>
          <w:rFonts w:ascii="仿宋" w:hAnsi="仿宋" w:eastAsia="仿宋" w:cs="仿宋"/>
          <w:sz w:val="32"/>
          <w:szCs w:val="32"/>
        </w:rPr>
      </w:pPr>
      <w:r>
        <w:rPr>
          <w:rFonts w:hint="eastAsia" w:ascii="仿宋" w:hAnsi="仿宋" w:eastAsia="仿宋" w:cs="仿宋"/>
          <w:sz w:val="32"/>
          <w:szCs w:val="32"/>
        </w:rPr>
        <w:t>（1）供应商具有良好的银行资信和商业信誉，没有处于被责令停业、财产被接管、冻结、破产状态（附承诺书）；</w:t>
      </w:r>
    </w:p>
    <w:p w14:paraId="668A1E55">
      <w:pPr>
        <w:overflowPunct w:val="0"/>
        <w:spacing w:line="560" w:lineRule="exact"/>
        <w:ind w:firstLine="320" w:firstLineChars="100"/>
        <w:rPr>
          <w:rFonts w:ascii="仿宋" w:hAnsi="仿宋" w:eastAsia="仿宋" w:cs="仿宋"/>
          <w:sz w:val="32"/>
          <w:szCs w:val="32"/>
        </w:rPr>
      </w:pPr>
      <w:r>
        <w:rPr>
          <w:rFonts w:hint="eastAsia" w:ascii="仿宋" w:hAnsi="仿宋" w:eastAsia="仿宋" w:cs="仿宋"/>
          <w:sz w:val="32"/>
          <w:szCs w:val="32"/>
        </w:rPr>
        <w:t>（2）供应商不得在“信用中国-中国执行信息公开网”被列为失信被执行人；</w:t>
      </w:r>
    </w:p>
    <w:p w14:paraId="2C5D7094">
      <w:pPr>
        <w:overflowPunct w:val="0"/>
        <w:spacing w:line="560" w:lineRule="exact"/>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rPr>
        <w:t>3.业绩要求：供应商2022年</w:t>
      </w:r>
      <w:r>
        <w:rPr>
          <w:rFonts w:hint="eastAsia" w:ascii="仿宋" w:hAnsi="仿宋" w:eastAsia="仿宋" w:cs="仿宋"/>
          <w:sz w:val="32"/>
          <w:szCs w:val="32"/>
          <w:lang w:val="en-US" w:eastAsia="zh-CN"/>
        </w:rPr>
        <w:t>8</w:t>
      </w:r>
      <w:r>
        <w:rPr>
          <w:rFonts w:hint="eastAsia" w:ascii="仿宋" w:hAnsi="仿宋" w:eastAsia="仿宋" w:cs="仿宋"/>
          <w:sz w:val="32"/>
          <w:szCs w:val="32"/>
        </w:rPr>
        <w:t>月至今具有类似业绩（提供合同复印件，时间以合同签订时间为准），不少于</w:t>
      </w:r>
      <w:r>
        <w:rPr>
          <w:rFonts w:hint="eastAsia" w:ascii="仿宋" w:hAnsi="仿宋" w:eastAsia="仿宋" w:cs="仿宋"/>
          <w:sz w:val="32"/>
          <w:szCs w:val="32"/>
          <w:lang w:val="en-US" w:eastAsia="zh-CN"/>
        </w:rPr>
        <w:t>3</w:t>
      </w:r>
      <w:r>
        <w:rPr>
          <w:rFonts w:hint="eastAsia" w:ascii="仿宋" w:hAnsi="仿宋" w:eastAsia="仿宋" w:cs="仿宋"/>
          <w:sz w:val="32"/>
          <w:szCs w:val="32"/>
        </w:rPr>
        <w:t>份</w:t>
      </w:r>
      <w:r>
        <w:rPr>
          <w:rFonts w:hint="eastAsia" w:ascii="仿宋" w:hAnsi="仿宋" w:eastAsia="仿宋" w:cs="仿宋"/>
          <w:sz w:val="32"/>
          <w:szCs w:val="32"/>
          <w:lang w:eastAsia="zh-CN"/>
        </w:rPr>
        <w:t>。</w:t>
      </w:r>
      <w:r>
        <w:rPr>
          <w:rFonts w:hint="eastAsia" w:ascii="仿宋" w:hAnsi="仿宋" w:eastAsia="仿宋" w:cs="仿宋"/>
          <w:b/>
          <w:bCs/>
          <w:sz w:val="32"/>
          <w:szCs w:val="32"/>
          <w:lang w:val="en-US" w:eastAsia="zh-CN"/>
        </w:rPr>
        <w:t>未提供业绩的（即0份类似业绩），否决其响应文件。</w:t>
      </w:r>
    </w:p>
    <w:p w14:paraId="7D923B13">
      <w:pPr>
        <w:overflowPunct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4.联合体响应：本项目不接受联合体响应。</w:t>
      </w:r>
    </w:p>
    <w:p w14:paraId="1E3FDD0E">
      <w:pPr>
        <w:overflowPunct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5.其他要求：</w:t>
      </w:r>
    </w:p>
    <w:p w14:paraId="07308CE9">
      <w:pPr>
        <w:overflowPunct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供应商不得存在下列情形之一：</w:t>
      </w:r>
    </w:p>
    <w:p w14:paraId="466BB680">
      <w:pPr>
        <w:overflowPunct w:val="0"/>
        <w:spacing w:line="560" w:lineRule="exact"/>
        <w:ind w:firstLine="320" w:firstLineChars="100"/>
        <w:rPr>
          <w:rFonts w:ascii="仿宋" w:hAnsi="仿宋" w:eastAsia="仿宋" w:cs="仿宋"/>
          <w:sz w:val="32"/>
          <w:szCs w:val="32"/>
        </w:rPr>
      </w:pPr>
      <w:r>
        <w:rPr>
          <w:rFonts w:hint="eastAsia" w:ascii="仿宋" w:hAnsi="仿宋" w:eastAsia="仿宋" w:cs="仿宋"/>
          <w:sz w:val="32"/>
          <w:szCs w:val="32"/>
        </w:rPr>
        <w:t>（1）与采购人存在利害关系可能影响询比采购公正性；</w:t>
      </w:r>
    </w:p>
    <w:p w14:paraId="74083F28">
      <w:pPr>
        <w:overflowPunct w:val="0"/>
        <w:spacing w:line="560" w:lineRule="exact"/>
        <w:ind w:firstLine="320" w:firstLineChars="100"/>
        <w:rPr>
          <w:rFonts w:ascii="仿宋" w:hAnsi="仿宋" w:eastAsia="仿宋" w:cs="仿宋"/>
          <w:sz w:val="32"/>
          <w:szCs w:val="32"/>
        </w:rPr>
      </w:pPr>
      <w:r>
        <w:rPr>
          <w:rFonts w:hint="eastAsia" w:ascii="仿宋" w:hAnsi="仿宋" w:eastAsia="仿宋" w:cs="仿宋"/>
          <w:sz w:val="32"/>
          <w:szCs w:val="32"/>
        </w:rPr>
        <w:t>（2）法定代表人（单位负责人）为同一人或者存在控股、管理关系的不同法人或其他组织同时参加询比采购；</w:t>
      </w:r>
    </w:p>
    <w:p w14:paraId="6FEFEC39">
      <w:pPr>
        <w:overflowPunct w:val="0"/>
        <w:spacing w:line="560" w:lineRule="exact"/>
        <w:ind w:firstLine="320" w:firstLineChars="100"/>
        <w:rPr>
          <w:rFonts w:ascii="仿宋" w:hAnsi="仿宋" w:eastAsia="仿宋" w:cs="仿宋"/>
          <w:sz w:val="32"/>
          <w:szCs w:val="32"/>
        </w:rPr>
      </w:pPr>
      <w:r>
        <w:rPr>
          <w:rFonts w:hint="eastAsia" w:ascii="仿宋" w:hAnsi="仿宋" w:eastAsia="仿宋" w:cs="仿宋"/>
          <w:sz w:val="32"/>
          <w:szCs w:val="32"/>
        </w:rPr>
        <w:t xml:space="preserve">（3）被依法暂停或者取消询比采购资格； </w:t>
      </w:r>
    </w:p>
    <w:p w14:paraId="580D1E16">
      <w:pPr>
        <w:overflowPunct w:val="0"/>
        <w:spacing w:line="560" w:lineRule="exact"/>
        <w:ind w:firstLine="320" w:firstLineChars="100"/>
        <w:rPr>
          <w:rFonts w:ascii="仿宋" w:hAnsi="仿宋" w:eastAsia="仿宋" w:cs="仿宋"/>
          <w:sz w:val="32"/>
          <w:szCs w:val="32"/>
        </w:rPr>
      </w:pPr>
      <w:r>
        <w:rPr>
          <w:rFonts w:hint="eastAsia" w:ascii="仿宋" w:hAnsi="仿宋" w:eastAsia="仿宋" w:cs="仿宋"/>
          <w:sz w:val="32"/>
          <w:szCs w:val="32"/>
        </w:rPr>
        <w:t>（4）被责令停产停业、暂扣或者吊销许可证、暂扣或者吊销执照；</w:t>
      </w:r>
    </w:p>
    <w:p w14:paraId="16FE16A4">
      <w:pPr>
        <w:overflowPunct w:val="0"/>
        <w:spacing w:line="560" w:lineRule="exact"/>
        <w:ind w:firstLine="320" w:firstLineChars="100"/>
        <w:rPr>
          <w:rFonts w:ascii="仿宋" w:hAnsi="仿宋" w:eastAsia="仿宋" w:cs="仿宋"/>
          <w:sz w:val="32"/>
          <w:szCs w:val="32"/>
        </w:rPr>
      </w:pPr>
      <w:r>
        <w:rPr>
          <w:rFonts w:hint="eastAsia" w:ascii="仿宋" w:hAnsi="仿宋" w:eastAsia="仿宋" w:cs="仿宋"/>
          <w:sz w:val="32"/>
          <w:szCs w:val="32"/>
        </w:rPr>
        <w:t>（5）进入清算程序，或被宣告破产，或其他丧失履约能力的情形；</w:t>
      </w:r>
    </w:p>
    <w:p w14:paraId="02ACC90B">
      <w:pPr>
        <w:overflowPunct w:val="0"/>
        <w:spacing w:line="560" w:lineRule="exact"/>
        <w:ind w:firstLine="320" w:firstLineChars="100"/>
        <w:rPr>
          <w:rFonts w:ascii="仿宋" w:hAnsi="仿宋" w:eastAsia="仿宋" w:cs="仿宋"/>
          <w:sz w:val="32"/>
          <w:szCs w:val="32"/>
        </w:rPr>
      </w:pPr>
      <w:r>
        <w:rPr>
          <w:rFonts w:hint="eastAsia" w:ascii="仿宋" w:hAnsi="仿宋" w:eastAsia="仿宋" w:cs="仿宋"/>
          <w:sz w:val="32"/>
          <w:szCs w:val="32"/>
        </w:rPr>
        <w:t>（6）在最近三年内发生重大产品质量问题；</w:t>
      </w:r>
    </w:p>
    <w:p w14:paraId="596553F4">
      <w:pPr>
        <w:overflowPunct w:val="0"/>
        <w:spacing w:line="560" w:lineRule="exact"/>
        <w:ind w:firstLine="320" w:firstLineChars="100"/>
        <w:rPr>
          <w:rFonts w:ascii="微软雅黑" w:hAnsi="微软雅黑" w:eastAsia="微软雅黑" w:cs="微软雅黑"/>
          <w:color w:val="000000"/>
          <w:sz w:val="27"/>
          <w:szCs w:val="27"/>
        </w:rPr>
      </w:pPr>
      <w:r>
        <w:rPr>
          <w:rFonts w:hint="eastAsia" w:ascii="仿宋" w:hAnsi="仿宋" w:eastAsia="仿宋" w:cs="仿宋"/>
          <w:sz w:val="32"/>
          <w:szCs w:val="32"/>
        </w:rPr>
        <w:t>（7）法律法规规定的其他情形。</w:t>
      </w:r>
    </w:p>
    <w:p w14:paraId="244024BA">
      <w:pPr>
        <w:overflowPunct w:val="0"/>
        <w:spacing w:line="560" w:lineRule="exact"/>
        <w:ind w:firstLine="321" w:firstLineChars="100"/>
        <w:rPr>
          <w:rFonts w:ascii="仿宋" w:hAnsi="仿宋" w:eastAsia="仿宋" w:cs="仿宋"/>
          <w:sz w:val="32"/>
          <w:szCs w:val="32"/>
        </w:rPr>
      </w:pPr>
      <w:r>
        <w:rPr>
          <w:rFonts w:hint="eastAsia" w:ascii="仿宋" w:hAnsi="仿宋" w:eastAsia="仿宋" w:cs="仿宋"/>
          <w:b/>
          <w:bCs/>
          <w:sz w:val="32"/>
          <w:szCs w:val="32"/>
        </w:rPr>
        <w:t>二、询比采购文件的获取</w:t>
      </w:r>
    </w:p>
    <w:p w14:paraId="6355AE6D">
      <w:pPr>
        <w:overflowPunct w:val="0"/>
        <w:spacing w:line="560" w:lineRule="exact"/>
        <w:ind w:firstLine="320" w:firstLineChars="100"/>
        <w:rPr>
          <w:rFonts w:ascii="仿宋" w:hAnsi="仿宋" w:eastAsia="仿宋" w:cs="仿宋"/>
          <w:sz w:val="32"/>
          <w:szCs w:val="32"/>
        </w:rPr>
      </w:pPr>
      <w:r>
        <w:rPr>
          <w:rFonts w:hint="eastAsia" w:ascii="仿宋" w:hAnsi="仿宋" w:eastAsia="仿宋" w:cs="仿宋"/>
          <w:sz w:val="32"/>
          <w:szCs w:val="32"/>
        </w:rPr>
        <w:t>询比采购文件在陕西锌业有限公司网络询比采购平台（www.sxxyjjpt.com）发布，符合条件的供应商可自行下载采购文件。</w:t>
      </w:r>
    </w:p>
    <w:p w14:paraId="4C25E573">
      <w:pPr>
        <w:overflowPunct w:val="0"/>
        <w:spacing w:line="560" w:lineRule="exact"/>
        <w:ind w:firstLine="321" w:firstLineChars="100"/>
        <w:rPr>
          <w:rFonts w:ascii="仿宋" w:hAnsi="仿宋" w:eastAsia="仿宋" w:cs="仿宋"/>
          <w:b/>
          <w:bCs/>
          <w:sz w:val="32"/>
          <w:szCs w:val="32"/>
        </w:rPr>
      </w:pPr>
      <w:r>
        <w:rPr>
          <w:rFonts w:hint="eastAsia" w:ascii="仿宋" w:hAnsi="仿宋" w:eastAsia="仿宋" w:cs="仿宋"/>
          <w:b/>
          <w:bCs/>
          <w:sz w:val="32"/>
          <w:szCs w:val="32"/>
        </w:rPr>
        <w:t>三、供应商响应</w:t>
      </w:r>
    </w:p>
    <w:p w14:paraId="685CFC19">
      <w:pPr>
        <w:overflowPunct w:val="0"/>
        <w:spacing w:line="560" w:lineRule="exact"/>
        <w:ind w:firstLine="320" w:firstLineChars="100"/>
        <w:rPr>
          <w:rFonts w:ascii="仿宋" w:hAnsi="仿宋" w:eastAsia="仿宋" w:cs="仿宋"/>
          <w:sz w:val="32"/>
          <w:szCs w:val="32"/>
        </w:rPr>
      </w:pPr>
      <w:r>
        <w:rPr>
          <w:rFonts w:hint="eastAsia" w:ascii="仿宋" w:hAnsi="仿宋" w:eastAsia="仿宋" w:cs="仿宋"/>
          <w:sz w:val="32"/>
          <w:szCs w:val="32"/>
        </w:rPr>
        <w:t xml:space="preserve">   （一）响应报价</w:t>
      </w:r>
    </w:p>
    <w:p w14:paraId="3B36FAFE">
      <w:pPr>
        <w:overflowPunct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1.供应商应按“响应文件格式”要求在响应函中进行报价并填写响应文件的分项报价表。</w:t>
      </w:r>
    </w:p>
    <w:p w14:paraId="3020292F">
      <w:pPr>
        <w:pStyle w:val="6"/>
        <w:overflowPunct w:val="0"/>
        <w:spacing w:after="0" w:line="560" w:lineRule="exact"/>
        <w:ind w:left="0" w:leftChars="0" w:firstLine="640" w:firstLineChars="200"/>
        <w:rPr>
          <w:rFonts w:ascii="仿宋" w:hAnsi="仿宋" w:eastAsia="仿宋" w:cs="仿宋"/>
          <w:sz w:val="32"/>
          <w:szCs w:val="32"/>
        </w:rPr>
      </w:pPr>
      <w:r>
        <w:rPr>
          <w:rFonts w:hint="eastAsia" w:ascii="仿宋" w:hAnsi="仿宋" w:eastAsia="仿宋" w:cs="仿宋"/>
          <w:sz w:val="32"/>
          <w:szCs w:val="32"/>
        </w:rPr>
        <w:t>2.报价包括设计费、制造费、运输费、税费、指导安装调试费以及采购人指定地点全包价。该价款不因原料、材料、劳务、能源等市场价格的变动而变动。</w:t>
      </w:r>
    </w:p>
    <w:p w14:paraId="18545178">
      <w:pPr>
        <w:pStyle w:val="6"/>
        <w:overflowPunct w:val="0"/>
        <w:spacing w:after="0" w:line="560" w:lineRule="exact"/>
        <w:ind w:left="0" w:leftChars="0" w:firstLine="640" w:firstLineChars="200"/>
        <w:rPr>
          <w:rFonts w:ascii="仿宋" w:hAnsi="仿宋" w:eastAsia="仿宋" w:cs="仿宋"/>
          <w:sz w:val="32"/>
          <w:szCs w:val="32"/>
        </w:rPr>
      </w:pPr>
      <w:r>
        <w:rPr>
          <w:rFonts w:hint="eastAsia" w:ascii="仿宋" w:hAnsi="仿宋" w:eastAsia="仿宋" w:cs="仿宋"/>
          <w:sz w:val="32"/>
          <w:szCs w:val="32"/>
        </w:rPr>
        <w:t>3.供应商在响应文件递交截止时间前修改响应函中的响应报价总额，应同时修</w:t>
      </w:r>
      <w:bookmarkStart w:id="12" w:name="_Toc384308223"/>
      <w:bookmarkStart w:id="13" w:name="_Toc152045542"/>
      <w:bookmarkStart w:id="14" w:name="_Toc369531529"/>
      <w:bookmarkStart w:id="15" w:name="_Toc144974510"/>
      <w:bookmarkStart w:id="16" w:name="_Toc247527567"/>
      <w:bookmarkStart w:id="17" w:name="_Toc361508598"/>
      <w:bookmarkStart w:id="18" w:name="_Toc25772"/>
      <w:bookmarkStart w:id="19" w:name="_Toc152042318"/>
      <w:bookmarkStart w:id="20" w:name="_Toc300834963"/>
      <w:bookmarkStart w:id="21" w:name="_Toc352691486"/>
      <w:bookmarkStart w:id="22" w:name="_Toc247513966"/>
      <w:r>
        <w:rPr>
          <w:rFonts w:hint="eastAsia" w:ascii="仿宋" w:hAnsi="仿宋" w:eastAsia="仿宋" w:cs="仿宋"/>
          <w:sz w:val="32"/>
          <w:szCs w:val="32"/>
        </w:rPr>
        <w:t>改响应文件</w:t>
      </w:r>
      <w:bookmarkEnd w:id="12"/>
      <w:bookmarkEnd w:id="13"/>
      <w:bookmarkEnd w:id="14"/>
      <w:bookmarkEnd w:id="15"/>
      <w:bookmarkEnd w:id="16"/>
      <w:bookmarkEnd w:id="17"/>
      <w:bookmarkEnd w:id="18"/>
      <w:bookmarkEnd w:id="19"/>
      <w:bookmarkEnd w:id="20"/>
      <w:bookmarkEnd w:id="21"/>
      <w:bookmarkEnd w:id="22"/>
      <w:bookmarkStart w:id="23" w:name="_Toc144974511"/>
      <w:bookmarkStart w:id="24" w:name="_Toc384308224"/>
      <w:bookmarkStart w:id="25" w:name="_Toc247513967"/>
      <w:bookmarkStart w:id="26" w:name="_Toc15242"/>
      <w:bookmarkStart w:id="27" w:name="_Toc152042319"/>
      <w:bookmarkStart w:id="28" w:name="_Toc369531530"/>
      <w:bookmarkStart w:id="29" w:name="_Toc300834964"/>
      <w:bookmarkStart w:id="30" w:name="_Toc247527568"/>
      <w:bookmarkStart w:id="31" w:name="_Toc152045543"/>
      <w:bookmarkStart w:id="32" w:name="_Toc361508599"/>
      <w:bookmarkStart w:id="33" w:name="_Toc352691487"/>
      <w:r>
        <w:rPr>
          <w:rFonts w:hint="eastAsia" w:ascii="仿宋" w:hAnsi="仿宋" w:eastAsia="仿宋" w:cs="仿宋"/>
          <w:sz w:val="32"/>
          <w:szCs w:val="32"/>
        </w:rPr>
        <w:t>“分项报价表”中的相应报价。</w:t>
      </w:r>
      <w:bookmarkEnd w:id="23"/>
      <w:bookmarkEnd w:id="24"/>
      <w:bookmarkEnd w:id="25"/>
      <w:bookmarkEnd w:id="26"/>
      <w:bookmarkEnd w:id="27"/>
      <w:bookmarkEnd w:id="28"/>
      <w:bookmarkEnd w:id="29"/>
      <w:bookmarkEnd w:id="30"/>
      <w:bookmarkEnd w:id="31"/>
      <w:bookmarkEnd w:id="32"/>
      <w:bookmarkEnd w:id="33"/>
    </w:p>
    <w:p w14:paraId="69904D06">
      <w:pPr>
        <w:overflowPunct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4.响应报价为各分项报价金额之和，响应报价与分项报价的合价不一致的，应以各分项合价累计数为准，修正响应报价。</w:t>
      </w:r>
    </w:p>
    <w:p w14:paraId="71898227">
      <w:pPr>
        <w:overflowPunct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5.成交供应商的响应报价是成交、签订合同及合同执行过程中的依据，不得进行实质性变动。</w:t>
      </w:r>
    </w:p>
    <w:p w14:paraId="76797931">
      <w:pPr>
        <w:pStyle w:val="4"/>
        <w:keepNext w:val="0"/>
        <w:keepLines w:val="0"/>
        <w:overflowPunct w:val="0"/>
        <w:spacing w:before="0" w:after="0" w:line="560" w:lineRule="exact"/>
        <w:ind w:firstLine="320" w:firstLineChars="100"/>
        <w:rPr>
          <w:rFonts w:ascii="仿宋" w:hAnsi="仿宋" w:eastAsia="仿宋" w:cs="仿宋"/>
          <w:sz w:val="32"/>
          <w:szCs w:val="32"/>
        </w:rPr>
      </w:pPr>
      <w:r>
        <w:rPr>
          <w:rFonts w:hint="eastAsia" w:ascii="仿宋" w:hAnsi="仿宋" w:eastAsia="仿宋" w:cs="仿宋"/>
          <w:sz w:val="32"/>
          <w:szCs w:val="32"/>
        </w:rPr>
        <w:t>（二）响应有效期</w:t>
      </w:r>
    </w:p>
    <w:p w14:paraId="1E5228DB">
      <w:pPr>
        <w:overflowPunct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1.响应有效期从提交响应文件截止之日起算60天。</w:t>
      </w:r>
    </w:p>
    <w:p w14:paraId="1C2E8A78">
      <w:pPr>
        <w:overflowPunct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2.在响应有效期内，供应商撤销响应文件的，应承担询比采购文件和法律规定的责任。</w:t>
      </w:r>
    </w:p>
    <w:p w14:paraId="513C2601">
      <w:pPr>
        <w:pStyle w:val="4"/>
        <w:keepNext w:val="0"/>
        <w:keepLines w:val="0"/>
        <w:overflowPunct w:val="0"/>
        <w:spacing w:before="0" w:after="0" w:line="560" w:lineRule="exact"/>
        <w:ind w:firstLine="320" w:firstLineChars="100"/>
        <w:rPr>
          <w:rFonts w:ascii="仿宋" w:hAnsi="仿宋" w:eastAsia="仿宋" w:cs="仿宋"/>
          <w:sz w:val="32"/>
          <w:szCs w:val="32"/>
        </w:rPr>
      </w:pPr>
      <w:r>
        <w:rPr>
          <w:rFonts w:hint="eastAsia" w:ascii="仿宋" w:hAnsi="仿宋" w:eastAsia="仿宋" w:cs="仿宋"/>
          <w:sz w:val="32"/>
          <w:szCs w:val="32"/>
        </w:rPr>
        <w:t>（三）响应保证金</w:t>
      </w:r>
    </w:p>
    <w:p w14:paraId="03A8983D">
      <w:pPr>
        <w:overflowPunct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1.供应商在递交响应文件的同时，应按规定的响应保证金格式递交响应保证金2万元，并作为其响应文件的组成部分。</w:t>
      </w:r>
    </w:p>
    <w:p w14:paraId="68E77B03">
      <w:pPr>
        <w:overflowPunct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保证金支付账户如下：</w:t>
      </w:r>
    </w:p>
    <w:p w14:paraId="6FE750BD">
      <w:pPr>
        <w:overflowPunct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收款人：陕西锌业有限公司</w:t>
      </w:r>
    </w:p>
    <w:p w14:paraId="0EB40408">
      <w:pPr>
        <w:overflowPunct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账号：26805701040010332</w:t>
      </w:r>
    </w:p>
    <w:p w14:paraId="00EF95D8">
      <w:pPr>
        <w:overflowPunct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开户行：中国农业银行商洛商州区支行</w:t>
      </w:r>
    </w:p>
    <w:p w14:paraId="400A14FF">
      <w:pPr>
        <w:overflowPunct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2.响应保证金的形式：转账、保函、支票、与采购人签订保证金协议等任何一种。供应商以转账或者支票形式提交的响应保证金，应当由供应商账户转出。</w:t>
      </w:r>
    </w:p>
    <w:p w14:paraId="6C3C78FD">
      <w:pPr>
        <w:overflowPunct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3.响应保证金必须在响应文件递交截止时间前到达指定帐户。以保函形式缴纳保证金其保函须由银行或具有出具保函资格的单位出具，并于响应文件的开启现场递交保函原件，响应文件中附保函复印件。</w:t>
      </w:r>
    </w:p>
    <w:p w14:paraId="725F9BB8">
      <w:pPr>
        <w:overflowPunct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4.响应保证金有效期与响应有效期一致。</w:t>
      </w:r>
    </w:p>
    <w:p w14:paraId="61DAA302">
      <w:pPr>
        <w:overflowPunct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5.供应商不按</w:t>
      </w:r>
      <w:bookmarkStart w:id="34" w:name="_Toc29025"/>
      <w:bookmarkStart w:id="35" w:name="_Toc352691490"/>
      <w:bookmarkStart w:id="36" w:name="_Toc384308227"/>
      <w:bookmarkStart w:id="37" w:name="_Toc369531533"/>
      <w:bookmarkStart w:id="38" w:name="_Toc361508602"/>
      <w:r>
        <w:rPr>
          <w:rFonts w:hint="eastAsia" w:ascii="仿宋" w:hAnsi="仿宋" w:eastAsia="仿宋" w:cs="仿宋"/>
          <w:sz w:val="32"/>
          <w:szCs w:val="32"/>
        </w:rPr>
        <w:t>前述要求提交响应保证金的，</w:t>
      </w:r>
      <w:bookmarkEnd w:id="34"/>
      <w:bookmarkEnd w:id="35"/>
      <w:bookmarkEnd w:id="36"/>
      <w:bookmarkEnd w:id="37"/>
      <w:bookmarkEnd w:id="38"/>
      <w:r>
        <w:rPr>
          <w:rFonts w:hint="eastAsia" w:ascii="仿宋" w:hAnsi="仿宋" w:eastAsia="仿宋" w:cs="仿宋"/>
          <w:sz w:val="32"/>
          <w:szCs w:val="32"/>
        </w:rPr>
        <w:t>评审小组将否决其响应文件。</w:t>
      </w:r>
    </w:p>
    <w:p w14:paraId="23E02362">
      <w:pPr>
        <w:overflowPunct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6.采购人最迟应当在与成交人</w:t>
      </w:r>
      <w:bookmarkStart w:id="39" w:name="_Toc369531534"/>
      <w:bookmarkStart w:id="40" w:name="_Toc247513970"/>
      <w:bookmarkStart w:id="41" w:name="_Toc14751"/>
      <w:bookmarkStart w:id="42" w:name="_Toc152045546"/>
      <w:bookmarkStart w:id="43" w:name="_Toc384308228"/>
      <w:bookmarkStart w:id="44" w:name="_Toc300834967"/>
      <w:bookmarkStart w:id="45" w:name="_Toc352691491"/>
      <w:bookmarkStart w:id="46" w:name="_Toc361508603"/>
      <w:bookmarkStart w:id="47" w:name="_Toc144974514"/>
      <w:bookmarkStart w:id="48" w:name="_Toc247527571"/>
      <w:bookmarkStart w:id="49" w:name="_Toc152042322"/>
      <w:r>
        <w:rPr>
          <w:rFonts w:hint="eastAsia" w:ascii="仿宋" w:hAnsi="仿宋" w:eastAsia="仿宋" w:cs="仿宋"/>
          <w:sz w:val="32"/>
          <w:szCs w:val="32"/>
        </w:rPr>
        <w:t>签订合同后7日</w:t>
      </w:r>
      <w:bookmarkEnd w:id="39"/>
      <w:bookmarkEnd w:id="40"/>
      <w:bookmarkEnd w:id="41"/>
      <w:bookmarkEnd w:id="42"/>
      <w:bookmarkEnd w:id="43"/>
      <w:bookmarkEnd w:id="44"/>
      <w:bookmarkEnd w:id="45"/>
      <w:bookmarkEnd w:id="46"/>
      <w:bookmarkEnd w:id="47"/>
      <w:bookmarkEnd w:id="48"/>
      <w:bookmarkEnd w:id="49"/>
      <w:r>
        <w:rPr>
          <w:rFonts w:hint="eastAsia" w:ascii="仿宋" w:hAnsi="仿宋" w:eastAsia="仿宋" w:cs="仿宋"/>
          <w:sz w:val="32"/>
          <w:szCs w:val="32"/>
        </w:rPr>
        <w:t>内</w:t>
      </w:r>
      <w:bookmarkStart w:id="50" w:name="_Toc144974515"/>
      <w:bookmarkStart w:id="51" w:name="_Toc152045547"/>
      <w:bookmarkStart w:id="52" w:name="_Toc17952"/>
      <w:bookmarkStart w:id="53" w:name="_Toc384308229"/>
      <w:bookmarkStart w:id="54" w:name="_Toc300834968"/>
      <w:bookmarkStart w:id="55" w:name="_Toc247527572"/>
      <w:bookmarkStart w:id="56" w:name="_Toc247513971"/>
      <w:bookmarkStart w:id="57" w:name="_Toc352691492"/>
      <w:bookmarkStart w:id="58" w:name="_Toc152042323"/>
      <w:bookmarkStart w:id="59" w:name="_Toc369531535"/>
      <w:bookmarkStart w:id="60" w:name="_Toc361508604"/>
      <w:r>
        <w:rPr>
          <w:rFonts w:hint="eastAsia" w:ascii="仿宋" w:hAnsi="仿宋" w:eastAsia="仿宋" w:cs="仿宋"/>
          <w:sz w:val="32"/>
          <w:szCs w:val="32"/>
        </w:rPr>
        <w:t>，向未成交的供应商和</w:t>
      </w:r>
      <w:bookmarkEnd w:id="50"/>
      <w:bookmarkEnd w:id="51"/>
      <w:bookmarkEnd w:id="52"/>
      <w:bookmarkEnd w:id="53"/>
      <w:bookmarkEnd w:id="54"/>
      <w:bookmarkEnd w:id="55"/>
      <w:bookmarkEnd w:id="56"/>
      <w:bookmarkEnd w:id="57"/>
      <w:bookmarkEnd w:id="58"/>
      <w:bookmarkEnd w:id="59"/>
      <w:bookmarkEnd w:id="60"/>
      <w:r>
        <w:rPr>
          <w:rFonts w:hint="eastAsia" w:ascii="仿宋" w:hAnsi="仿宋" w:eastAsia="仿宋" w:cs="仿宋"/>
          <w:sz w:val="32"/>
          <w:szCs w:val="32"/>
        </w:rPr>
        <w:t>成交人无息退还响应保证金。</w:t>
      </w:r>
    </w:p>
    <w:p w14:paraId="1BA18A44">
      <w:pPr>
        <w:overflowPunct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7.有下列情形之一的，响应保证金将不予退还：</w:t>
      </w:r>
    </w:p>
    <w:p w14:paraId="225B039D">
      <w:pPr>
        <w:overflowPunct w:val="0"/>
        <w:spacing w:line="560" w:lineRule="exact"/>
        <w:ind w:firstLine="320" w:firstLineChars="100"/>
        <w:rPr>
          <w:rFonts w:ascii="仿宋" w:hAnsi="仿宋" w:eastAsia="仿宋" w:cs="仿宋"/>
          <w:sz w:val="32"/>
          <w:szCs w:val="32"/>
        </w:rPr>
      </w:pPr>
      <w:r>
        <w:rPr>
          <w:rFonts w:hint="eastAsia" w:ascii="仿宋" w:hAnsi="仿宋" w:eastAsia="仿宋" w:cs="仿宋"/>
          <w:sz w:val="32"/>
          <w:szCs w:val="32"/>
        </w:rPr>
        <w:t>（1）供应商在响应有效期内撤销响应文件；</w:t>
      </w:r>
    </w:p>
    <w:p w14:paraId="308EFE85">
      <w:pPr>
        <w:overflowPunct w:val="0"/>
        <w:spacing w:line="560" w:lineRule="exact"/>
        <w:ind w:firstLine="320" w:firstLineChars="100"/>
        <w:rPr>
          <w:rFonts w:ascii="仿宋" w:hAnsi="仿宋" w:eastAsia="仿宋" w:cs="仿宋"/>
          <w:sz w:val="32"/>
          <w:szCs w:val="32"/>
        </w:rPr>
      </w:pPr>
      <w:r>
        <w:rPr>
          <w:rFonts w:hint="eastAsia" w:ascii="仿宋" w:hAnsi="仿宋" w:eastAsia="仿宋" w:cs="仿宋"/>
          <w:sz w:val="32"/>
          <w:szCs w:val="32"/>
        </w:rPr>
        <w:t>（2）成交人在收到成交通知后，成交人放弃成交项目的，无正当理由不与采购人订立合同的，在签订合同时向采购人提出附加条件或者更改合同实质性内容的。</w:t>
      </w:r>
    </w:p>
    <w:p w14:paraId="03D4191C">
      <w:pPr>
        <w:pStyle w:val="4"/>
        <w:keepNext w:val="0"/>
        <w:keepLines w:val="0"/>
        <w:overflowPunct w:val="0"/>
        <w:spacing w:before="0" w:after="0" w:line="560" w:lineRule="exact"/>
        <w:ind w:firstLine="320" w:firstLineChars="100"/>
        <w:rPr>
          <w:rFonts w:ascii="仿宋" w:hAnsi="仿宋" w:eastAsia="仿宋" w:cs="仿宋"/>
          <w:sz w:val="32"/>
          <w:szCs w:val="32"/>
        </w:rPr>
      </w:pPr>
      <w:bookmarkStart w:id="61" w:name="_Toc33795794"/>
      <w:bookmarkStart w:id="62" w:name="_Toc21871"/>
      <w:bookmarkStart w:id="63" w:name="_Toc24514"/>
      <w:bookmarkStart w:id="64" w:name="_Toc28216"/>
      <w:r>
        <w:rPr>
          <w:rFonts w:hint="eastAsia" w:ascii="仿宋" w:hAnsi="仿宋" w:eastAsia="仿宋" w:cs="仿宋"/>
          <w:sz w:val="32"/>
          <w:szCs w:val="32"/>
        </w:rPr>
        <w:t>（四）资格审查资料</w:t>
      </w:r>
      <w:bookmarkEnd w:id="61"/>
      <w:bookmarkEnd w:id="62"/>
      <w:bookmarkEnd w:id="63"/>
      <w:bookmarkEnd w:id="64"/>
    </w:p>
    <w:p w14:paraId="04D97B72">
      <w:pPr>
        <w:pStyle w:val="4"/>
        <w:keepNext w:val="0"/>
        <w:keepLines w:val="0"/>
        <w:overflowPunct w:val="0"/>
        <w:spacing w:before="0" w:after="0" w:line="560" w:lineRule="exact"/>
        <w:ind w:firstLine="640" w:firstLineChars="200"/>
        <w:rPr>
          <w:rFonts w:ascii="仿宋" w:hAnsi="仿宋" w:eastAsia="仿宋" w:cs="仿宋"/>
          <w:sz w:val="32"/>
          <w:szCs w:val="32"/>
        </w:rPr>
      </w:pPr>
      <w:r>
        <w:rPr>
          <w:rFonts w:hint="eastAsia" w:ascii="仿宋" w:hAnsi="仿宋" w:eastAsia="仿宋" w:cs="仿宋"/>
          <w:sz w:val="32"/>
          <w:szCs w:val="32"/>
        </w:rPr>
        <w:t>供应商应按下列规定提供相关的证明材料，以证明其满足资质、财务、业绩、信誉要求。</w:t>
      </w:r>
    </w:p>
    <w:p w14:paraId="0F96E971">
      <w:pPr>
        <w:overflowPunct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1.“供应商基本情况表”应附供应商资格或者资质证书副本等材料的复印件，供应商为企业的，应提交营业执照复印件；供应商为依法允许经营的事业单位的，应提交事业单位法人证书和组织机构代码证的复印件。</w:t>
      </w:r>
    </w:p>
    <w:p w14:paraId="28A46350">
      <w:pPr>
        <w:overflowPunct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2.“近三年完成的类似项目情况表”应附从2022年</w:t>
      </w:r>
      <w:r>
        <w:rPr>
          <w:rFonts w:hint="eastAsia" w:ascii="仿宋" w:hAnsi="仿宋" w:eastAsia="仿宋" w:cs="仿宋"/>
          <w:sz w:val="32"/>
          <w:szCs w:val="32"/>
          <w:lang w:val="en-US" w:eastAsia="zh-CN"/>
        </w:rPr>
        <w:t>8</w:t>
      </w:r>
      <w:r>
        <w:rPr>
          <w:rFonts w:hint="eastAsia" w:ascii="仿宋" w:hAnsi="仿宋" w:eastAsia="仿宋" w:cs="仿宋"/>
          <w:sz w:val="32"/>
          <w:szCs w:val="32"/>
        </w:rPr>
        <w:t>月至今的合同复印件。</w:t>
      </w:r>
    </w:p>
    <w:p w14:paraId="2FC786A3">
      <w:pPr>
        <w:overflowPunct w:val="0"/>
        <w:spacing w:line="560" w:lineRule="exact"/>
        <w:ind w:firstLine="640" w:firstLineChars="200"/>
        <w:rPr>
          <w:rFonts w:ascii="微软雅黑" w:hAnsi="微软雅黑" w:eastAsia="微软雅黑" w:cs="微软雅黑"/>
          <w:color w:val="000000"/>
          <w:sz w:val="27"/>
          <w:szCs w:val="27"/>
        </w:rPr>
      </w:pPr>
      <w:r>
        <w:rPr>
          <w:rFonts w:hint="eastAsia" w:ascii="仿宋" w:hAnsi="仿宋" w:eastAsia="仿宋" w:cs="仿宋"/>
          <w:sz w:val="32"/>
          <w:szCs w:val="32"/>
        </w:rPr>
        <w:t>3.“近年发生的诉讼及仲裁情况”应说明相关情况。</w:t>
      </w:r>
    </w:p>
    <w:p w14:paraId="0B0014CE">
      <w:pPr>
        <w:pStyle w:val="15"/>
        <w:spacing w:before="0" w:after="0" w:line="560" w:lineRule="exact"/>
        <w:ind w:firstLine="647" w:firstLineChars="200"/>
        <w:rPr>
          <w:rFonts w:ascii="仿宋" w:hAnsi="仿宋" w:eastAsia="仿宋" w:cs="仿宋"/>
          <w:b/>
          <w:bCs/>
          <w:spacing w:val="1"/>
          <w:sz w:val="32"/>
          <w:szCs w:val="32"/>
          <w:lang w:eastAsia="zh-CN"/>
        </w:rPr>
      </w:pPr>
      <w:r>
        <w:rPr>
          <w:rFonts w:hint="eastAsia" w:ascii="仿宋" w:hAnsi="仿宋" w:eastAsia="仿宋" w:cs="仿宋"/>
          <w:b/>
          <w:bCs/>
          <w:spacing w:val="1"/>
          <w:sz w:val="32"/>
          <w:szCs w:val="32"/>
          <w:lang w:eastAsia="zh-CN"/>
        </w:rPr>
        <w:t>四、响应文件的提交</w:t>
      </w:r>
    </w:p>
    <w:p w14:paraId="54410485">
      <w:pPr>
        <w:pStyle w:val="15"/>
        <w:spacing w:before="0" w:after="0" w:line="560" w:lineRule="exact"/>
        <w:ind w:firstLine="644" w:firstLineChars="200"/>
        <w:rPr>
          <w:rFonts w:ascii="仿宋" w:hAnsi="仿宋" w:eastAsia="仿宋" w:cs="仿宋"/>
          <w:spacing w:val="1"/>
          <w:sz w:val="32"/>
          <w:szCs w:val="32"/>
          <w:lang w:eastAsia="zh-CN"/>
        </w:rPr>
      </w:pPr>
      <w:r>
        <w:rPr>
          <w:rFonts w:hint="eastAsia" w:ascii="仿宋" w:hAnsi="仿宋" w:eastAsia="仿宋" w:cs="仿宋"/>
          <w:spacing w:val="1"/>
          <w:sz w:val="32"/>
          <w:szCs w:val="32"/>
          <w:lang w:eastAsia="zh-CN"/>
        </w:rPr>
        <w:t>（一）响应文件提交截止时间：2025年</w:t>
      </w:r>
      <w:r>
        <w:rPr>
          <w:rFonts w:hint="eastAsia" w:ascii="仿宋" w:hAnsi="仿宋" w:eastAsia="仿宋" w:cs="仿宋"/>
          <w:spacing w:val="1"/>
          <w:sz w:val="32"/>
          <w:szCs w:val="32"/>
          <w:lang w:val="en-US" w:eastAsia="zh-CN"/>
        </w:rPr>
        <w:t xml:space="preserve"> 9</w:t>
      </w:r>
      <w:r>
        <w:rPr>
          <w:rFonts w:hint="eastAsia" w:ascii="仿宋" w:hAnsi="仿宋" w:eastAsia="仿宋" w:cs="仿宋"/>
          <w:spacing w:val="1"/>
          <w:sz w:val="32"/>
          <w:szCs w:val="32"/>
          <w:lang w:eastAsia="zh-CN"/>
        </w:rPr>
        <w:t>月</w:t>
      </w:r>
      <w:r>
        <w:rPr>
          <w:rFonts w:hint="eastAsia" w:ascii="仿宋" w:hAnsi="仿宋" w:eastAsia="仿宋" w:cs="仿宋"/>
          <w:spacing w:val="1"/>
          <w:sz w:val="32"/>
          <w:szCs w:val="32"/>
          <w:lang w:val="en-US" w:eastAsia="zh-CN"/>
        </w:rPr>
        <w:t>5</w:t>
      </w:r>
      <w:r>
        <w:rPr>
          <w:rFonts w:hint="eastAsia" w:ascii="仿宋" w:hAnsi="仿宋" w:eastAsia="仿宋" w:cs="仿宋"/>
          <w:spacing w:val="1"/>
          <w:sz w:val="32"/>
          <w:szCs w:val="32"/>
          <w:lang w:eastAsia="zh-CN"/>
        </w:rPr>
        <w:t xml:space="preserve"> 日11时0分（北京时间）；</w:t>
      </w:r>
    </w:p>
    <w:p w14:paraId="5743FE52">
      <w:pPr>
        <w:pStyle w:val="15"/>
        <w:spacing w:before="0" w:after="0" w:line="560" w:lineRule="exact"/>
        <w:ind w:firstLine="644" w:firstLineChars="200"/>
        <w:rPr>
          <w:rFonts w:ascii="仿宋" w:hAnsi="仿宋" w:eastAsia="仿宋" w:cs="仿宋"/>
          <w:b/>
          <w:bCs/>
          <w:sz w:val="32"/>
          <w:szCs w:val="32"/>
          <w:lang w:eastAsia="zh-CN"/>
        </w:rPr>
      </w:pPr>
      <w:r>
        <w:rPr>
          <w:rFonts w:hint="eastAsia" w:ascii="仿宋" w:hAnsi="仿宋" w:eastAsia="仿宋" w:cs="仿宋"/>
          <w:spacing w:val="1"/>
          <w:sz w:val="32"/>
          <w:szCs w:val="32"/>
          <w:lang w:eastAsia="zh-CN"/>
        </w:rPr>
        <w:t>（二）提交方法：</w:t>
      </w:r>
      <w:r>
        <w:rPr>
          <w:rFonts w:hint="eastAsia" w:ascii="仿宋" w:hAnsi="仿宋" w:eastAsia="仿宋" w:cs="仿宋"/>
          <w:b/>
          <w:bCs/>
          <w:spacing w:val="1"/>
          <w:sz w:val="32"/>
          <w:szCs w:val="32"/>
          <w:lang w:val="en-US" w:eastAsia="zh-CN"/>
        </w:rPr>
        <w:t>发送至采购人指定邮箱1930635@qq.com</w:t>
      </w:r>
      <w:r>
        <w:rPr>
          <w:rFonts w:hint="eastAsia" w:ascii="仿宋" w:hAnsi="仿宋" w:eastAsia="仿宋" w:cs="仿宋"/>
          <w:b/>
          <w:bCs/>
          <w:spacing w:val="1"/>
          <w:sz w:val="32"/>
          <w:szCs w:val="32"/>
          <w:lang w:eastAsia="zh-CN"/>
        </w:rPr>
        <w:t>。</w:t>
      </w:r>
      <w:bookmarkStart w:id="142" w:name="_GoBack"/>
      <w:bookmarkEnd w:id="142"/>
    </w:p>
    <w:p w14:paraId="2F3AABBA">
      <w:pPr>
        <w:pStyle w:val="9"/>
        <w:keepNext w:val="0"/>
        <w:keepLines w:val="0"/>
        <w:pageBreakBefore w:val="0"/>
        <w:widowControl/>
        <w:suppressLineNumbers w:val="0"/>
        <w:kinsoku/>
        <w:wordWrap/>
        <w:overflowPunct/>
        <w:autoSpaceDE/>
        <w:autoSpaceDN/>
        <w:bidi w:val="0"/>
        <w:adjustRightInd/>
        <w:snapToGrid/>
        <w:spacing w:before="0" w:beforeAutospacing="0" w:after="0" w:afterAutospacing="0" w:line="520" w:lineRule="exact"/>
        <w:ind w:left="0" w:firstLine="645"/>
        <w:textAlignment w:val="auto"/>
        <w:rPr>
          <w:rFonts w:hint="default" w:ascii="仿宋" w:hAnsi="仿宋" w:eastAsia="仿宋" w:cs="仿宋"/>
          <w:color w:val="000000"/>
          <w:sz w:val="32"/>
          <w:szCs w:val="32"/>
          <w:lang w:val="en-US"/>
        </w:rPr>
      </w:pPr>
      <w:r>
        <w:rPr>
          <w:rFonts w:hint="eastAsia" w:ascii="仿宋" w:hAnsi="仿宋" w:eastAsia="仿宋" w:cs="仿宋"/>
          <w:i w:val="0"/>
          <w:iCs w:val="0"/>
          <w:caps w:val="0"/>
          <w:color w:val="000000"/>
          <w:spacing w:val="0"/>
          <w:sz w:val="32"/>
          <w:szCs w:val="32"/>
          <w:lang w:val="en-US" w:eastAsia="zh-CN"/>
        </w:rPr>
        <w:t>（三）</w:t>
      </w:r>
      <w:r>
        <w:rPr>
          <w:rFonts w:hint="eastAsia" w:ascii="仿宋" w:hAnsi="仿宋" w:eastAsia="仿宋" w:cs="仿宋"/>
          <w:i w:val="0"/>
          <w:iCs w:val="0"/>
          <w:caps w:val="0"/>
          <w:color w:val="000000"/>
          <w:spacing w:val="0"/>
          <w:sz w:val="32"/>
          <w:szCs w:val="32"/>
        </w:rPr>
        <w:t>逾期</w:t>
      </w:r>
      <w:r>
        <w:rPr>
          <w:rFonts w:hint="eastAsia" w:ascii="仿宋" w:hAnsi="仿宋" w:eastAsia="仿宋" w:cs="仿宋"/>
          <w:i w:val="0"/>
          <w:iCs w:val="0"/>
          <w:caps w:val="0"/>
          <w:color w:val="000000"/>
          <w:spacing w:val="0"/>
          <w:sz w:val="32"/>
          <w:szCs w:val="32"/>
          <w:lang w:val="en-US" w:eastAsia="zh-CN"/>
        </w:rPr>
        <w:t>未发送到指定邮箱</w:t>
      </w:r>
      <w:r>
        <w:rPr>
          <w:rFonts w:hint="eastAsia" w:ascii="仿宋" w:hAnsi="仿宋" w:eastAsia="仿宋" w:cs="仿宋"/>
          <w:i w:val="0"/>
          <w:iCs w:val="0"/>
          <w:caps w:val="0"/>
          <w:color w:val="000000"/>
          <w:spacing w:val="0"/>
          <w:sz w:val="32"/>
          <w:szCs w:val="32"/>
        </w:rPr>
        <w:t>的询比采购文件，询比采购人不予受理</w:t>
      </w:r>
      <w:r>
        <w:rPr>
          <w:rFonts w:hint="eastAsia" w:ascii="仿宋" w:hAnsi="仿宋" w:eastAsia="仿宋" w:cs="仿宋"/>
          <w:b/>
          <w:bCs/>
          <w:i w:val="0"/>
          <w:iCs w:val="0"/>
          <w:caps w:val="0"/>
          <w:color w:val="000000"/>
          <w:spacing w:val="0"/>
          <w:sz w:val="32"/>
          <w:szCs w:val="32"/>
          <w:lang w:val="en-US" w:eastAsia="zh-CN"/>
        </w:rPr>
        <w:t>。</w:t>
      </w:r>
    </w:p>
    <w:p w14:paraId="55541E72">
      <w:pPr>
        <w:pStyle w:val="9"/>
        <w:widowControl/>
        <w:spacing w:beforeAutospacing="0" w:afterAutospacing="0" w:line="560" w:lineRule="exact"/>
        <w:ind w:firstLine="645"/>
        <w:rPr>
          <w:rFonts w:ascii="仿宋" w:hAnsi="仿宋" w:eastAsia="仿宋" w:cs="仿宋"/>
          <w:szCs w:val="32"/>
        </w:rPr>
      </w:pPr>
      <w:r>
        <w:rPr>
          <w:rStyle w:val="13"/>
          <w:rFonts w:hint="eastAsia" w:ascii="仿宋" w:hAnsi="仿宋" w:eastAsia="仿宋" w:cs="仿宋"/>
          <w:color w:val="000000"/>
          <w:sz w:val="32"/>
          <w:szCs w:val="32"/>
        </w:rPr>
        <w:t>五、响应文件的</w:t>
      </w:r>
      <w:r>
        <w:rPr>
          <w:rFonts w:hint="eastAsia" w:ascii="仿宋" w:hAnsi="仿宋" w:eastAsia="仿宋" w:cs="仿宋"/>
          <w:b/>
          <w:bCs/>
          <w:sz w:val="32"/>
          <w:szCs w:val="32"/>
        </w:rPr>
        <w:t>评审</w:t>
      </w:r>
    </w:p>
    <w:p w14:paraId="7AD8EBE5">
      <w:pPr>
        <w:overflowPunct w:val="0"/>
        <w:spacing w:line="560" w:lineRule="exact"/>
        <w:ind w:firstLine="640" w:firstLineChars="200"/>
        <w:rPr>
          <w:rFonts w:ascii="仿宋" w:hAnsi="仿宋" w:eastAsia="仿宋" w:cs="仿宋"/>
          <w:sz w:val="32"/>
          <w:szCs w:val="32"/>
        </w:rPr>
      </w:pPr>
      <w:bookmarkStart w:id="65" w:name="_Toc8518"/>
      <w:bookmarkStart w:id="66" w:name="_Toc33795807"/>
      <w:bookmarkStart w:id="67" w:name="_Toc9481"/>
      <w:r>
        <w:rPr>
          <w:rFonts w:hint="eastAsia" w:ascii="仿宋" w:hAnsi="仿宋" w:eastAsia="仿宋" w:cs="仿宋"/>
          <w:sz w:val="32"/>
          <w:szCs w:val="32"/>
        </w:rPr>
        <w:t>本项目评审采用综合评估法，详见附表。</w:t>
      </w:r>
    </w:p>
    <w:p w14:paraId="5CA71778">
      <w:pPr>
        <w:pStyle w:val="3"/>
        <w:keepNext w:val="0"/>
        <w:keepLines w:val="0"/>
        <w:overflowPunct w:val="0"/>
        <w:spacing w:before="0" w:after="0" w:line="560" w:lineRule="exact"/>
        <w:ind w:firstLine="643" w:firstLineChars="200"/>
        <w:rPr>
          <w:rFonts w:ascii="仿宋" w:hAnsi="仿宋" w:eastAsia="仿宋" w:cs="仿宋"/>
          <w:szCs w:val="32"/>
        </w:rPr>
      </w:pPr>
      <w:r>
        <w:rPr>
          <w:rFonts w:hint="eastAsia" w:ascii="仿宋" w:hAnsi="仿宋" w:eastAsia="仿宋" w:cs="仿宋"/>
          <w:szCs w:val="32"/>
        </w:rPr>
        <w:t>六、合同授予</w:t>
      </w:r>
      <w:bookmarkEnd w:id="65"/>
      <w:bookmarkEnd w:id="66"/>
      <w:bookmarkEnd w:id="67"/>
    </w:p>
    <w:p w14:paraId="707247BD">
      <w:pPr>
        <w:pStyle w:val="4"/>
        <w:keepNext w:val="0"/>
        <w:keepLines w:val="0"/>
        <w:overflowPunct w:val="0"/>
        <w:spacing w:before="0" w:after="0" w:line="560" w:lineRule="exact"/>
        <w:ind w:firstLine="320" w:firstLineChars="100"/>
        <w:rPr>
          <w:rFonts w:ascii="仿宋" w:hAnsi="仿宋" w:eastAsia="仿宋" w:cs="仿宋"/>
          <w:sz w:val="32"/>
          <w:szCs w:val="32"/>
        </w:rPr>
      </w:pPr>
      <w:bookmarkStart w:id="68" w:name="_Toc21093"/>
      <w:bookmarkStart w:id="69" w:name="_Toc30852"/>
      <w:bookmarkStart w:id="70" w:name="_Toc16094"/>
      <w:bookmarkStart w:id="71" w:name="_Toc33795808"/>
      <w:r>
        <w:rPr>
          <w:rFonts w:hint="eastAsia" w:ascii="仿宋" w:hAnsi="仿宋" w:eastAsia="仿宋" w:cs="仿宋"/>
          <w:sz w:val="32"/>
          <w:szCs w:val="32"/>
        </w:rPr>
        <w:t>（一）成交候选人公示</w:t>
      </w:r>
      <w:bookmarkEnd w:id="68"/>
      <w:bookmarkEnd w:id="69"/>
      <w:bookmarkEnd w:id="70"/>
      <w:bookmarkEnd w:id="71"/>
    </w:p>
    <w:p w14:paraId="013156DF">
      <w:pPr>
        <w:overflowPunct w:val="0"/>
        <w:spacing w:line="560" w:lineRule="exact"/>
        <w:ind w:firstLine="640" w:firstLineChars="200"/>
        <w:rPr>
          <w:rFonts w:ascii="仿宋" w:hAnsi="仿宋" w:eastAsia="仿宋" w:cs="仿宋"/>
          <w:sz w:val="32"/>
          <w:szCs w:val="32"/>
        </w:rPr>
      </w:pPr>
      <w:bookmarkStart w:id="72" w:name="_Toc10372"/>
      <w:bookmarkStart w:id="73" w:name="_Toc19079"/>
      <w:bookmarkStart w:id="74" w:name="_Toc33795809"/>
      <w:bookmarkStart w:id="75" w:name="_Toc7018"/>
      <w:r>
        <w:rPr>
          <w:rFonts w:hint="eastAsia" w:ascii="仿宋" w:hAnsi="仿宋" w:eastAsia="仿宋" w:cs="仿宋"/>
          <w:sz w:val="32"/>
          <w:szCs w:val="32"/>
        </w:rPr>
        <w:t>在陕西锌业有限公司网络采购平台www.sxxyjjpt.com公示成交候选人，公示期不少于3天。</w:t>
      </w:r>
    </w:p>
    <w:p w14:paraId="154EFE06">
      <w:pPr>
        <w:pStyle w:val="4"/>
        <w:keepNext w:val="0"/>
        <w:keepLines w:val="0"/>
        <w:overflowPunct w:val="0"/>
        <w:spacing w:before="0" w:after="0" w:line="560" w:lineRule="exact"/>
        <w:ind w:firstLine="320" w:firstLineChars="100"/>
        <w:rPr>
          <w:rFonts w:ascii="仿宋" w:hAnsi="仿宋" w:eastAsia="仿宋" w:cs="仿宋"/>
          <w:sz w:val="32"/>
          <w:szCs w:val="32"/>
        </w:rPr>
      </w:pPr>
      <w:r>
        <w:rPr>
          <w:rFonts w:hint="eastAsia" w:ascii="仿宋" w:hAnsi="仿宋" w:eastAsia="仿宋" w:cs="仿宋"/>
          <w:sz w:val="32"/>
          <w:szCs w:val="32"/>
        </w:rPr>
        <w:t>（二）评审结果异议</w:t>
      </w:r>
      <w:bookmarkEnd w:id="72"/>
      <w:bookmarkEnd w:id="73"/>
      <w:bookmarkEnd w:id="74"/>
      <w:bookmarkEnd w:id="75"/>
    </w:p>
    <w:p w14:paraId="5BCB21B5">
      <w:pPr>
        <w:overflowPunct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供应商或者其他利</w:t>
      </w:r>
      <w:bookmarkStart w:id="76" w:name="_Toc384308243"/>
      <w:bookmarkStart w:id="77" w:name="_Toc361508618"/>
      <w:bookmarkStart w:id="78" w:name="_Toc352691505"/>
      <w:bookmarkStart w:id="79" w:name="_Toc369531549"/>
      <w:bookmarkStart w:id="80" w:name="_Toc152042337"/>
      <w:bookmarkStart w:id="81" w:name="_Toc144974529"/>
      <w:bookmarkStart w:id="82" w:name="_Toc300834982"/>
      <w:bookmarkStart w:id="83" w:name="_Toc30095"/>
      <w:bookmarkStart w:id="84" w:name="_Toc247527586"/>
      <w:bookmarkStart w:id="85" w:name="_Toc152045561"/>
      <w:bookmarkStart w:id="86" w:name="_Toc247513985"/>
      <w:r>
        <w:rPr>
          <w:rFonts w:hint="eastAsia" w:ascii="仿宋" w:hAnsi="仿宋" w:eastAsia="仿宋" w:cs="仿宋"/>
          <w:sz w:val="32"/>
          <w:szCs w:val="32"/>
        </w:rPr>
        <w:t>害关系人对</w:t>
      </w:r>
      <w:bookmarkEnd w:id="76"/>
      <w:bookmarkEnd w:id="77"/>
      <w:bookmarkEnd w:id="78"/>
      <w:bookmarkEnd w:id="79"/>
      <w:bookmarkEnd w:id="80"/>
      <w:bookmarkEnd w:id="81"/>
      <w:bookmarkEnd w:id="82"/>
      <w:bookmarkEnd w:id="83"/>
      <w:bookmarkEnd w:id="84"/>
      <w:bookmarkEnd w:id="85"/>
      <w:bookmarkEnd w:id="86"/>
      <w:r>
        <w:rPr>
          <w:rFonts w:hint="eastAsia" w:ascii="仿宋" w:hAnsi="仿宋" w:eastAsia="仿宋" w:cs="仿宋"/>
          <w:sz w:val="32"/>
          <w:szCs w:val="32"/>
        </w:rPr>
        <w:t>评审结果有异议的，应当在成交候选人公示期间提出。采购人在收到异议之日起3日内对异议作出答复；作出答复前，将暂停询比采购活动。</w:t>
      </w:r>
    </w:p>
    <w:p w14:paraId="46BB5964">
      <w:pPr>
        <w:pStyle w:val="4"/>
        <w:keepNext w:val="0"/>
        <w:keepLines w:val="0"/>
        <w:overflowPunct w:val="0"/>
        <w:spacing w:before="0" w:after="0" w:line="560" w:lineRule="exact"/>
        <w:ind w:firstLine="320" w:firstLineChars="100"/>
        <w:rPr>
          <w:rFonts w:ascii="仿宋" w:hAnsi="仿宋" w:eastAsia="仿宋" w:cs="仿宋"/>
          <w:sz w:val="32"/>
          <w:szCs w:val="32"/>
        </w:rPr>
      </w:pPr>
      <w:bookmarkStart w:id="87" w:name="_Toc28756"/>
      <w:bookmarkStart w:id="88" w:name="_Toc33795810"/>
      <w:bookmarkStart w:id="89" w:name="_Toc21648"/>
      <w:bookmarkStart w:id="90" w:name="_Toc25590"/>
      <w:r>
        <w:rPr>
          <w:rFonts w:hint="eastAsia" w:ascii="仿宋" w:hAnsi="仿宋" w:eastAsia="仿宋" w:cs="仿宋"/>
          <w:sz w:val="32"/>
          <w:szCs w:val="32"/>
        </w:rPr>
        <w:t>（三）成交候选人履约能力审查</w:t>
      </w:r>
      <w:bookmarkEnd w:id="87"/>
      <w:bookmarkEnd w:id="88"/>
      <w:bookmarkEnd w:id="89"/>
      <w:bookmarkEnd w:id="90"/>
    </w:p>
    <w:p w14:paraId="7B875033">
      <w:pPr>
        <w:overflowPunct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成交候选人的经营、财务状况发生较大变化或存在违法行为，采购人认为可能影响其履约能力的，采购人招标办公室将在发出成交通知书前提请原评审小组按照询比采购文件规定的标准和方法进行审查和确认。</w:t>
      </w:r>
    </w:p>
    <w:p w14:paraId="065B4EE3">
      <w:pPr>
        <w:pStyle w:val="4"/>
        <w:keepNext w:val="0"/>
        <w:keepLines w:val="0"/>
        <w:overflowPunct w:val="0"/>
        <w:spacing w:before="0" w:after="0" w:line="560" w:lineRule="exact"/>
        <w:ind w:firstLine="320" w:firstLineChars="100"/>
        <w:rPr>
          <w:rFonts w:ascii="仿宋" w:hAnsi="仿宋" w:eastAsia="仿宋" w:cs="仿宋"/>
          <w:sz w:val="32"/>
          <w:szCs w:val="32"/>
        </w:rPr>
      </w:pPr>
      <w:bookmarkStart w:id="91" w:name="_Toc19470"/>
      <w:bookmarkStart w:id="92" w:name="_Toc24665"/>
      <w:bookmarkStart w:id="93" w:name="_Toc33795811"/>
      <w:bookmarkStart w:id="94" w:name="_Toc2191"/>
      <w:r>
        <w:rPr>
          <w:rFonts w:hint="eastAsia" w:ascii="仿宋" w:hAnsi="仿宋" w:eastAsia="仿宋" w:cs="仿宋"/>
          <w:sz w:val="32"/>
          <w:szCs w:val="32"/>
        </w:rPr>
        <w:t>（四）</w:t>
      </w:r>
      <w:bookmarkEnd w:id="91"/>
      <w:bookmarkEnd w:id="92"/>
      <w:bookmarkEnd w:id="93"/>
      <w:bookmarkEnd w:id="94"/>
      <w:r>
        <w:rPr>
          <w:rFonts w:hint="eastAsia" w:ascii="仿宋" w:hAnsi="仿宋" w:eastAsia="仿宋" w:cs="仿宋"/>
          <w:sz w:val="32"/>
          <w:szCs w:val="32"/>
        </w:rPr>
        <w:t>确定成交人</w:t>
      </w:r>
    </w:p>
    <w:p w14:paraId="0475F37C">
      <w:pPr>
        <w:overflowPunct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采购人单位履行内部审批程序，根据评审小组的评审报告及成交人候选人名单确定成交人。</w:t>
      </w:r>
    </w:p>
    <w:p w14:paraId="516B1981">
      <w:pPr>
        <w:pStyle w:val="4"/>
        <w:keepNext w:val="0"/>
        <w:keepLines w:val="0"/>
        <w:overflowPunct w:val="0"/>
        <w:spacing w:before="0" w:after="0" w:line="560" w:lineRule="exact"/>
        <w:rPr>
          <w:rFonts w:ascii="仿宋" w:hAnsi="仿宋" w:eastAsia="仿宋" w:cs="仿宋"/>
          <w:sz w:val="32"/>
          <w:szCs w:val="32"/>
        </w:rPr>
      </w:pPr>
      <w:bookmarkStart w:id="95" w:name="_Toc11183"/>
      <w:bookmarkStart w:id="96" w:name="_Toc3671"/>
      <w:bookmarkStart w:id="97" w:name="_Toc33795814"/>
      <w:bookmarkStart w:id="98" w:name="_Toc14362"/>
      <w:r>
        <w:rPr>
          <w:rFonts w:hint="eastAsia" w:ascii="仿宋" w:hAnsi="仿宋" w:eastAsia="仿宋" w:cs="仿宋"/>
          <w:sz w:val="32"/>
          <w:szCs w:val="32"/>
        </w:rPr>
        <w:t>（</w:t>
      </w:r>
      <w:r>
        <w:rPr>
          <w:rFonts w:hint="eastAsia" w:ascii="仿宋" w:hAnsi="仿宋" w:eastAsia="仿宋" w:cs="仿宋"/>
          <w:sz w:val="32"/>
          <w:szCs w:val="32"/>
          <w:lang w:val="en-US" w:eastAsia="zh-CN"/>
        </w:rPr>
        <w:t>五</w:t>
      </w:r>
      <w:r>
        <w:rPr>
          <w:rFonts w:hint="eastAsia" w:ascii="仿宋" w:hAnsi="仿宋" w:eastAsia="仿宋" w:cs="仿宋"/>
          <w:sz w:val="32"/>
          <w:szCs w:val="32"/>
        </w:rPr>
        <w:t>）签订合同</w:t>
      </w:r>
      <w:bookmarkEnd w:id="95"/>
      <w:bookmarkEnd w:id="96"/>
      <w:bookmarkEnd w:id="97"/>
      <w:bookmarkEnd w:id="98"/>
    </w:p>
    <w:p w14:paraId="35ABD4F8">
      <w:pPr>
        <w:overflowPunct w:val="0"/>
        <w:spacing w:line="560" w:lineRule="exact"/>
        <w:ind w:firstLine="640" w:firstLineChars="200"/>
        <w:rPr>
          <w:rFonts w:ascii="仿宋" w:hAnsi="仿宋" w:eastAsia="仿宋" w:cs="仿宋"/>
          <w:sz w:val="32"/>
          <w:szCs w:val="32"/>
        </w:rPr>
      </w:pPr>
      <w:bookmarkStart w:id="99" w:name="_Toc384308252"/>
      <w:bookmarkStart w:id="100" w:name="_Toc361508627"/>
      <w:bookmarkStart w:id="101" w:name="_Toc24067"/>
      <w:bookmarkStart w:id="102" w:name="_Toc247527593"/>
      <w:bookmarkStart w:id="103" w:name="_Toc152042344"/>
      <w:bookmarkStart w:id="104" w:name="_Toc300834991"/>
      <w:bookmarkStart w:id="105" w:name="_Toc144974536"/>
      <w:bookmarkStart w:id="106" w:name="_Toc247513992"/>
      <w:bookmarkStart w:id="107" w:name="_Toc152045568"/>
      <w:r>
        <w:rPr>
          <w:rFonts w:hint="eastAsia" w:ascii="仿宋" w:hAnsi="仿宋" w:eastAsia="仿宋" w:cs="仿宋"/>
          <w:sz w:val="32"/>
          <w:szCs w:val="32"/>
        </w:rPr>
        <w:t>1.采购人和成交供应商应当在响应有效期内，且在收到成交通知之日起</w:t>
      </w:r>
      <w:bookmarkStart w:id="108" w:name="_Toc144974532"/>
      <w:bookmarkStart w:id="109" w:name="_Toc361508622"/>
      <w:bookmarkStart w:id="110" w:name="_Toc4656"/>
      <w:bookmarkStart w:id="111" w:name="_Toc369531553"/>
      <w:bookmarkStart w:id="112" w:name="_Toc352691509"/>
      <w:bookmarkStart w:id="113" w:name="_Toc384308247"/>
      <w:bookmarkStart w:id="114" w:name="_Toc152042340"/>
      <w:bookmarkStart w:id="115" w:name="_Toc300834986"/>
      <w:bookmarkStart w:id="116" w:name="_Toc247513988"/>
      <w:bookmarkStart w:id="117" w:name="_Toc247527589"/>
      <w:bookmarkStart w:id="118" w:name="_Toc152045564"/>
      <w:r>
        <w:rPr>
          <w:rFonts w:hint="eastAsia" w:ascii="仿宋" w:hAnsi="仿宋" w:eastAsia="仿宋" w:cs="仿宋"/>
          <w:sz w:val="32"/>
          <w:szCs w:val="32"/>
        </w:rPr>
        <w:t>7日内，根据</w:t>
      </w:r>
      <w:bookmarkEnd w:id="108"/>
      <w:bookmarkEnd w:id="109"/>
      <w:bookmarkEnd w:id="110"/>
      <w:bookmarkEnd w:id="111"/>
      <w:bookmarkEnd w:id="112"/>
      <w:bookmarkEnd w:id="113"/>
      <w:bookmarkEnd w:id="114"/>
      <w:bookmarkEnd w:id="115"/>
      <w:bookmarkEnd w:id="116"/>
      <w:bookmarkEnd w:id="117"/>
      <w:bookmarkEnd w:id="118"/>
      <w:r>
        <w:rPr>
          <w:rFonts w:hint="eastAsia" w:ascii="仿宋" w:hAnsi="仿宋" w:eastAsia="仿宋" w:cs="仿宋"/>
          <w:sz w:val="32"/>
          <w:szCs w:val="32"/>
        </w:rPr>
        <w:t>询比采购文件和成交人的响应文件订立书面合同。成交人无正</w:t>
      </w:r>
      <w:bookmarkStart w:id="119" w:name="_Toc384308248"/>
      <w:bookmarkStart w:id="120" w:name="_Toc144974533"/>
      <w:bookmarkStart w:id="121" w:name="_Toc247513989"/>
      <w:bookmarkStart w:id="122" w:name="_Toc300834987"/>
      <w:bookmarkStart w:id="123" w:name="_Toc352691510"/>
      <w:bookmarkStart w:id="124" w:name="_Toc247527590"/>
      <w:bookmarkStart w:id="125" w:name="_Toc152042341"/>
      <w:bookmarkStart w:id="126" w:name="_Toc152045565"/>
      <w:bookmarkStart w:id="127" w:name="_Toc361508623"/>
      <w:bookmarkStart w:id="128" w:name="_Toc369531554"/>
      <w:bookmarkStart w:id="129" w:name="_Toc18247"/>
      <w:r>
        <w:rPr>
          <w:rFonts w:hint="eastAsia" w:ascii="仿宋" w:hAnsi="仿宋" w:eastAsia="仿宋" w:cs="仿宋"/>
          <w:sz w:val="32"/>
          <w:szCs w:val="32"/>
        </w:rPr>
        <w:t>当理由拒签合</w:t>
      </w:r>
      <w:bookmarkEnd w:id="119"/>
      <w:bookmarkEnd w:id="120"/>
      <w:bookmarkEnd w:id="121"/>
      <w:bookmarkEnd w:id="122"/>
      <w:bookmarkEnd w:id="123"/>
      <w:bookmarkEnd w:id="124"/>
      <w:bookmarkEnd w:id="125"/>
      <w:bookmarkEnd w:id="126"/>
      <w:bookmarkEnd w:id="127"/>
      <w:bookmarkEnd w:id="128"/>
      <w:bookmarkEnd w:id="129"/>
      <w:r>
        <w:rPr>
          <w:rFonts w:hint="eastAsia" w:ascii="仿宋" w:hAnsi="仿宋" w:eastAsia="仿宋" w:cs="仿宋"/>
          <w:sz w:val="32"/>
          <w:szCs w:val="32"/>
        </w:rPr>
        <w:t>同，或者提出其他附加条件的，采购人有权取消其成交资格，其响应保证金不予退还；给采购人造成的损失超出响应保证金数额的，成交供应商还应当对超出部分予以赔偿。</w:t>
      </w:r>
    </w:p>
    <w:p w14:paraId="39D04242">
      <w:pPr>
        <w:overflowPunct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2.发出成交通知书后，采购人无正当理由拒签合同的，或者提出其他附加条件的，采购人向成交人退还响应保证金；给成交人造成损失的，还应当赔偿损失。</w:t>
      </w:r>
    </w:p>
    <w:bookmarkEnd w:id="99"/>
    <w:bookmarkEnd w:id="100"/>
    <w:bookmarkEnd w:id="101"/>
    <w:p w14:paraId="049A3FAD">
      <w:pPr>
        <w:pStyle w:val="3"/>
        <w:keepNext w:val="0"/>
        <w:keepLines w:val="0"/>
        <w:overflowPunct w:val="0"/>
        <w:spacing w:before="0" w:after="0" w:line="560" w:lineRule="exact"/>
        <w:ind w:firstLine="643" w:firstLineChars="200"/>
        <w:rPr>
          <w:rFonts w:ascii="仿宋" w:hAnsi="仿宋" w:eastAsia="仿宋" w:cs="仿宋"/>
          <w:szCs w:val="32"/>
        </w:rPr>
      </w:pPr>
      <w:bookmarkStart w:id="130" w:name="_Toc14752"/>
      <w:bookmarkStart w:id="131" w:name="_Toc25347"/>
      <w:bookmarkStart w:id="132" w:name="_Toc33795815"/>
      <w:r>
        <w:rPr>
          <w:rFonts w:hint="eastAsia" w:ascii="仿宋" w:hAnsi="仿宋" w:eastAsia="仿宋" w:cs="仿宋"/>
          <w:szCs w:val="32"/>
        </w:rPr>
        <w:t>七、纪律和监督</w:t>
      </w:r>
      <w:bookmarkEnd w:id="130"/>
      <w:bookmarkEnd w:id="131"/>
      <w:bookmarkEnd w:id="132"/>
    </w:p>
    <w:p w14:paraId="37E931AE">
      <w:pPr>
        <w:overflowPunct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（一）供应商不得相互串通投标或者与采购人串通投标，不得向采购人或者评审小组成员行贿谋取成交，不得以他人名义投标或者以其他方式弄虚作假骗取成交；供应商不得以任何方式干扰、影响评标工作。</w:t>
      </w:r>
    </w:p>
    <w:p w14:paraId="72C23A99">
      <w:pPr>
        <w:overflowPunct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（二）评审小组成员及相关工作人员不得收受他人的财物或者其他好处，不得向他人透露对响应文件的评审</w:t>
      </w:r>
      <w:bookmarkStart w:id="133" w:name="_Toc352691515"/>
      <w:bookmarkStart w:id="134" w:name="_Toc384308253"/>
      <w:bookmarkStart w:id="135" w:name="_Toc369531559"/>
      <w:bookmarkStart w:id="136" w:name="_Toc361508628"/>
      <w:bookmarkStart w:id="137" w:name="_Toc13644"/>
      <w:r>
        <w:rPr>
          <w:rFonts w:hint="eastAsia" w:ascii="仿宋" w:hAnsi="仿宋" w:eastAsia="仿宋" w:cs="仿宋"/>
          <w:sz w:val="32"/>
          <w:szCs w:val="32"/>
        </w:rPr>
        <w:t>和比较、</w:t>
      </w:r>
      <w:bookmarkEnd w:id="102"/>
      <w:bookmarkEnd w:id="103"/>
      <w:bookmarkEnd w:id="104"/>
      <w:bookmarkEnd w:id="105"/>
      <w:bookmarkEnd w:id="106"/>
      <w:bookmarkEnd w:id="107"/>
      <w:bookmarkEnd w:id="133"/>
      <w:bookmarkEnd w:id="134"/>
      <w:bookmarkEnd w:id="135"/>
      <w:bookmarkEnd w:id="136"/>
      <w:bookmarkEnd w:id="137"/>
      <w:r>
        <w:rPr>
          <w:rFonts w:hint="eastAsia" w:ascii="仿宋" w:hAnsi="仿宋" w:eastAsia="仿宋" w:cs="仿宋"/>
          <w:sz w:val="32"/>
          <w:szCs w:val="32"/>
        </w:rPr>
        <w:t>成交候选人的推荐情况以及评标有关的其他情况。在评审活动中，评审小组成员应当客观、公正地履行职责，遵守职业道德，不得擅离职守，影响评审程序正常进行，不得使用“评审办法”没有规定的评审因素和标准进行评审。</w:t>
      </w:r>
    </w:p>
    <w:p w14:paraId="013945AA">
      <w:pPr>
        <w:pStyle w:val="4"/>
        <w:keepNext w:val="0"/>
        <w:keepLines w:val="0"/>
        <w:overflowPunct w:val="0"/>
        <w:spacing w:before="0" w:after="0" w:line="560" w:lineRule="exact"/>
        <w:ind w:firstLine="640" w:firstLineChars="200"/>
        <w:rPr>
          <w:rFonts w:ascii="仿宋" w:hAnsi="仿宋" w:eastAsia="仿宋" w:cs="仿宋"/>
          <w:sz w:val="32"/>
          <w:szCs w:val="32"/>
        </w:rPr>
      </w:pPr>
      <w:bookmarkStart w:id="138" w:name="_Toc24957"/>
      <w:bookmarkStart w:id="139" w:name="_Toc18070"/>
      <w:bookmarkStart w:id="140" w:name="_Toc22294"/>
      <w:bookmarkStart w:id="141" w:name="_Toc33795820"/>
      <w:r>
        <w:rPr>
          <w:rFonts w:hint="eastAsia" w:ascii="仿宋" w:hAnsi="仿宋" w:eastAsia="仿宋" w:cs="仿宋"/>
          <w:sz w:val="32"/>
          <w:szCs w:val="32"/>
        </w:rPr>
        <w:t>（三）异议</w:t>
      </w:r>
      <w:bookmarkEnd w:id="138"/>
      <w:bookmarkEnd w:id="139"/>
      <w:bookmarkEnd w:id="140"/>
      <w:bookmarkEnd w:id="141"/>
    </w:p>
    <w:p w14:paraId="22591F27">
      <w:pPr>
        <w:overflowPunct w:val="0"/>
        <w:spacing w:line="56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1.供应商或者其他利害关系人认为采购人采购活动存在违法或违反平等自愿、公平诚信原则的，可以直接向采购人单位招标办公室提出异议。</w:t>
      </w:r>
    </w:p>
    <w:p w14:paraId="4FC8EE05">
      <w:pPr>
        <w:overflowPunct w:val="0"/>
        <w:spacing w:line="56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 xml:space="preserve">2.招标办收到供应商提出的异议，应当依法、依规、妥善处理异议，并在收到异议之日起三个工作日内，对异议提出人做出答复。答复前，可暂停下一程序的采购活动。 </w:t>
      </w:r>
    </w:p>
    <w:p w14:paraId="3C0AD252">
      <w:pPr>
        <w:overflowPunct w:val="0"/>
        <w:spacing w:line="560" w:lineRule="exact"/>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 xml:space="preserve">3.对响应采购供应商提出的异议，如属异议提出人对相关问题理解有误的，招标办应做出解释；如经核查发现采购活动确实存在违法或违反本办法相关规定的，招标办应及时予以纠正或补救。       </w:t>
      </w:r>
    </w:p>
    <w:p w14:paraId="514CD12E">
      <w:pPr>
        <w:overflowPunct w:val="0"/>
        <w:spacing w:line="560" w:lineRule="exact"/>
        <w:ind w:firstLine="640" w:firstLineChars="200"/>
        <w:rPr>
          <w:rFonts w:hint="eastAsia" w:ascii="仿宋" w:hAnsi="仿宋" w:eastAsia="仿宋" w:cs="仿宋"/>
          <w:kern w:val="0"/>
          <w:sz w:val="32"/>
          <w:szCs w:val="32"/>
        </w:rPr>
      </w:pPr>
    </w:p>
    <w:p w14:paraId="2282EE4A">
      <w:pPr>
        <w:overflowPunct w:val="0"/>
        <w:spacing w:line="560" w:lineRule="exact"/>
        <w:rPr>
          <w:rFonts w:ascii="仿宋" w:hAnsi="仿宋" w:eastAsia="仿宋" w:cs="仿宋"/>
          <w:sz w:val="32"/>
          <w:szCs w:val="32"/>
        </w:rPr>
      </w:pPr>
    </w:p>
    <w:p w14:paraId="6BB3D603">
      <w:pPr>
        <w:overflowPunct w:val="0"/>
        <w:spacing w:line="560" w:lineRule="exact"/>
        <w:ind w:firstLine="4160" w:firstLineChars="1300"/>
        <w:rPr>
          <w:rFonts w:ascii="仿宋" w:hAnsi="仿宋" w:eastAsia="仿宋" w:cs="仿宋"/>
          <w:sz w:val="32"/>
          <w:szCs w:val="32"/>
        </w:rPr>
      </w:pPr>
      <w:r>
        <w:rPr>
          <w:rFonts w:hint="eastAsia" w:ascii="仿宋" w:hAnsi="仿宋" w:eastAsia="仿宋" w:cs="仿宋"/>
          <w:sz w:val="32"/>
          <w:szCs w:val="32"/>
        </w:rPr>
        <w:t>陕西锌业有限公司</w:t>
      </w:r>
    </w:p>
    <w:p w14:paraId="60C5FC19">
      <w:pPr>
        <w:overflowPunct w:val="0"/>
        <w:spacing w:line="560" w:lineRule="exact"/>
        <w:ind w:firstLine="4160" w:firstLineChars="1300"/>
        <w:rPr>
          <w:rFonts w:ascii="宋体" w:hAnsi="宋体" w:eastAsia="宋体" w:cs="宋体"/>
          <w:sz w:val="36"/>
          <w:szCs w:val="36"/>
        </w:rPr>
      </w:pPr>
      <w:r>
        <w:rPr>
          <w:rFonts w:hint="eastAsia" w:ascii="仿宋" w:hAnsi="仿宋" w:eastAsia="仿宋" w:cs="仿宋"/>
          <w:sz w:val="32"/>
          <w:szCs w:val="32"/>
        </w:rPr>
        <w:t>2025年08月15日</w:t>
      </w:r>
    </w:p>
    <w:p w14:paraId="55000ECA">
      <w:pPr>
        <w:topLinePunct/>
        <w:spacing w:line="440" w:lineRule="exac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1944417E-CFF8-4EA9-98BE-563F70160E35}"/>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embedRegular r:id="rId2" w:fontKey="{7B1B7AC9-7FDB-422D-8C23-5024FA0BF248}"/>
  </w:font>
  <w:font w:name="微软雅黑">
    <w:panose1 w:val="020B0503020204020204"/>
    <w:charset w:val="86"/>
    <w:family w:val="swiss"/>
    <w:pitch w:val="default"/>
    <w:sig w:usb0="80000287" w:usb1="2ACF3C50" w:usb2="00000016" w:usb3="00000000" w:csb0="0004001F" w:csb1="00000000"/>
    <w:embedRegular r:id="rId3" w:fontKey="{6A9D6033-CF40-45CD-BEDC-35CAC1AA8672}"/>
  </w:font>
  <w:font w:name="仿宋_GB2312">
    <w:panose1 w:val="02010609030101010101"/>
    <w:charset w:val="86"/>
    <w:family w:val="modern"/>
    <w:pitch w:val="default"/>
    <w:sig w:usb0="00000001" w:usb1="080E0000" w:usb2="00000000" w:usb3="00000000" w:csb0="00040000" w:csb1="00000000"/>
    <w:embedRegular r:id="rId4" w:fontKey="{D86964F9-1E6A-4650-9098-310BF153EE28}"/>
  </w:font>
  <w:font w:name="WPSEMBED1">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B6785E">
    <w:pPr>
      <w:pStyle w:val="16"/>
      <w:spacing w:line="240" w:lineRule="atLeast"/>
      <w:jc w:val="center"/>
      <w:rPr>
        <w:rFonts w:hAnsi="宋体"/>
        <w:sz w:val="18"/>
        <w:szCs w:val="18"/>
      </w:rPr>
    </w:pPr>
    <w:r>
      <w:rPr>
        <w:sz w:val="18"/>
      </w:rPr>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path/>
          <v:fill on="f" focussize="0,0"/>
          <v:stroke on="f" joinstyle="miter"/>
          <v:imagedata o:title=""/>
          <o:lock v:ext="edit"/>
          <v:textbox inset="0mm,0mm,0mm,0mm" style="mso-fit-shape-to-text:t;">
            <w:txbxContent>
              <w:p w14:paraId="05A1362E">
                <w:pPr>
                  <w:pStyle w:val="7"/>
                </w:pPr>
                <w:r>
                  <w:fldChar w:fldCharType="begin"/>
                </w:r>
                <w:r>
                  <w:instrText xml:space="preserve"> PAGE  \* MERGEFORMAT </w:instrText>
                </w:r>
                <w:r>
                  <w:fldChar w:fldCharType="separate"/>
                </w:r>
                <w:r>
                  <w:t>5</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3C8385">
    <w:pPr>
      <w:pStyle w:val="21"/>
      <w:framePr w:wrap="around" w:vAnchor="text" w:hAnchor="margin" w:xAlign="center" w:y="1"/>
      <w:rPr>
        <w:rStyle w:val="22"/>
      </w:rPr>
    </w:pPr>
    <w:r>
      <w:rPr>
        <w:rStyle w:val="22"/>
      </w:rPr>
      <w:fldChar w:fldCharType="begin"/>
    </w:r>
    <w:r>
      <w:rPr>
        <w:rStyle w:val="22"/>
      </w:rPr>
      <w:instrText xml:space="preserve">PAGE  </w:instrText>
    </w:r>
    <w:r>
      <w:rPr>
        <w:rStyle w:val="22"/>
      </w:rPr>
      <w:fldChar w:fldCharType="end"/>
    </w:r>
  </w:p>
  <w:p w14:paraId="1F3F0202">
    <w:pPr>
      <w:pStyle w:val="2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2FE7E0">
    <w:pPr>
      <w:pStyle w:val="20"/>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7"/>
  <w:embedTrueTypeFonts/>
  <w:saveSubsetFonts/>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jIyZDI3YmM2OTM0OTc5MDk5YTBkNjhmMmRhYmE5NDgifQ=="/>
  </w:docVars>
  <w:rsids>
    <w:rsidRoot w:val="69E314DA"/>
    <w:rsid w:val="00072A32"/>
    <w:rsid w:val="0025669D"/>
    <w:rsid w:val="002D2B1C"/>
    <w:rsid w:val="003A702E"/>
    <w:rsid w:val="003E393F"/>
    <w:rsid w:val="004274B2"/>
    <w:rsid w:val="0045046F"/>
    <w:rsid w:val="004A112A"/>
    <w:rsid w:val="005011EB"/>
    <w:rsid w:val="00715BA8"/>
    <w:rsid w:val="007802B9"/>
    <w:rsid w:val="00A35E3E"/>
    <w:rsid w:val="00A96D5B"/>
    <w:rsid w:val="00B344BD"/>
    <w:rsid w:val="00C82362"/>
    <w:rsid w:val="00CA5FF1"/>
    <w:rsid w:val="00CB6297"/>
    <w:rsid w:val="00DB462D"/>
    <w:rsid w:val="00EA1F15"/>
    <w:rsid w:val="00F07444"/>
    <w:rsid w:val="00FA7DE4"/>
    <w:rsid w:val="01251650"/>
    <w:rsid w:val="01A67659"/>
    <w:rsid w:val="023E2922"/>
    <w:rsid w:val="026A1189"/>
    <w:rsid w:val="04683B1B"/>
    <w:rsid w:val="051379D8"/>
    <w:rsid w:val="05814B03"/>
    <w:rsid w:val="05BE40FB"/>
    <w:rsid w:val="06141C07"/>
    <w:rsid w:val="076A5F83"/>
    <w:rsid w:val="07720B9B"/>
    <w:rsid w:val="083245C7"/>
    <w:rsid w:val="08D00E36"/>
    <w:rsid w:val="0AA3355A"/>
    <w:rsid w:val="0B0A4D8C"/>
    <w:rsid w:val="0CAF4DC4"/>
    <w:rsid w:val="102F1EF5"/>
    <w:rsid w:val="106F0166"/>
    <w:rsid w:val="114161E7"/>
    <w:rsid w:val="130628D8"/>
    <w:rsid w:val="14F74BCE"/>
    <w:rsid w:val="14F90946"/>
    <w:rsid w:val="14FD19B0"/>
    <w:rsid w:val="15350822"/>
    <w:rsid w:val="17725CE9"/>
    <w:rsid w:val="19B65298"/>
    <w:rsid w:val="19BF0744"/>
    <w:rsid w:val="19BF485E"/>
    <w:rsid w:val="19D61256"/>
    <w:rsid w:val="19EF056A"/>
    <w:rsid w:val="1AEC4493"/>
    <w:rsid w:val="1B177D78"/>
    <w:rsid w:val="1DA8115B"/>
    <w:rsid w:val="1DB27CC5"/>
    <w:rsid w:val="1DD30B53"/>
    <w:rsid w:val="1E1E31CB"/>
    <w:rsid w:val="1E34479D"/>
    <w:rsid w:val="207E073E"/>
    <w:rsid w:val="21834158"/>
    <w:rsid w:val="220426D8"/>
    <w:rsid w:val="22F5715A"/>
    <w:rsid w:val="241430A6"/>
    <w:rsid w:val="2452597D"/>
    <w:rsid w:val="257B5469"/>
    <w:rsid w:val="257B685F"/>
    <w:rsid w:val="27503782"/>
    <w:rsid w:val="27CC3C98"/>
    <w:rsid w:val="297D7484"/>
    <w:rsid w:val="2A2E0C3A"/>
    <w:rsid w:val="2A4B3DED"/>
    <w:rsid w:val="2BF61145"/>
    <w:rsid w:val="2BF72AD0"/>
    <w:rsid w:val="2CAD4098"/>
    <w:rsid w:val="2D331C6F"/>
    <w:rsid w:val="2DE05E9B"/>
    <w:rsid w:val="2E033918"/>
    <w:rsid w:val="2EA4771D"/>
    <w:rsid w:val="31806C49"/>
    <w:rsid w:val="31832E12"/>
    <w:rsid w:val="32A1627D"/>
    <w:rsid w:val="33260700"/>
    <w:rsid w:val="333C7F24"/>
    <w:rsid w:val="333D3C9C"/>
    <w:rsid w:val="339B5162"/>
    <w:rsid w:val="34DF16EF"/>
    <w:rsid w:val="354E1250"/>
    <w:rsid w:val="358E6037"/>
    <w:rsid w:val="36366121"/>
    <w:rsid w:val="37991DE9"/>
    <w:rsid w:val="38C369F1"/>
    <w:rsid w:val="39974106"/>
    <w:rsid w:val="3A3A65D2"/>
    <w:rsid w:val="3A561988"/>
    <w:rsid w:val="3BFF184D"/>
    <w:rsid w:val="3CB63F34"/>
    <w:rsid w:val="3CEB6517"/>
    <w:rsid w:val="3CFB6595"/>
    <w:rsid w:val="3CFD6BB7"/>
    <w:rsid w:val="3D34475C"/>
    <w:rsid w:val="3E3C01FF"/>
    <w:rsid w:val="3F2D1BEF"/>
    <w:rsid w:val="3FE9293F"/>
    <w:rsid w:val="405A4224"/>
    <w:rsid w:val="41A54571"/>
    <w:rsid w:val="427A5715"/>
    <w:rsid w:val="433C5D1E"/>
    <w:rsid w:val="44093E52"/>
    <w:rsid w:val="44107006"/>
    <w:rsid w:val="44920CB0"/>
    <w:rsid w:val="45726E52"/>
    <w:rsid w:val="45A00D58"/>
    <w:rsid w:val="460F14C8"/>
    <w:rsid w:val="46637C62"/>
    <w:rsid w:val="46933C70"/>
    <w:rsid w:val="485F64AC"/>
    <w:rsid w:val="4B896DF6"/>
    <w:rsid w:val="4CB27A82"/>
    <w:rsid w:val="4CD03E45"/>
    <w:rsid w:val="4D66647C"/>
    <w:rsid w:val="4E6B74B7"/>
    <w:rsid w:val="4F18763F"/>
    <w:rsid w:val="4F2D1733"/>
    <w:rsid w:val="500261D8"/>
    <w:rsid w:val="50610B72"/>
    <w:rsid w:val="509B2FD7"/>
    <w:rsid w:val="51D376E3"/>
    <w:rsid w:val="523676EA"/>
    <w:rsid w:val="524F1A19"/>
    <w:rsid w:val="54EB7CA8"/>
    <w:rsid w:val="55EF7BB3"/>
    <w:rsid w:val="55F20E2B"/>
    <w:rsid w:val="56737851"/>
    <w:rsid w:val="5680683F"/>
    <w:rsid w:val="56F815DC"/>
    <w:rsid w:val="57711FE2"/>
    <w:rsid w:val="59907EED"/>
    <w:rsid w:val="5A715E56"/>
    <w:rsid w:val="5B97061C"/>
    <w:rsid w:val="5C02145B"/>
    <w:rsid w:val="5C2B04AE"/>
    <w:rsid w:val="5C594DF3"/>
    <w:rsid w:val="5D042FB1"/>
    <w:rsid w:val="5DA87DE0"/>
    <w:rsid w:val="5DCA09A3"/>
    <w:rsid w:val="5E8D407E"/>
    <w:rsid w:val="5F213A10"/>
    <w:rsid w:val="5F8C5DB5"/>
    <w:rsid w:val="602C2F4B"/>
    <w:rsid w:val="60675D3C"/>
    <w:rsid w:val="6077565B"/>
    <w:rsid w:val="60C97FB7"/>
    <w:rsid w:val="61137C66"/>
    <w:rsid w:val="61483E9A"/>
    <w:rsid w:val="61D92AF5"/>
    <w:rsid w:val="6483301F"/>
    <w:rsid w:val="64B22605"/>
    <w:rsid w:val="661E50E3"/>
    <w:rsid w:val="66452F0C"/>
    <w:rsid w:val="6667362D"/>
    <w:rsid w:val="671D4BFD"/>
    <w:rsid w:val="672C3830"/>
    <w:rsid w:val="67682688"/>
    <w:rsid w:val="68365066"/>
    <w:rsid w:val="68FE0F77"/>
    <w:rsid w:val="69495ABC"/>
    <w:rsid w:val="69B729ED"/>
    <w:rsid w:val="69E314DA"/>
    <w:rsid w:val="69F446AA"/>
    <w:rsid w:val="6A445335"/>
    <w:rsid w:val="6BD87931"/>
    <w:rsid w:val="6C2347F8"/>
    <w:rsid w:val="6CCD1611"/>
    <w:rsid w:val="6CE26D5D"/>
    <w:rsid w:val="6DB30807"/>
    <w:rsid w:val="6E4D6AAA"/>
    <w:rsid w:val="6E880895"/>
    <w:rsid w:val="6F4D07E7"/>
    <w:rsid w:val="7015517E"/>
    <w:rsid w:val="703561B0"/>
    <w:rsid w:val="70626755"/>
    <w:rsid w:val="707458D8"/>
    <w:rsid w:val="72E3289C"/>
    <w:rsid w:val="7330410A"/>
    <w:rsid w:val="736305DA"/>
    <w:rsid w:val="74F87447"/>
    <w:rsid w:val="7530098F"/>
    <w:rsid w:val="76987E92"/>
    <w:rsid w:val="7C6E0553"/>
    <w:rsid w:val="7CC15652"/>
    <w:rsid w:val="7D8E0949"/>
    <w:rsid w:val="7F06435D"/>
    <w:rsid w:val="7F0D7F93"/>
    <w:rsid w:val="7F442849"/>
    <w:rsid w:val="7FBB179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bCs/>
      <w:kern w:val="44"/>
      <w:sz w:val="48"/>
      <w:szCs w:val="48"/>
    </w:rPr>
  </w:style>
  <w:style w:type="paragraph" w:styleId="3">
    <w:name w:val="heading 2"/>
    <w:basedOn w:val="1"/>
    <w:next w:val="1"/>
    <w:qFormat/>
    <w:uiPriority w:val="0"/>
    <w:pPr>
      <w:keepNext/>
      <w:keepLines/>
      <w:spacing w:before="260" w:after="260" w:line="412" w:lineRule="auto"/>
      <w:outlineLvl w:val="1"/>
    </w:pPr>
    <w:rPr>
      <w:rFonts w:ascii="Arial" w:hAnsi="Arial" w:eastAsia="黑体" w:cs="Times New Roman"/>
      <w:b/>
      <w:sz w:val="32"/>
      <w:szCs w:val="20"/>
    </w:rPr>
  </w:style>
  <w:style w:type="paragraph" w:styleId="4">
    <w:name w:val="heading 3"/>
    <w:basedOn w:val="1"/>
    <w:next w:val="1"/>
    <w:qFormat/>
    <w:uiPriority w:val="0"/>
    <w:pPr>
      <w:keepNext/>
      <w:keepLines/>
      <w:spacing w:before="260" w:after="260" w:line="412" w:lineRule="auto"/>
      <w:ind w:firstLine="49" w:firstLineChars="49"/>
      <w:outlineLvl w:val="2"/>
    </w:pPr>
    <w:rPr>
      <w:rFonts w:ascii="黑体" w:hAnsi="Times New Roman" w:eastAsia="黑体" w:cs="Times New Roman"/>
      <w:szCs w:val="20"/>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spacing w:beforeLines="10" w:afterLines="10" w:line="360" w:lineRule="auto"/>
      <w:ind w:firstLine="420" w:firstLineChars="200"/>
    </w:pPr>
    <w:rPr>
      <w:rFonts w:ascii="Times New Roman" w:hAnsi="Times New Roman" w:eastAsia="宋体" w:cs="Times New Roman"/>
      <w:sz w:val="24"/>
    </w:rPr>
  </w:style>
  <w:style w:type="paragraph" w:styleId="6">
    <w:name w:val="Body Text Indent"/>
    <w:basedOn w:val="1"/>
    <w:qFormat/>
    <w:uiPriority w:val="0"/>
    <w:pPr>
      <w:spacing w:after="120"/>
      <w:ind w:left="420" w:leftChars="200"/>
    </w:pPr>
    <w:rPr>
      <w:rFonts w:ascii="Times New Roman" w:hAnsi="Times New Roman" w:eastAsia="宋体" w:cs="Times New Roman"/>
    </w:rPr>
  </w:style>
  <w:style w:type="paragraph" w:styleId="7">
    <w:name w:val="footer"/>
    <w:basedOn w:val="1"/>
    <w:qFormat/>
    <w:uiPriority w:val="0"/>
    <w:pPr>
      <w:tabs>
        <w:tab w:val="center" w:pos="4153"/>
        <w:tab w:val="right" w:pos="8306"/>
      </w:tabs>
      <w:snapToGrid w:val="0"/>
      <w:jc w:val="left"/>
    </w:pPr>
    <w:rPr>
      <w:rFonts w:ascii="Times New Roman" w:hAnsi="Times New Roman" w:eastAsia="宋体" w:cs="Times New Roman"/>
      <w:sz w:val="18"/>
    </w:rPr>
  </w:style>
  <w:style w:type="paragraph" w:styleId="8">
    <w:name w:val="header"/>
    <w:basedOn w:val="1"/>
    <w:link w:val="31"/>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spacing w:beforeAutospacing="1" w:afterAutospacing="1"/>
      <w:jc w:val="left"/>
    </w:pPr>
    <w:rPr>
      <w:rFonts w:cs="Times New Roman"/>
      <w:kern w:val="0"/>
      <w:sz w:val="24"/>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Strong"/>
    <w:basedOn w:val="12"/>
    <w:qFormat/>
    <w:uiPriority w:val="0"/>
    <w:rPr>
      <w:b/>
    </w:rPr>
  </w:style>
  <w:style w:type="character" w:styleId="14">
    <w:name w:val="Hyperlink"/>
    <w:basedOn w:val="12"/>
    <w:qFormat/>
    <w:uiPriority w:val="0"/>
    <w:rPr>
      <w:color w:val="0000FF"/>
      <w:u w:val="single"/>
    </w:rPr>
  </w:style>
  <w:style w:type="paragraph" w:customStyle="1" w:styleId="15">
    <w:name w:val="Normal_8"/>
    <w:qFormat/>
    <w:uiPriority w:val="0"/>
    <w:pPr>
      <w:spacing w:before="120" w:after="240"/>
      <w:jc w:val="both"/>
    </w:pPr>
    <w:rPr>
      <w:rFonts w:ascii="等线" w:hAnsi="等线" w:eastAsia="等线" w:cs="Times New Roman"/>
      <w:sz w:val="22"/>
      <w:szCs w:val="22"/>
      <w:lang w:val="en-US" w:eastAsia="en-US" w:bidi="ar-SA"/>
    </w:rPr>
  </w:style>
  <w:style w:type="paragraph" w:customStyle="1" w:styleId="16">
    <w:name w:val="Salutation1"/>
    <w:basedOn w:val="1"/>
    <w:next w:val="1"/>
    <w:qFormat/>
    <w:uiPriority w:val="0"/>
    <w:pPr>
      <w:adjustRightInd w:val="0"/>
      <w:spacing w:line="360" w:lineRule="atLeast"/>
      <w:textAlignment w:val="baseline"/>
    </w:pPr>
    <w:rPr>
      <w:rFonts w:ascii="Times New Roman" w:hAnsi="Times New Roman" w:eastAsia="宋体" w:cs="Times New Roman"/>
    </w:rPr>
  </w:style>
  <w:style w:type="character" w:customStyle="1" w:styleId="17">
    <w:name w:val="font71"/>
    <w:basedOn w:val="12"/>
    <w:qFormat/>
    <w:uiPriority w:val="0"/>
    <w:rPr>
      <w:rFonts w:hint="eastAsia" w:ascii="宋体" w:hAnsi="宋体" w:eastAsia="宋体" w:cs="宋体"/>
      <w:b/>
      <w:bCs/>
      <w:color w:val="000000"/>
      <w:sz w:val="24"/>
      <w:szCs w:val="24"/>
      <w:u w:val="none"/>
    </w:rPr>
  </w:style>
  <w:style w:type="character" w:customStyle="1" w:styleId="18">
    <w:name w:val="font81"/>
    <w:basedOn w:val="12"/>
    <w:qFormat/>
    <w:uiPriority w:val="0"/>
    <w:rPr>
      <w:rFonts w:hint="eastAsia" w:ascii="宋体" w:hAnsi="宋体" w:eastAsia="宋体" w:cs="宋体"/>
      <w:color w:val="000000"/>
      <w:sz w:val="24"/>
      <w:szCs w:val="24"/>
      <w:u w:val="none"/>
    </w:rPr>
  </w:style>
  <w:style w:type="character" w:customStyle="1" w:styleId="19">
    <w:name w:val="font91"/>
    <w:basedOn w:val="12"/>
    <w:qFormat/>
    <w:uiPriority w:val="0"/>
    <w:rPr>
      <w:rFonts w:hint="eastAsia" w:ascii="宋体" w:hAnsi="宋体" w:eastAsia="宋体" w:cs="宋体"/>
      <w:color w:val="000000"/>
      <w:sz w:val="21"/>
      <w:szCs w:val="21"/>
      <w:u w:val="none"/>
    </w:rPr>
  </w:style>
  <w:style w:type="paragraph" w:customStyle="1" w:styleId="20">
    <w:name w:val="Header1"/>
    <w:basedOn w:val="1"/>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paragraph" w:customStyle="1" w:styleId="21">
    <w:name w:val="Footer1"/>
    <w:basedOn w:val="1"/>
    <w:qFormat/>
    <w:uiPriority w:val="0"/>
    <w:pPr>
      <w:tabs>
        <w:tab w:val="center" w:pos="4153"/>
        <w:tab w:val="right" w:pos="8306"/>
      </w:tabs>
      <w:snapToGrid w:val="0"/>
      <w:jc w:val="left"/>
    </w:pPr>
    <w:rPr>
      <w:rFonts w:ascii="Times New Roman" w:hAnsi="Times New Roman" w:eastAsia="宋体" w:cs="Times New Roman"/>
      <w:sz w:val="18"/>
      <w:szCs w:val="18"/>
    </w:rPr>
  </w:style>
  <w:style w:type="character" w:customStyle="1" w:styleId="22">
    <w:name w:val="Page Number1"/>
    <w:basedOn w:val="12"/>
    <w:qFormat/>
    <w:uiPriority w:val="0"/>
    <w:rPr>
      <w:rFonts w:ascii="Times New Roman" w:hAnsi="Times New Roman" w:eastAsia="宋体" w:cs="Times New Roman"/>
    </w:rPr>
  </w:style>
  <w:style w:type="character" w:customStyle="1" w:styleId="23">
    <w:name w:val="font21"/>
    <w:basedOn w:val="12"/>
    <w:qFormat/>
    <w:uiPriority w:val="0"/>
    <w:rPr>
      <w:rFonts w:hint="eastAsia" w:ascii="仿宋" w:hAnsi="仿宋" w:eastAsia="仿宋" w:cs="仿宋"/>
      <w:color w:val="FF0000"/>
      <w:sz w:val="24"/>
      <w:szCs w:val="24"/>
      <w:u w:val="none"/>
    </w:rPr>
  </w:style>
  <w:style w:type="character" w:customStyle="1" w:styleId="24">
    <w:name w:val="font01"/>
    <w:basedOn w:val="12"/>
    <w:qFormat/>
    <w:uiPriority w:val="0"/>
    <w:rPr>
      <w:rFonts w:hint="eastAsia" w:ascii="宋体" w:hAnsi="宋体" w:eastAsia="宋体" w:cs="宋体"/>
      <w:color w:val="000000"/>
      <w:sz w:val="24"/>
      <w:szCs w:val="24"/>
      <w:u w:val="none"/>
    </w:rPr>
  </w:style>
  <w:style w:type="character" w:customStyle="1" w:styleId="25">
    <w:name w:val="font11"/>
    <w:basedOn w:val="12"/>
    <w:qFormat/>
    <w:uiPriority w:val="0"/>
    <w:rPr>
      <w:rFonts w:hint="eastAsia" w:ascii="仿宋" w:hAnsi="仿宋" w:eastAsia="仿宋" w:cs="仿宋"/>
      <w:color w:val="000000"/>
      <w:sz w:val="24"/>
      <w:szCs w:val="24"/>
      <w:u w:val="none"/>
    </w:rPr>
  </w:style>
  <w:style w:type="character" w:customStyle="1" w:styleId="26">
    <w:name w:val="font31"/>
    <w:basedOn w:val="12"/>
    <w:qFormat/>
    <w:uiPriority w:val="0"/>
    <w:rPr>
      <w:rFonts w:hint="eastAsia" w:ascii="仿宋" w:hAnsi="仿宋" w:eastAsia="仿宋" w:cs="仿宋"/>
      <w:color w:val="000000"/>
      <w:sz w:val="24"/>
      <w:szCs w:val="24"/>
      <w:u w:val="none"/>
    </w:rPr>
  </w:style>
  <w:style w:type="character" w:customStyle="1" w:styleId="27">
    <w:name w:val="font41"/>
    <w:basedOn w:val="12"/>
    <w:qFormat/>
    <w:uiPriority w:val="0"/>
    <w:rPr>
      <w:rFonts w:hint="eastAsia" w:ascii="仿宋" w:hAnsi="仿宋" w:eastAsia="仿宋" w:cs="仿宋"/>
      <w:color w:val="FF0000"/>
      <w:sz w:val="24"/>
      <w:szCs w:val="24"/>
      <w:u w:val="none"/>
    </w:rPr>
  </w:style>
  <w:style w:type="paragraph" w:customStyle="1" w:styleId="28">
    <w:name w:val="Table Text"/>
    <w:basedOn w:val="1"/>
    <w:semiHidden/>
    <w:qFormat/>
    <w:uiPriority w:val="0"/>
    <w:rPr>
      <w:rFonts w:ascii="宋体" w:hAnsi="宋体" w:eastAsia="宋体" w:cs="宋体"/>
      <w:sz w:val="24"/>
      <w:lang w:eastAsia="en-US"/>
    </w:rPr>
  </w:style>
  <w:style w:type="table" w:customStyle="1" w:styleId="29">
    <w:name w:val="Table Normal"/>
    <w:unhideWhenUsed/>
    <w:qFormat/>
    <w:uiPriority w:val="0"/>
    <w:tblPr>
      <w:tblCellMar>
        <w:top w:w="0" w:type="dxa"/>
        <w:left w:w="0" w:type="dxa"/>
        <w:bottom w:w="0" w:type="dxa"/>
        <w:right w:w="0" w:type="dxa"/>
      </w:tblCellMar>
    </w:tblPr>
  </w:style>
  <w:style w:type="paragraph" w:styleId="30">
    <w:name w:val="List Paragraph"/>
    <w:basedOn w:val="1"/>
    <w:qFormat/>
    <w:uiPriority w:val="34"/>
    <w:pPr>
      <w:ind w:firstLine="420" w:firstLineChars="200"/>
    </w:pPr>
  </w:style>
  <w:style w:type="character" w:customStyle="1" w:styleId="31">
    <w:name w:val="页眉 Char"/>
    <w:basedOn w:val="12"/>
    <w:link w:val="8"/>
    <w:qFormat/>
    <w:uiPriority w:val="0"/>
    <w:rPr>
      <w:rFonts w:asciiTheme="minorHAnsi" w:hAnsiTheme="minorHAnsi" w:eastAsiaTheme="minorEastAsia" w:cstheme="minorBidi"/>
      <w:kern w:val="2"/>
      <w:sz w:val="18"/>
      <w:szCs w:val="18"/>
    </w:rPr>
  </w:style>
  <w:style w:type="paragraph" w:customStyle="1" w:styleId="32">
    <w:name w:val="p0"/>
    <w:basedOn w:val="1"/>
    <w:qFormat/>
    <w:uiPriority w:val="0"/>
    <w:pPr>
      <w:widowControl/>
      <w:spacing w:line="365" w:lineRule="atLeast"/>
      <w:ind w:left="1"/>
      <w:textAlignment w:val="bottom"/>
    </w:pPr>
    <w:rPr>
      <w:rFonts w:ascii="Times New Roman" w:hAnsi="Times New Roman" w:eastAsia="宋体" w:cs="Times New Roman"/>
      <w:kern w:val="0"/>
      <w:sz w:val="20"/>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13</Pages>
  <Words>4478</Words>
  <Characters>4784</Characters>
  <Lines>38</Lines>
  <Paragraphs>10</Paragraphs>
  <TotalTime>5</TotalTime>
  <ScaleCrop>false</ScaleCrop>
  <LinksUpToDate>false</LinksUpToDate>
  <CharactersWithSpaces>4998</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2025-02-17T07:34:00Z</dcterms:created>
  <dc:creator>雷建军</dc:creator>
  <cp:lastModifiedBy>冰火</cp:lastModifiedBy>
  <cp:lastPrinted>2025-08-25T01:50:00Z</cp:lastPrinted>
  <dcterms:modified xsi:type="dcterms:W3CDTF">2025-09-04T03:04:14Z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7B45DB9A7B6440F18A01E498AC8328F5_13</vt:lpwstr>
  </property>
  <property fmtid="{D5CDD505-2E9C-101B-9397-08002B2CF9AE}" pid="4" name="KSOTemplateDocerSaveRecord">
    <vt:lpwstr>eyJoZGlkIjoiMTU4ZWQzZDFhZmYzYTBiMWNlZmM2NzBiNzM0NTBkZjIiLCJ1c2VySWQiOiI2MDk2NjE4MDIifQ==</vt:lpwstr>
  </property>
</Properties>
</file>