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9月份双氧水采购项目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采购双氧水</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33795776"/>
      <w:bookmarkStart w:id="6" w:name="_Toc14565"/>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双氧水采购项目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供货期限至12月31日，在此期间，如遇采购人检修、减产、生产工艺调整等，采购人根据实际情况适时调整采购量。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（五）数量：约1800吨。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63A52">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sz w:val="32"/>
          <w:szCs w:val="32"/>
          <w:lang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rPr>
        <w:t>GB1616-2</w:t>
      </w:r>
      <w:r>
        <w:rPr>
          <w:rFonts w:hint="eastAsia" w:ascii="仿宋" w:hAnsi="仿宋" w:eastAsia="仿宋" w:cs="仿宋"/>
          <w:b w:val="0"/>
          <w:bCs w:val="0"/>
          <w:sz w:val="28"/>
          <w:szCs w:val="28"/>
          <w:highlight w:val="none"/>
          <w:lang w:val="en-US" w:eastAsia="zh-CN"/>
        </w:rPr>
        <w:t>014</w:t>
      </w:r>
      <w:r>
        <w:rPr>
          <w:rFonts w:hint="eastAsia" w:ascii="仿宋" w:hAnsi="仿宋" w:eastAsia="仿宋" w:cs="仿宋"/>
          <w:b w:val="0"/>
          <w:bCs w:val="0"/>
          <w:sz w:val="28"/>
          <w:szCs w:val="28"/>
          <w:highlight w:val="none"/>
        </w:rPr>
        <w:t>标准</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color w:val="000000"/>
          <w:sz w:val="28"/>
          <w:szCs w:val="28"/>
          <w:highlight w:val="none"/>
        </w:rPr>
        <w:t>，要求含量≥27.5%</w:t>
      </w:r>
      <w:r>
        <w:rPr>
          <w:rFonts w:hint="eastAsia" w:ascii="仿宋" w:hAnsi="仿宋" w:eastAsia="仿宋" w:cs="仿宋"/>
          <w:b w:val="0"/>
          <w:bCs w:val="0"/>
          <w:color w:val="000000"/>
          <w:sz w:val="32"/>
          <w:szCs w:val="32"/>
          <w:highlight w:val="none"/>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环保、危运</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灌装</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color w:val="000000"/>
          <w:sz w:val="28"/>
          <w:szCs w:val="28"/>
          <w:highlight w:val="none"/>
          <w:lang w:val="en-US" w:eastAsia="zh-CN"/>
        </w:rPr>
        <w:t>双氧水</w:t>
      </w:r>
      <w:r>
        <w:rPr>
          <w:rFonts w:hint="eastAsia" w:ascii="仿宋" w:hAnsi="仿宋" w:eastAsia="仿宋" w:cs="仿宋"/>
          <w:b w:val="0"/>
          <w:bCs w:val="0"/>
          <w:color w:val="000000"/>
          <w:sz w:val="28"/>
          <w:szCs w:val="28"/>
          <w:highlight w:val="none"/>
        </w:rPr>
        <w:t>要求含量≥27.5%</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检验允许误差范围-0.1%，正常结算，以采购方质检为准。若实际质检结果超出误差范围，每低于一个百分点扣报价/27.5，若</w:t>
      </w:r>
      <w:r>
        <w:rPr>
          <w:rFonts w:hint="eastAsia" w:ascii="仿宋" w:hAnsi="仿宋" w:eastAsia="仿宋" w:cs="仿宋"/>
          <w:b w:val="0"/>
          <w:bCs w:val="0"/>
          <w:i w:val="0"/>
          <w:iCs w:val="0"/>
          <w:caps w:val="0"/>
          <w:color w:val="000000"/>
          <w:spacing w:val="0"/>
          <w:sz w:val="28"/>
          <w:szCs w:val="28"/>
          <w:shd w:val="clear" w:fill="FFFFFF"/>
        </w:rPr>
        <w:t>H</w:t>
      </w:r>
      <w:r>
        <w:rPr>
          <w:rFonts w:hint="eastAsia" w:ascii="仿宋" w:hAnsi="仿宋" w:eastAsia="仿宋" w:cs="仿宋"/>
          <w:b w:val="0"/>
          <w:bCs w:val="0"/>
          <w:i w:val="0"/>
          <w:iCs w:val="0"/>
          <w:caps w:val="0"/>
          <w:color w:val="000000"/>
          <w:spacing w:val="0"/>
          <w:sz w:val="21"/>
          <w:szCs w:val="21"/>
          <w:shd w:val="clear" w:fill="FFFFFF"/>
          <w:lang w:val="en-US" w:eastAsia="zh-CN"/>
        </w:rPr>
        <w:t>2</w:t>
      </w:r>
      <w:r>
        <w:rPr>
          <w:rFonts w:hint="eastAsia" w:ascii="仿宋" w:hAnsi="仿宋" w:eastAsia="仿宋" w:cs="仿宋"/>
          <w:b w:val="0"/>
          <w:bCs w:val="0"/>
          <w:i w:val="0"/>
          <w:iCs w:val="0"/>
          <w:caps w:val="0"/>
          <w:color w:val="000000"/>
          <w:spacing w:val="0"/>
          <w:sz w:val="28"/>
          <w:szCs w:val="28"/>
          <w:shd w:val="clear" w:fill="FFFFFF"/>
        </w:rPr>
        <w:t>O</w:t>
      </w:r>
      <w:r>
        <w:rPr>
          <w:rFonts w:hint="eastAsia" w:ascii="仿宋" w:hAnsi="仿宋" w:eastAsia="仿宋" w:cs="仿宋"/>
          <w:b w:val="0"/>
          <w:bCs w:val="0"/>
          <w:i w:val="0"/>
          <w:iCs w:val="0"/>
          <w:caps w:val="0"/>
          <w:color w:val="000000"/>
          <w:spacing w:val="0"/>
          <w:sz w:val="21"/>
          <w:szCs w:val="21"/>
          <w:shd w:val="clear" w:fill="FFFFFF"/>
          <w:lang w:val="en-US" w:eastAsia="zh-CN"/>
        </w:rPr>
        <w:t>2</w:t>
      </w:r>
      <w:r>
        <w:rPr>
          <w:rFonts w:hint="eastAsia" w:ascii="仿宋" w:hAnsi="仿宋" w:eastAsia="仿宋" w:cs="仿宋"/>
          <w:b w:val="0"/>
          <w:bCs w:val="0"/>
          <w:color w:val="000000"/>
          <w:sz w:val="28"/>
          <w:szCs w:val="28"/>
          <w:highlight w:val="none"/>
          <w:lang w:val="en-US" w:eastAsia="zh-CN"/>
        </w:rPr>
        <w:t>&lt;26.5%拒收；</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keepNext w:val="0"/>
        <w:keepLines w:val="0"/>
        <w:pageBreakBefore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0A33954F">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firstLine="280" w:firstLineChars="1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b/>
          <w:bCs/>
          <w:sz w:val="28"/>
          <w:szCs w:val="28"/>
          <w:highlight w:val="none"/>
          <w:lang w:val="en-US" w:eastAsia="zh-CN"/>
        </w:rPr>
        <w:t>要求报价单位必须具</w:t>
      </w:r>
      <w:r>
        <w:rPr>
          <w:rFonts w:hint="eastAsia" w:ascii="仿宋" w:hAnsi="仿宋" w:eastAsia="仿宋" w:cs="仿宋"/>
          <w:b/>
          <w:bCs/>
          <w:sz w:val="28"/>
          <w:szCs w:val="28"/>
          <w:highlight w:val="none"/>
        </w:rPr>
        <w:t>备独立法人资格及相应的经营范围</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即报</w:t>
      </w:r>
      <w:r>
        <w:rPr>
          <w:rFonts w:hint="eastAsia" w:ascii="仿宋" w:hAnsi="仿宋" w:eastAsia="仿宋" w:cs="仿宋"/>
          <w:b/>
          <w:bCs/>
          <w:color w:val="000000"/>
          <w:sz w:val="28"/>
          <w:szCs w:val="28"/>
          <w:highlight w:val="none"/>
          <w:lang w:val="en-US" w:eastAsia="zh-CN"/>
        </w:rPr>
        <w:t>价方须提供企业“营业执照”、“非药品类易制毒化学品经营备案证明”、“易制爆危险化学品从业单位备案证明”、“危险品经营许可证”以及含有双氧水（过氧化氢）的“道路运输经营许可证”共5种资质证明（报价方可以将运输交由具有“道路运输经营许可证”资质的第三方来承运）。不提供资质者，报价无效。</w:t>
      </w:r>
    </w:p>
    <w:p w14:paraId="7625647E">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keepNext w:val="0"/>
        <w:keepLines w:val="0"/>
        <w:pageBreakBefore w:val="0"/>
        <w:numPr>
          <w:ilvl w:val="0"/>
          <w:numId w:val="0"/>
        </w:numPr>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keepNext w:val="0"/>
        <w:keepLines w:val="0"/>
        <w:pageBreakBefore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keepNext w:val="0"/>
        <w:keepLines w:val="0"/>
        <w:pageBreakBefore w:val="0"/>
        <w:kinsoku/>
        <w:wordWrap/>
        <w:overflowPunct/>
        <w:topLinePunct w:val="0"/>
        <w:autoSpaceDE/>
        <w:autoSpaceDN/>
        <w:bidi w:val="0"/>
        <w:adjustRightInd/>
        <w:snapToGrid/>
        <w:spacing w:line="430" w:lineRule="exact"/>
        <w:ind w:left="0" w:firstLine="280" w:firstLineChars="100"/>
        <w:jc w:val="both"/>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52042318"/>
      <w:bookmarkStart w:id="13" w:name="_Toc300834963"/>
      <w:bookmarkStart w:id="14" w:name="_Toc369531529"/>
      <w:bookmarkStart w:id="15" w:name="_Toc361508598"/>
      <w:bookmarkStart w:id="16" w:name="_Toc384308223"/>
      <w:bookmarkStart w:id="17" w:name="_Toc152045542"/>
      <w:bookmarkStart w:id="18" w:name="_Toc144974510"/>
      <w:bookmarkStart w:id="19" w:name="_Toc247513966"/>
      <w:bookmarkStart w:id="20" w:name="_Toc352691486"/>
      <w:bookmarkStart w:id="21" w:name="_Toc247527567"/>
      <w:bookmarkStart w:id="22" w:name="_Toc2577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5543"/>
      <w:bookmarkStart w:id="25" w:name="_Toc247527568"/>
      <w:bookmarkStart w:id="26" w:name="_Toc144974511"/>
      <w:bookmarkStart w:id="27" w:name="_Toc300834964"/>
      <w:bookmarkStart w:id="28" w:name="_Toc247513967"/>
      <w:bookmarkStart w:id="29" w:name="_Toc15242"/>
      <w:bookmarkStart w:id="30" w:name="_Toc369531530"/>
      <w:bookmarkStart w:id="31" w:name="_Toc352691487"/>
      <w:bookmarkStart w:id="32" w:name="_Toc152042319"/>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,有效期为90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3万元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61508602"/>
      <w:bookmarkStart w:id="36" w:name="_Toc352691490"/>
      <w:bookmarkStart w:id="37" w:name="_Toc369531533"/>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300834967"/>
      <w:bookmarkStart w:id="41" w:name="_Toc247513970"/>
      <w:bookmarkStart w:id="42" w:name="_Toc361508603"/>
      <w:bookmarkStart w:id="43" w:name="_Toc152045546"/>
      <w:bookmarkStart w:id="44" w:name="_Toc247527571"/>
      <w:bookmarkStart w:id="45" w:name="_Toc352691491"/>
      <w:bookmarkStart w:id="46" w:name="_Toc144974514"/>
      <w:bookmarkStart w:id="47" w:name="_Toc384308228"/>
      <w:bookmarkStart w:id="48" w:name="_Toc14751"/>
      <w:bookmarkStart w:id="49" w:name="_Toc152042322"/>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13971"/>
      <w:bookmarkStart w:id="51" w:name="_Toc361508604"/>
      <w:bookmarkStart w:id="52" w:name="_Toc144974515"/>
      <w:bookmarkStart w:id="53" w:name="_Toc300834968"/>
      <w:bookmarkStart w:id="54" w:name="_Toc152042323"/>
      <w:bookmarkStart w:id="55" w:name="_Toc352691492"/>
      <w:bookmarkStart w:id="56" w:name="_Toc369531535"/>
      <w:bookmarkStart w:id="57" w:name="_Toc384308229"/>
      <w:bookmarkStart w:id="58" w:name="_Toc152045547"/>
      <w:bookmarkStart w:id="59" w:name="_Toc247527572"/>
      <w:bookmarkStart w:id="60" w:name="_Toc1795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8216"/>
      <w:bookmarkStart w:id="62" w:name="_Toc24514"/>
      <w:bookmarkStart w:id="63" w:name="_Toc21871"/>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响应文件提交截止时间：2025年9月11日13时（北京时间）；</w:t>
      </w:r>
    </w:p>
    <w:p w14:paraId="2B1C985E">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2025年9月11日13时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2380"/>
      <w:bookmarkStart w:id="66" w:name="_Toc2907"/>
      <w:bookmarkStart w:id="67" w:name="_Toc300835013"/>
      <w:bookmarkStart w:id="68" w:name="_Toc247514027"/>
      <w:bookmarkStart w:id="69" w:name="_Toc144974570"/>
      <w:bookmarkStart w:id="70" w:name="_Toc361508651"/>
      <w:bookmarkStart w:id="71" w:name="_Toc352691538"/>
      <w:bookmarkStart w:id="72" w:name="_Toc369531582"/>
      <w:bookmarkStart w:id="73" w:name="_Toc247527628"/>
      <w:bookmarkStart w:id="74" w:name="_Toc384308277"/>
      <w:bookmarkStart w:id="75" w:name="_Toc15204560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29291"/>
      <w:bookmarkStart w:id="78" w:name="_Toc16955"/>
      <w:bookmarkStart w:id="79" w:name="_Toc13563"/>
    </w:p>
    <w:p w14:paraId="74649D2E">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3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80" w:name="_Toc15253"/>
      <w:bookmarkStart w:id="81" w:name="_Toc3366"/>
      <w:bookmarkStart w:id="82" w:name="_Toc32669"/>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3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widowControl w:val="0"/>
        <w:kinsoku/>
        <w:wordWrap/>
        <w:overflowPunct/>
        <w:topLinePunct w:val="0"/>
        <w:autoSpaceDE/>
        <w:autoSpaceDN/>
        <w:bidi w:val="0"/>
        <w:adjustRightInd/>
        <w:snapToGrid/>
        <w:spacing w:before="0" w:after="0" w:line="430" w:lineRule="exact"/>
        <w:ind w:left="0" w:firstLine="562" w:firstLineChars="200"/>
        <w:jc w:val="both"/>
        <w:textAlignment w:val="auto"/>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87" w:name="_Toc16094"/>
      <w:bookmarkStart w:id="88" w:name="_Toc30852"/>
      <w:bookmarkStart w:id="89" w:name="_Toc33795808"/>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91" w:name="_Toc7018"/>
      <w:bookmarkStart w:id="92" w:name="_Toc19079"/>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27586"/>
      <w:bookmarkStart w:id="96" w:name="_Toc152042337"/>
      <w:bookmarkStart w:id="97" w:name="_Toc300834982"/>
      <w:bookmarkStart w:id="98" w:name="_Toc384308243"/>
      <w:bookmarkStart w:id="99" w:name="_Toc152045561"/>
      <w:bookmarkStart w:id="100" w:name="_Toc352691505"/>
      <w:bookmarkStart w:id="101" w:name="_Toc247513985"/>
      <w:bookmarkStart w:id="102" w:name="_Toc144974529"/>
      <w:bookmarkStart w:id="103" w:name="_Toc361508618"/>
      <w:bookmarkStart w:id="104" w:name="_Toc30095"/>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106" w:name="_Toc25590"/>
      <w:bookmarkStart w:id="107" w:name="_Toc21648"/>
      <w:bookmarkStart w:id="108" w:name="_Toc28756"/>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114" w:name="_Toc33795812"/>
      <w:bookmarkStart w:id="115" w:name="_Toc10813"/>
      <w:bookmarkStart w:id="116" w:name="_Toc31681"/>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52691506"/>
      <w:bookmarkStart w:id="120" w:name="_Toc300834983"/>
      <w:bookmarkStart w:id="121" w:name="_Toc369531550"/>
      <w:bookmarkStart w:id="122" w:name="_Toc384308244"/>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124" w:name="_Toc4342"/>
      <w:bookmarkStart w:id="125" w:name="_Toc33795813"/>
      <w:bookmarkStart w:id="126" w:name="_Toc216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widowControl w:val="0"/>
        <w:kinsoku/>
        <w:wordWrap/>
        <w:overflowPunct/>
        <w:topLinePunct w:val="0"/>
        <w:autoSpaceDE/>
        <w:autoSpaceDN/>
        <w:bidi w:val="0"/>
        <w:adjustRightInd/>
        <w:snapToGrid/>
        <w:spacing w:before="0" w:after="0" w:line="430" w:lineRule="exact"/>
        <w:ind w:left="0" w:leftChars="0" w:firstLine="280" w:firstLineChars="100"/>
        <w:jc w:val="both"/>
        <w:textAlignment w:val="auto"/>
        <w:rPr>
          <w:rFonts w:hint="eastAsia" w:ascii="仿宋" w:hAnsi="仿宋" w:eastAsia="仿宋" w:cs="仿宋"/>
          <w:color w:val="auto"/>
          <w:sz w:val="28"/>
          <w:szCs w:val="28"/>
        </w:rPr>
      </w:pPr>
      <w:bookmarkStart w:id="128" w:name="_Toc33795814"/>
      <w:bookmarkStart w:id="129" w:name="_Toc11183"/>
      <w:bookmarkStart w:id="130" w:name="_Toc14362"/>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44974532"/>
      <w:bookmarkStart w:id="133" w:name="_Toc384308247"/>
      <w:bookmarkStart w:id="134" w:name="_Toc361508622"/>
      <w:bookmarkStart w:id="135" w:name="_Toc369531553"/>
      <w:bookmarkStart w:id="136" w:name="_Toc152042340"/>
      <w:bookmarkStart w:id="137" w:name="_Toc247513988"/>
      <w:bookmarkStart w:id="138" w:name="_Toc352691509"/>
      <w:bookmarkStart w:id="139" w:name="_Toc4656"/>
      <w:bookmarkStart w:id="140" w:name="_Toc300834986"/>
      <w:bookmarkStart w:id="141" w:name="_Toc247527589"/>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9531554"/>
      <w:bookmarkStart w:id="144" w:name="_Toc247527590"/>
      <w:bookmarkStart w:id="145" w:name="_Toc144974533"/>
      <w:bookmarkStart w:id="146" w:name="_Toc300834987"/>
      <w:bookmarkStart w:id="147" w:name="_Toc152045565"/>
      <w:bookmarkStart w:id="148" w:name="_Toc384308248"/>
      <w:bookmarkStart w:id="149" w:name="_Toc361508623"/>
      <w:bookmarkStart w:id="150" w:name="_Toc352691510"/>
      <w:bookmarkStart w:id="151" w:name="_Toc18247"/>
      <w:bookmarkStart w:id="152" w:name="_Toc247513989"/>
      <w:bookmarkStart w:id="153" w:name="_Toc152042341"/>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152042344"/>
      <w:bookmarkStart w:id="158" w:name="_Toc247513992"/>
      <w:bookmarkStart w:id="159" w:name="_Toc152045568"/>
      <w:bookmarkStart w:id="160" w:name="_Toc247527593"/>
      <w:bookmarkStart w:id="161" w:name="_Toc144974536"/>
      <w:bookmarkStart w:id="162" w:name="_Toc300834991"/>
    </w:p>
    <w:bookmarkEnd w:id="154"/>
    <w:bookmarkEnd w:id="155"/>
    <w:bookmarkEnd w:id="156"/>
    <w:p w14:paraId="5C60697D">
      <w:pPr>
        <w:pStyle w:val="2"/>
        <w:pageBreakBefore w:val="0"/>
        <w:widowControl w:val="0"/>
        <w:kinsoku/>
        <w:wordWrap/>
        <w:overflowPunct/>
        <w:topLinePunct w:val="0"/>
        <w:autoSpaceDE/>
        <w:autoSpaceDN/>
        <w:bidi w:val="0"/>
        <w:adjustRightInd/>
        <w:snapToGrid/>
        <w:spacing w:before="0" w:after="0" w:line="430" w:lineRule="exact"/>
        <w:ind w:left="0" w:firstLine="562" w:firstLineChars="200"/>
        <w:jc w:val="both"/>
        <w:textAlignment w:val="auto"/>
        <w:rPr>
          <w:rFonts w:hint="eastAsia" w:ascii="仿宋" w:hAnsi="仿宋" w:eastAsia="仿宋" w:cs="仿宋"/>
          <w:color w:val="auto"/>
          <w:sz w:val="28"/>
          <w:szCs w:val="28"/>
        </w:rPr>
      </w:pPr>
      <w:bookmarkStart w:id="163" w:name="_Toc14752"/>
      <w:bookmarkStart w:id="164" w:name="_Toc33795815"/>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widowControl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69531559"/>
      <w:bookmarkStart w:id="168" w:name="_Toc361508628"/>
      <w:bookmarkStart w:id="169" w:name="_Toc384308253"/>
      <w:bookmarkStart w:id="170" w:name="_Toc352691515"/>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widowControl w:val="0"/>
        <w:numPr>
          <w:ilvl w:val="0"/>
          <w:numId w:val="0"/>
        </w:numPr>
        <w:kinsoku/>
        <w:wordWrap/>
        <w:overflowPunct/>
        <w:topLinePunct w:val="0"/>
        <w:autoSpaceDE/>
        <w:autoSpaceDN/>
        <w:bidi w:val="0"/>
        <w:adjustRightInd/>
        <w:snapToGrid/>
        <w:spacing w:before="0" w:after="0" w:line="430" w:lineRule="exact"/>
        <w:ind w:left="0" w:firstLine="560" w:firstLineChars="200"/>
        <w:jc w:val="both"/>
        <w:textAlignment w:val="auto"/>
        <w:rPr>
          <w:rFonts w:hint="eastAsia" w:ascii="仿宋" w:hAnsi="仿宋" w:eastAsia="仿宋" w:cs="仿宋"/>
          <w:color w:val="auto"/>
          <w:sz w:val="28"/>
          <w:szCs w:val="28"/>
        </w:rPr>
      </w:pPr>
      <w:bookmarkStart w:id="171" w:name="_Toc18070"/>
      <w:bookmarkStart w:id="172" w:name="_Toc24957"/>
      <w:bookmarkStart w:id="173" w:name="_Toc3379582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560" w:firstLineChars="200"/>
        <w:jc w:val="both"/>
        <w:textAlignment w:val="auto"/>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30" w:lineRule="exact"/>
        <w:ind w:firstLine="4480" w:firstLineChars="16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30" w:lineRule="exact"/>
        <w:ind w:firstLine="4480" w:firstLineChars="1600"/>
        <w:jc w:val="both"/>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2025年9月8日</w:t>
      </w:r>
    </w:p>
    <w:p w14:paraId="09DD35AC">
      <w:pPr>
        <w:keepNext w:val="0"/>
        <w:keepLines w:val="0"/>
        <w:pageBreakBefore w:val="0"/>
        <w:widowControl w:val="0"/>
        <w:suppressLineNumbers w:val="0"/>
        <w:kinsoku/>
        <w:wordWrap/>
        <w:overflowPunct/>
        <w:topLinePunct w:val="0"/>
        <w:autoSpaceDE/>
        <w:autoSpaceDN/>
        <w:bidi w:val="0"/>
        <w:adjustRightInd/>
        <w:snapToGrid/>
        <w:spacing w:line="430" w:lineRule="exact"/>
        <w:ind w:left="0" w:firstLine="640" w:firstLineChars="200"/>
        <w:jc w:val="both"/>
        <w:textAlignment w:val="auto"/>
        <w:rPr>
          <w:rFonts w:hint="eastAsia" w:ascii="仿宋" w:hAnsi="仿宋" w:eastAsia="仿宋" w:cs="仿宋"/>
          <w:color w:val="auto"/>
          <w:kern w:val="0"/>
          <w:sz w:val="32"/>
          <w:szCs w:val="32"/>
          <w:lang w:val="en-US" w:eastAsia="zh-CN" w:bidi="ar"/>
        </w:rPr>
      </w:pPr>
    </w:p>
    <w:p w14:paraId="63918B66">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XB20250909-25</w:t>
      </w:r>
      <w:bookmarkStart w:id="210" w:name="_GoBack"/>
      <w:bookmarkEnd w:id="210"/>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2025年9月份双氧水</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247527829"/>
      <w:bookmarkStart w:id="186" w:name="_Toc300835211"/>
      <w:bookmarkStart w:id="187" w:name="_Toc352691663"/>
      <w:bookmarkStart w:id="188" w:name="_Toc369531699"/>
      <w:bookmarkStart w:id="189" w:name="_Toc384308377"/>
      <w:bookmarkStart w:id="190" w:name="_Toc152045789"/>
      <w:bookmarkStart w:id="191" w:name="_Toc15573"/>
      <w:bookmarkStart w:id="192" w:name="_Toc361508754"/>
      <w:bookmarkStart w:id="193" w:name="_Toc144974858"/>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仿宋" w:hAnsi="仿宋" w:eastAsia="仿宋" w:cs="仿宋"/>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9"/>
        <w:tblW w:w="8646" w:type="dxa"/>
        <w:tblInd w:w="-260" w:type="dxa"/>
        <w:tblLayout w:type="fixed"/>
        <w:tblCellMar>
          <w:top w:w="0" w:type="dxa"/>
          <w:left w:w="0" w:type="dxa"/>
          <w:bottom w:w="0" w:type="dxa"/>
          <w:right w:w="0" w:type="dxa"/>
        </w:tblCellMar>
      </w:tblPr>
      <w:tblGrid>
        <w:gridCol w:w="729"/>
        <w:gridCol w:w="1041"/>
        <w:gridCol w:w="2766"/>
        <w:gridCol w:w="1002"/>
        <w:gridCol w:w="1260"/>
        <w:gridCol w:w="1848"/>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0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rPr>
            </w:pPr>
            <w:r>
              <w:rPr>
                <w:rFonts w:hint="eastAsia" w:ascii="仿宋" w:hAnsi="仿宋" w:eastAsia="仿宋" w:cs="仿宋"/>
                <w:b w:val="0"/>
                <w:bCs/>
                <w:i w:val="0"/>
                <w:color w:val="000000"/>
                <w:kern w:val="0"/>
                <w:sz w:val="28"/>
                <w:szCs w:val="28"/>
                <w:u w:val="none"/>
                <w:lang w:val="en-US" w:eastAsia="zh-CN" w:bidi="ar"/>
              </w:rPr>
              <w:t>物品   名称</w:t>
            </w:r>
          </w:p>
        </w:tc>
        <w:tc>
          <w:tcPr>
            <w:tcW w:w="27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规格型号</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数量</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报价</w:t>
            </w:r>
          </w:p>
        </w:tc>
        <w:tc>
          <w:tcPr>
            <w:tcW w:w="18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kern w:val="0"/>
                <w:sz w:val="28"/>
                <w:szCs w:val="28"/>
                <w:u w:val="none"/>
                <w:lang w:val="en-US" w:eastAsia="zh-CN" w:bidi="ar"/>
              </w:rPr>
              <w:t>金额</w:t>
            </w:r>
            <w:r>
              <w:rPr>
                <w:rFonts w:hint="eastAsia" w:ascii="仿宋" w:hAnsi="仿宋" w:eastAsia="仿宋" w:cs="仿宋"/>
                <w:b w:val="0"/>
                <w:bCs/>
                <w:i w:val="0"/>
                <w:color w:val="000000"/>
                <w:sz w:val="28"/>
                <w:szCs w:val="28"/>
                <w:u w:val="none"/>
                <w:lang w:val="en-US" w:eastAsia="zh-CN"/>
              </w:rPr>
              <w:t xml:space="preserve">   </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1</w:t>
            </w:r>
          </w:p>
        </w:tc>
        <w:tc>
          <w:tcPr>
            <w:tcW w:w="1041"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双氧水</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A9AD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rPr>
              <w:t>GB1616-2</w:t>
            </w:r>
            <w:r>
              <w:rPr>
                <w:rFonts w:hint="eastAsia" w:ascii="仿宋" w:hAnsi="仿宋" w:eastAsia="仿宋" w:cs="仿宋"/>
                <w:b w:val="0"/>
                <w:bCs w:val="0"/>
                <w:sz w:val="28"/>
                <w:szCs w:val="28"/>
                <w:highlight w:val="none"/>
                <w:lang w:val="en-US" w:eastAsia="zh-CN"/>
              </w:rPr>
              <w:t>014</w:t>
            </w:r>
            <w:r>
              <w:rPr>
                <w:rFonts w:hint="eastAsia" w:ascii="仿宋" w:hAnsi="仿宋" w:eastAsia="仿宋" w:cs="仿宋"/>
                <w:b w:val="0"/>
                <w:bCs w:val="0"/>
                <w:sz w:val="28"/>
                <w:szCs w:val="28"/>
                <w:highlight w:val="none"/>
              </w:rPr>
              <w:t>标准</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color w:val="000000"/>
                <w:sz w:val="28"/>
                <w:szCs w:val="28"/>
                <w:highlight w:val="none"/>
              </w:rPr>
              <w:t>，要求含量≥27.5%</w:t>
            </w: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约1800</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r w14:paraId="09E01868">
        <w:tblPrEx>
          <w:tblCellMar>
            <w:top w:w="0" w:type="dxa"/>
            <w:left w:w="0" w:type="dxa"/>
            <w:bottom w:w="0" w:type="dxa"/>
            <w:right w:w="0" w:type="dxa"/>
          </w:tblCellMar>
        </w:tblPrEx>
        <w:trPr>
          <w:trHeight w:val="596" w:hRule="atLeast"/>
        </w:trPr>
        <w:tc>
          <w:tcPr>
            <w:tcW w:w="177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7004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合计</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5DA8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8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2D4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345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bl>
    <w:p w14:paraId="0ED1875F">
      <w:pPr>
        <w:bidi w:val="0"/>
        <w:ind w:firstLine="1400" w:firstLineChars="500"/>
        <w:jc w:val="left"/>
        <w:rPr>
          <w:rFonts w:hint="eastAsia" w:ascii="仿宋" w:hAnsi="仿宋" w:eastAsia="仿宋" w:cs="仿宋"/>
          <w:color w:val="auto"/>
          <w:kern w:val="0"/>
          <w:sz w:val="28"/>
          <w:szCs w:val="28"/>
          <w:lang w:val="en-US" w:eastAsia="zh-CN"/>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5100" w:firstLineChars="17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仿宋" w:hAnsi="仿宋" w:eastAsia="仿宋" w:cs="仿宋"/>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75DF90A6"/>
    <w:p w14:paraId="66EC21BE"/>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85B68"/>
    <w:rsid w:val="003B5EE3"/>
    <w:rsid w:val="02B94FE1"/>
    <w:rsid w:val="19683906"/>
    <w:rsid w:val="1A9D7B2B"/>
    <w:rsid w:val="1E623152"/>
    <w:rsid w:val="3E2E0A39"/>
    <w:rsid w:val="58C05AD5"/>
    <w:rsid w:val="68085B68"/>
    <w:rsid w:val="759C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7456</Words>
  <Characters>7663</Characters>
  <Lines>0</Lines>
  <Paragraphs>0</Paragraphs>
  <TotalTime>21</TotalTime>
  <ScaleCrop>false</ScaleCrop>
  <LinksUpToDate>false</LinksUpToDate>
  <CharactersWithSpaces>8179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2025-06-05T01:00:00Z</dcterms:created>
  <dc:creator>瞬间无语</dc:creator>
  <cp:lastModifiedBy>李晶</cp:lastModifiedBy>
  <cp:lastPrinted>2025-09-08T09:29:00Z</cp:lastPrinted>
  <dcterms:modified xsi:type="dcterms:W3CDTF">2025-09-09T11:10:27Z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BFCE2813388E426FBCED90C78A7CDA1C_11</vt:lpwstr>
  </property>
  <property fmtid="{D5CDD505-2E9C-101B-9397-08002B2CF9AE}" pid="4" name="KSOTemplateDocerSaveRecord">
    <vt:lpwstr>eyJoZGlkIjoiM2ExNjY5MWQ0OWUzYjcxZjUxYWY0YjAzMjk0YjQ0NDAiLCJ1c2VySWQiOiI2Mjg3MjA1MDUifQ==</vt:lpwstr>
  </property>
</Properties>
</file>