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9月份酒石酸锑钾采购项目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采购5吨酒石酸锑钾</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33795776"/>
      <w:bookmarkStart w:id="6" w:name="_Toc7037"/>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酒石酸锑钾采购项目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合同签订后10日内送到，在此期间，如遇采购人检修、减产、生产工艺调整等，采购人根据实际情况适时调整采购量。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（五）数量：5吨。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val="en-US" w:eastAsia="zh-CN"/>
        </w:rPr>
        <w:t>产地：安徽艾博，按</w:t>
      </w:r>
      <w:r>
        <w:rPr>
          <w:rFonts w:hint="eastAsia" w:ascii="仿宋" w:hAnsi="仿宋" w:eastAsia="仿宋" w:cs="仿宋"/>
          <w:color w:val="auto"/>
          <w:sz w:val="28"/>
          <w:szCs w:val="28"/>
          <w:highlight w:val="none"/>
          <w:lang w:val="en-US" w:eastAsia="zh-CN"/>
        </w:rPr>
        <w:t>SQS JG-005-2025</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工业级含量≥98%，重金属≤0.001%，砷盐≤0.0002%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未按产地、品牌要求报价的，报价无效。</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33795778"/>
      <w:bookmarkStart w:id="10" w:name="_Toc14196"/>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13966"/>
      <w:bookmarkStart w:id="13" w:name="_Toc384308223"/>
      <w:bookmarkStart w:id="14" w:name="_Toc247527567"/>
      <w:bookmarkStart w:id="15" w:name="_Toc361508598"/>
      <w:bookmarkStart w:id="16" w:name="_Toc369531529"/>
      <w:bookmarkStart w:id="17" w:name="_Toc300834963"/>
      <w:bookmarkStart w:id="18" w:name="_Toc152042318"/>
      <w:bookmarkStart w:id="19" w:name="_Toc144974510"/>
      <w:bookmarkStart w:id="20" w:name="_Toc352691486"/>
      <w:bookmarkStart w:id="21" w:name="_Toc25772"/>
      <w:bookmarkStart w:id="22" w:name="_Toc15204554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15242"/>
      <w:bookmarkStart w:id="25" w:name="_Toc361508599"/>
      <w:bookmarkStart w:id="26" w:name="_Toc300834964"/>
      <w:bookmarkStart w:id="27" w:name="_Toc384308224"/>
      <w:bookmarkStart w:id="28" w:name="_Toc144974511"/>
      <w:bookmarkStart w:id="29" w:name="_Toc152042319"/>
      <w:bookmarkStart w:id="30" w:name="_Toc352691487"/>
      <w:bookmarkStart w:id="31" w:name="_Toc152045543"/>
      <w:bookmarkStart w:id="32" w:name="_Toc247513967"/>
      <w:bookmarkStart w:id="33" w:name="_Toc369531530"/>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9531533"/>
      <w:bookmarkStart w:id="36" w:name="_Toc29025"/>
      <w:bookmarkStart w:id="37" w:name="_Toc384308227"/>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352691491"/>
      <w:bookmarkStart w:id="41" w:name="_Toc384308228"/>
      <w:bookmarkStart w:id="42" w:name="_Toc152042322"/>
      <w:bookmarkStart w:id="43" w:name="_Toc361508603"/>
      <w:bookmarkStart w:id="44" w:name="_Toc247527571"/>
      <w:bookmarkStart w:id="45" w:name="_Toc14751"/>
      <w:bookmarkStart w:id="46" w:name="_Toc300834967"/>
      <w:bookmarkStart w:id="47" w:name="_Toc247513970"/>
      <w:bookmarkStart w:id="48" w:name="_Toc144974514"/>
      <w:bookmarkStart w:id="49" w:name="_Toc152045546"/>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5547"/>
      <w:bookmarkStart w:id="51" w:name="_Toc361508604"/>
      <w:bookmarkStart w:id="52" w:name="_Toc352691492"/>
      <w:bookmarkStart w:id="53" w:name="_Toc144974515"/>
      <w:bookmarkStart w:id="54" w:name="_Toc152042323"/>
      <w:bookmarkStart w:id="55" w:name="_Toc300834968"/>
      <w:bookmarkStart w:id="56" w:name="_Toc384308229"/>
      <w:bookmarkStart w:id="57" w:name="_Toc17952"/>
      <w:bookmarkStart w:id="58" w:name="_Toc247527572"/>
      <w:bookmarkStart w:id="59" w:name="_Toc247513971"/>
      <w:bookmarkStart w:id="60" w:name="_Toc36953153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adjustRightInd/>
        <w:snapToGrid/>
        <w:spacing w:line="42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adjustRightInd/>
        <w:snapToGrid/>
        <w:spacing w:line="42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adjustRightInd/>
        <w:snapToGrid/>
        <w:spacing w:before="0" w:after="0" w:line="420" w:lineRule="exact"/>
        <w:ind w:left="0" w:firstLine="280" w:firstLineChars="100"/>
        <w:jc w:val="both"/>
        <w:textAlignment w:val="auto"/>
        <w:rPr>
          <w:rFonts w:hint="eastAsia" w:ascii="仿宋" w:hAnsi="仿宋" w:eastAsia="仿宋" w:cs="仿宋"/>
          <w:color w:val="auto"/>
          <w:sz w:val="28"/>
          <w:szCs w:val="28"/>
        </w:rPr>
      </w:pPr>
      <w:bookmarkStart w:id="61" w:name="_Toc33795794"/>
      <w:bookmarkStart w:id="62" w:name="_Toc21871"/>
      <w:bookmarkStart w:id="63" w:name="_Toc28216"/>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adjustRightInd/>
        <w:snapToGrid/>
        <w:spacing w:before="0" w:after="0"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响应文件提交截止时间：2025年9月11日13时（北京时间）；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2025年9月11日13时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27628"/>
      <w:bookmarkStart w:id="66" w:name="_Toc300835013"/>
      <w:bookmarkStart w:id="67" w:name="_Toc384308277"/>
      <w:bookmarkStart w:id="68" w:name="_Toc361508651"/>
      <w:bookmarkStart w:id="69" w:name="_Toc2907"/>
      <w:bookmarkStart w:id="70" w:name="_Toc369531582"/>
      <w:bookmarkStart w:id="71" w:name="_Toc152042380"/>
      <w:bookmarkStart w:id="72" w:name="_Toc152045603"/>
      <w:bookmarkStart w:id="73" w:name="_Toc247514027"/>
      <w:bookmarkStart w:id="74" w:name="_Toc144974570"/>
      <w:bookmarkStart w:id="75" w:name="_Toc352691538"/>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3379583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795836"/>
      <w:bookmarkStart w:id="82" w:name="_Toc336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33795807"/>
      <w:bookmarkStart w:id="85" w:name="_Toc8518"/>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33795808"/>
      <w:bookmarkStart w:id="89" w:name="_Toc16094"/>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7018"/>
      <w:bookmarkStart w:id="93" w:name="_Toc1907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84308243"/>
      <w:bookmarkStart w:id="96" w:name="_Toc247527586"/>
      <w:bookmarkStart w:id="97" w:name="_Toc369531549"/>
      <w:bookmarkStart w:id="98" w:name="_Toc144974529"/>
      <w:bookmarkStart w:id="99" w:name="_Toc152045561"/>
      <w:bookmarkStart w:id="100" w:name="_Toc361508618"/>
      <w:bookmarkStart w:id="101" w:name="_Toc352691505"/>
      <w:bookmarkStart w:id="102" w:name="_Toc247513985"/>
      <w:bookmarkStart w:id="103" w:name="_Toc300834982"/>
      <w:bookmarkStart w:id="104" w:name="_Toc152042337"/>
      <w:bookmarkStart w:id="105" w:name="_Toc3009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33795810"/>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3795812"/>
      <w:bookmarkStart w:id="116" w:name="_Toc31681"/>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5668"/>
      <w:bookmarkStart w:id="120" w:name="_Toc384308244"/>
      <w:bookmarkStart w:id="121" w:name="_Toc369531550"/>
      <w:bookmarkStart w:id="122" w:name="_Toc361508619"/>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21613"/>
      <w:bookmarkStart w:id="126" w:name="_Toc337958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144974532"/>
      <w:bookmarkStart w:id="134" w:name="_Toc4656"/>
      <w:bookmarkStart w:id="135" w:name="_Toc361508622"/>
      <w:bookmarkStart w:id="136" w:name="_Toc247513988"/>
      <w:bookmarkStart w:id="137" w:name="_Toc384308247"/>
      <w:bookmarkStart w:id="138" w:name="_Toc369531553"/>
      <w:bookmarkStart w:id="139" w:name="_Toc152042340"/>
      <w:bookmarkStart w:id="140" w:name="_Toc352691509"/>
      <w:bookmarkStart w:id="141" w:name="_Toc152045564"/>
      <w:bookmarkStart w:id="142" w:name="_Toc247527589"/>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144974533"/>
      <w:bookmarkStart w:id="145" w:name="_Toc352691510"/>
      <w:bookmarkStart w:id="146" w:name="_Toc247513989"/>
      <w:bookmarkStart w:id="147" w:name="_Toc369531554"/>
      <w:bookmarkStart w:id="148" w:name="_Toc152045565"/>
      <w:bookmarkStart w:id="149" w:name="_Toc247527590"/>
      <w:bookmarkStart w:id="150" w:name="_Toc18247"/>
      <w:bookmarkStart w:id="151" w:name="_Toc300834987"/>
      <w:bookmarkStart w:id="152" w:name="_Toc384308248"/>
      <w:bookmarkStart w:id="153" w:name="_Toc361508623"/>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152045568"/>
      <w:bookmarkStart w:id="158" w:name="_Toc247513992"/>
      <w:bookmarkStart w:id="159" w:name="_Toc152042344"/>
      <w:bookmarkStart w:id="160" w:name="_Toc300834991"/>
      <w:bookmarkStart w:id="161" w:name="_Toc247527593"/>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52691515"/>
      <w:bookmarkStart w:id="167" w:name="_Toc369531559"/>
      <w:bookmarkStart w:id="168" w:name="_Toc13644"/>
      <w:bookmarkStart w:id="169" w:name="_Toc384308253"/>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4957"/>
      <w:bookmarkStart w:id="172" w:name="_Toc33795820"/>
      <w:bookmarkStart w:id="173" w:name="_Toc22294"/>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760" w:firstLineChars="17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760" w:firstLineChars="17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2025年9月8日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XB20250909-26</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2025年9月份酒石酸锑钾</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384308377"/>
      <w:bookmarkStart w:id="186" w:name="_Toc152042578"/>
      <w:bookmarkStart w:id="187" w:name="_Toc352691663"/>
      <w:bookmarkStart w:id="188" w:name="_Toc300835211"/>
      <w:bookmarkStart w:id="189" w:name="_Toc369531699"/>
      <w:bookmarkStart w:id="190" w:name="_Toc247514248"/>
      <w:bookmarkStart w:id="191" w:name="_Toc152045789"/>
      <w:bookmarkStart w:id="192" w:name="_Toc361508754"/>
      <w:bookmarkStart w:id="193" w:name="_Toc247527829"/>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9"/>
        <w:tblW w:w="8676" w:type="dxa"/>
        <w:tblInd w:w="-260" w:type="dxa"/>
        <w:tblLayout w:type="fixed"/>
        <w:tblCellMar>
          <w:top w:w="0" w:type="dxa"/>
          <w:left w:w="0" w:type="dxa"/>
          <w:bottom w:w="0" w:type="dxa"/>
          <w:right w:w="0" w:type="dxa"/>
        </w:tblCellMar>
      </w:tblPr>
      <w:tblGrid>
        <w:gridCol w:w="540"/>
        <w:gridCol w:w="1188"/>
        <w:gridCol w:w="2808"/>
        <w:gridCol w:w="792"/>
        <w:gridCol w:w="1008"/>
        <w:gridCol w:w="1365"/>
        <w:gridCol w:w="975"/>
      </w:tblGrid>
      <w:tr w14:paraId="205FD423">
        <w:tblPrEx>
          <w:tblCellMar>
            <w:top w:w="0" w:type="dxa"/>
            <w:left w:w="0" w:type="dxa"/>
            <w:bottom w:w="0" w:type="dxa"/>
            <w:right w:w="0" w:type="dxa"/>
          </w:tblCellMar>
        </w:tblPrEx>
        <w:trPr>
          <w:trHeight w:val="118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1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28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7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9D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产地 品牌</w:t>
            </w:r>
          </w:p>
        </w:tc>
      </w:tr>
      <w:tr w14:paraId="4573A27B">
        <w:tblPrEx>
          <w:tblCellMar>
            <w:top w:w="0" w:type="dxa"/>
            <w:left w:w="0" w:type="dxa"/>
            <w:bottom w:w="0" w:type="dxa"/>
            <w:right w:w="0" w:type="dxa"/>
          </w:tblCellMar>
        </w:tblPrEx>
        <w:trPr>
          <w:trHeight w:val="310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酒石酸 锑钾</w:t>
            </w:r>
          </w:p>
        </w:tc>
        <w:tc>
          <w:tcPr>
            <w:tcW w:w="28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42FE9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sz w:val="28"/>
                <w:szCs w:val="28"/>
                <w:lang w:val="en-US" w:eastAsia="zh-CN"/>
              </w:rPr>
              <w:t>按</w:t>
            </w:r>
            <w:r>
              <w:rPr>
                <w:rFonts w:hint="eastAsia" w:ascii="仿宋" w:hAnsi="仿宋" w:eastAsia="仿宋" w:cs="仿宋"/>
                <w:color w:val="auto"/>
                <w:sz w:val="28"/>
                <w:szCs w:val="28"/>
                <w:highlight w:val="none"/>
                <w:lang w:val="en-US" w:eastAsia="zh-CN"/>
              </w:rPr>
              <w:t>SQS JG-005-2025</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工业级含量≥98%，重金属≤0.001%，砷盐≤0.0002%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未按产地、品牌要求报价的，报价无效。</w:t>
            </w:r>
          </w:p>
          <w:p w14:paraId="2D9FCC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138</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63CA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仿宋" w:cs="宋体"/>
                <w:b w:val="0"/>
                <w:bCs/>
                <w:i w:val="0"/>
                <w:color w:val="000000"/>
                <w:sz w:val="28"/>
                <w:szCs w:val="28"/>
                <w:u w:val="none"/>
                <w:lang w:val="en-US" w:eastAsia="zh-CN"/>
              </w:rPr>
            </w:pPr>
            <w:r>
              <w:rPr>
                <w:rFonts w:hint="eastAsia" w:ascii="宋体" w:hAnsi="宋体" w:eastAsia="宋体" w:cs="宋体"/>
                <w:b/>
                <w:bCs w:val="0"/>
                <w:i w:val="0"/>
                <w:color w:val="000000"/>
                <w:sz w:val="28"/>
                <w:szCs w:val="28"/>
                <w:u w:val="none"/>
                <w:lang w:val="en-US" w:eastAsia="zh-CN"/>
              </w:rPr>
              <w:t>价格</w:t>
            </w:r>
            <w:r>
              <w:rPr>
                <w:rFonts w:hint="eastAsia" w:ascii="仿宋" w:hAnsi="仿宋" w:eastAsia="仿宋" w:cs="仿宋"/>
                <w:b/>
                <w:bCs w:val="0"/>
                <w:color w:val="auto"/>
                <w:sz w:val="28"/>
                <w:szCs w:val="28"/>
                <w:lang w:eastAsia="zh-CN"/>
              </w:rPr>
              <w:t>响应有效期：</w:t>
            </w:r>
            <w:r>
              <w:rPr>
                <w:rFonts w:hint="eastAsia" w:ascii="仿宋" w:hAnsi="仿宋" w:eastAsia="仿宋" w:cs="仿宋"/>
                <w:b/>
                <w:bCs/>
                <w:color w:val="auto"/>
                <w:sz w:val="28"/>
                <w:szCs w:val="28"/>
              </w:rPr>
              <w:t>从提交</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rPr>
              <w:t>之日起</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val="en-US" w:eastAsia="zh-CN"/>
              </w:rPr>
              <w:t>内</w:t>
            </w:r>
            <w:r>
              <w:rPr>
                <w:rFonts w:hint="eastAsia" w:ascii="仿宋" w:hAnsi="仿宋" w:eastAsia="仿宋" w:cs="仿宋"/>
                <w:b/>
                <w:bCs/>
                <w:color w:val="auto"/>
                <w:sz w:val="28"/>
                <w:szCs w:val="28"/>
                <w:lang w:eastAsia="zh-CN"/>
              </w:rPr>
              <w:t>。</w:t>
            </w:r>
          </w:p>
        </w:tc>
      </w:tr>
    </w:tbl>
    <w:p w14:paraId="35760B33">
      <w:pPr>
        <w:pStyle w:val="2"/>
        <w:pageBreakBefore w:val="0"/>
        <w:kinsoku/>
        <w:wordWrap/>
        <w:overflowPunct/>
        <w:topLinePunct w:val="0"/>
        <w:autoSpaceDE/>
        <w:autoSpaceDN/>
        <w:bidi w:val="0"/>
        <w:adjustRightInd/>
        <w:snapToGrid/>
        <w:spacing w:after="0" w:line="320" w:lineRule="exact"/>
        <w:ind w:firstLine="321" w:firstLineChars="100"/>
        <w:jc w:val="both"/>
        <w:rPr>
          <w:rFonts w:hint="eastAsia" w:ascii="Times New Roman" w:hAnsi="Times New Roman"/>
          <w:color w:val="auto"/>
          <w:kern w:val="0"/>
        </w:rPr>
      </w:pPr>
    </w:p>
    <w:p w14:paraId="2AB3A225">
      <w:pPr>
        <w:pStyle w:val="2"/>
        <w:pageBreakBefore w:val="0"/>
        <w:kinsoku/>
        <w:wordWrap/>
        <w:overflowPunct/>
        <w:topLinePunct w:val="0"/>
        <w:autoSpaceDE/>
        <w:autoSpaceDN/>
        <w:bidi w:val="0"/>
        <w:adjustRightInd/>
        <w:snapToGrid/>
        <w:spacing w:after="0" w:line="320" w:lineRule="exact"/>
        <w:ind w:firstLine="2240" w:firstLineChars="700"/>
        <w:jc w:val="both"/>
        <w:rPr>
          <w:rFonts w:hint="eastAsia" w:ascii="Times New Roman" w:hAnsi="Times New Roman"/>
          <w:b w:val="0"/>
          <w:bCs/>
          <w:color w:val="auto"/>
          <w:kern w:val="0"/>
          <w:u w:val="single"/>
          <w:lang w:val="en-US" w:eastAsia="zh-CN"/>
        </w:rPr>
      </w:pPr>
      <w:r>
        <w:rPr>
          <w:rFonts w:hint="eastAsia" w:ascii="Times New Roman" w:hAnsi="Times New Roman"/>
          <w:b w:val="0"/>
          <w:bCs/>
          <w:color w:val="auto"/>
          <w:kern w:val="0"/>
          <w:lang w:val="en-US" w:eastAsia="zh-CN"/>
        </w:rPr>
        <w:t>报价单位签章：</w:t>
      </w:r>
      <w:r>
        <w:rPr>
          <w:rFonts w:hint="eastAsia" w:ascii="Times New Roman" w:hAnsi="Times New Roman"/>
          <w:b w:val="0"/>
          <w:bCs/>
          <w:color w:val="auto"/>
          <w:kern w:val="0"/>
          <w:u w:val="single"/>
          <w:lang w:val="en-US" w:eastAsia="zh-CN"/>
        </w:rPr>
        <w:t xml:space="preserve">                     </w:t>
      </w:r>
    </w:p>
    <w:p w14:paraId="77B7DA20">
      <w:pPr>
        <w:pStyle w:val="2"/>
        <w:pageBreakBefore w:val="0"/>
        <w:kinsoku/>
        <w:wordWrap/>
        <w:overflowPunct/>
        <w:topLinePunct w:val="0"/>
        <w:autoSpaceDE/>
        <w:autoSpaceDN/>
        <w:bidi w:val="0"/>
        <w:adjustRightInd/>
        <w:snapToGrid/>
        <w:spacing w:after="0" w:line="320" w:lineRule="exact"/>
        <w:ind w:firstLine="320" w:firstLineChars="100"/>
        <w:jc w:val="both"/>
        <w:rPr>
          <w:rFonts w:hint="eastAsia" w:ascii="Times New Roman" w:hAnsi="Times New Roman"/>
          <w:b w:val="0"/>
          <w:bCs/>
          <w:color w:val="auto"/>
          <w:kern w:val="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2240" w:firstLineChars="700"/>
        <w:jc w:val="both"/>
        <w:rPr>
          <w:rFonts w:ascii="Times New Roman" w:hAnsi="Times New Roman"/>
          <w:color w:val="auto"/>
        </w:rPr>
      </w:pPr>
      <w:r>
        <w:rPr>
          <w:rFonts w:hint="eastAsia" w:ascii="Times New Roman" w:hAnsi="Times New Roman"/>
          <w:b w:val="0"/>
          <w:bCs/>
          <w:color w:val="auto"/>
          <w:kern w:val="0"/>
          <w:u w:val="none"/>
          <w:lang w:val="en-US" w:eastAsia="zh-CN"/>
        </w:rPr>
        <w:t>日       期：</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年</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月</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日</w:t>
      </w:r>
      <w:r>
        <w:rPr>
          <w:rFonts w:hint="eastAsia" w:ascii="Times New Roman" w:hAnsi="Times New Roman"/>
          <w:b w:val="0"/>
          <w:bCs/>
          <w:color w:val="auto"/>
          <w:kern w:val="0"/>
          <w:u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52B2610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47A52"/>
    <w:rsid w:val="104D01F0"/>
    <w:rsid w:val="29747A52"/>
    <w:rsid w:val="40E90FBF"/>
    <w:rsid w:val="6B8E4D79"/>
    <w:rsid w:val="7B29241E"/>
    <w:rsid w:val="7DFD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7321</Words>
  <Characters>7526</Characters>
  <Lines>0</Lines>
  <Paragraphs>0</Paragraphs>
  <TotalTime>6</TotalTime>
  <ScaleCrop>false</ScaleCrop>
  <LinksUpToDate>false</LinksUpToDate>
  <CharactersWithSpaces>8055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2025-09-08T06:21:00Z</dcterms:created>
  <dc:creator>瞬间无语</dc:creator>
  <cp:lastModifiedBy>李晶</cp:lastModifiedBy>
  <cp:lastPrinted>2025-09-08T06:37:00Z</cp:lastPrinted>
  <dcterms:modified xsi:type="dcterms:W3CDTF">2025-09-09T11:13:55Z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452999B7A8844EC49D787FE18D7FC897_11</vt:lpwstr>
  </property>
  <property fmtid="{D5CDD505-2E9C-101B-9397-08002B2CF9AE}" pid="4" name="KSOTemplateDocerSaveRecord">
    <vt:lpwstr>eyJoZGlkIjoiM2ExNjY5MWQ0OWUzYjcxZjUxYWY0YjAzMjk0YjQ0NDAiLCJ1c2VySWQiOiI2Mjg3MjA1MDUifQ==</vt:lpwstr>
  </property>
</Properties>
</file>