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A696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jc w:val="both"/>
        <w:rPr>
          <w:rStyle w:val="11"/>
          <w:rFonts w:hint="eastAsia" w:ascii="方正粗黑宋简体" w:hAnsi="方正粗黑宋简体" w:eastAsia="方正粗黑宋简体" w:cs="方正粗黑宋简体"/>
          <w:b/>
          <w:bCs w:val="0"/>
          <w:i w:val="0"/>
          <w:iCs w:val="0"/>
          <w:caps w:val="0"/>
          <w:color w:val="000000"/>
          <w:spacing w:val="0"/>
          <w:sz w:val="36"/>
          <w:szCs w:val="36"/>
        </w:rPr>
      </w:pPr>
    </w:p>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firstLine="2891" w:firstLineChars="800"/>
        <w:jc w:val="both"/>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除氟剂采购项目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9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采购除氟剂若干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90" w:lineRule="exact"/>
        <w:ind w:firstLine="562" w:firstLineChars="200"/>
        <w:jc w:val="both"/>
        <w:rPr>
          <w:rFonts w:hint="eastAsia" w:ascii="仿宋" w:hAnsi="仿宋" w:eastAsia="仿宋" w:cs="仿宋"/>
          <w:b/>
          <w:bCs/>
          <w:color w:val="auto"/>
          <w:sz w:val="28"/>
          <w:szCs w:val="28"/>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90" w:lineRule="exact"/>
        <w:ind w:firstLine="280" w:firstLineChars="1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（一）采购人：陕西锌业有限公司 </w:t>
      </w:r>
    </w:p>
    <w:p w14:paraId="29D945B0">
      <w:pPr>
        <w:pageBreakBefore w:val="0"/>
        <w:kinsoku/>
        <w:wordWrap/>
        <w:overflowPunct/>
        <w:topLinePunct w:val="0"/>
        <w:autoSpaceDE/>
        <w:autoSpaceDN/>
        <w:bidi w:val="0"/>
        <w:snapToGrid/>
        <w:spacing w:line="49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14565"/>
      <w:bookmarkStart w:id="6" w:name="_Toc7037"/>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除氟剂采购项目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2025年10月31日前，在此期间，如遇采购人检修、减产、生产工艺调整等，采购人根据实际情况适时调整采购量。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9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（五）数量：除氟剂约200吨。</w:t>
      </w:r>
    </w:p>
    <w:p w14:paraId="3D4B6E74">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除氟后液含氟量&lt;50mg/l时，视为合格。</w:t>
      </w:r>
    </w:p>
    <w:p w14:paraId="4A263A52">
      <w:pPr>
        <w:keepNext w:val="0"/>
        <w:keepLines w:val="0"/>
        <w:pageBreakBefore w:val="0"/>
        <w:widowControl w:val="0"/>
        <w:kinsoku/>
        <w:wordWrap/>
        <w:overflowPunct/>
        <w:topLinePunct w:val="0"/>
        <w:autoSpaceDE/>
        <w:autoSpaceDN/>
        <w:bidi w:val="0"/>
        <w:adjustRightInd w:val="0"/>
        <w:snapToGrid/>
        <w:spacing w:line="490" w:lineRule="exact"/>
        <w:ind w:left="0" w:firstLine="560" w:firstLineChars="200"/>
        <w:jc w:val="both"/>
        <w:textAlignment w:val="baseline"/>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lang w:val="en-US" w:eastAsia="zh-CN"/>
        </w:rPr>
        <w:t>1.除氟剂使用介质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采购方用于锌冶炼湿法氧化锌工序除氟，前液含氟0.1-0.25g/l、含锌110-140g/l、含铁0.05-2.00g/l，PH值4.8-5.4，温度65-70℃。</w:t>
      </w:r>
    </w:p>
    <w:p w14:paraId="0B4DFD63">
      <w:pPr>
        <w:keepNext w:val="0"/>
        <w:keepLines w:val="0"/>
        <w:pageBreakBefore w:val="0"/>
        <w:widowControl w:val="0"/>
        <w:kinsoku/>
        <w:wordWrap/>
        <w:overflowPunct/>
        <w:topLinePunct w:val="0"/>
        <w:autoSpaceDE/>
        <w:autoSpaceDN/>
        <w:bidi w:val="0"/>
        <w:adjustRightInd w:val="0"/>
        <w:snapToGrid/>
        <w:spacing w:line="49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688"/>
      <w:bookmarkStart w:id="10" w:name="_Toc14196"/>
      <w:bookmarkStart w:id="11" w:name="_Toc33795778"/>
    </w:p>
    <w:p w14:paraId="28D76767">
      <w:pPr>
        <w:keepNext w:val="0"/>
        <w:keepLines w:val="0"/>
        <w:pageBreakBefore w:val="0"/>
        <w:kinsoku/>
        <w:wordWrap/>
        <w:overflowPunct/>
        <w:topLinePunct w:val="0"/>
        <w:autoSpaceDE/>
        <w:autoSpaceDN/>
        <w:bidi w:val="0"/>
        <w:adjustRightInd/>
        <w:snapToGrid/>
        <w:spacing w:line="49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9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9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72D45486">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）结算、标准、</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方式及期限：</w:t>
      </w:r>
    </w:p>
    <w:p w14:paraId="5DFEA5A5">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结算标准</w:t>
      </w:r>
    </w:p>
    <w:p w14:paraId="4EA8FCFA">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采购方根据日平均</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质检单，平均算出月</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含</w:t>
      </w:r>
      <w:r>
        <w:rPr>
          <w:rFonts w:hint="eastAsia" w:ascii="仿宋" w:hAnsi="仿宋" w:eastAsia="仿宋" w:cs="仿宋"/>
          <w:bCs/>
          <w:color w:val="auto"/>
          <w:sz w:val="28"/>
          <w:szCs w:val="28"/>
          <w:lang w:eastAsia="zh-CN"/>
        </w:rPr>
        <w:t>氟</w:t>
      </w:r>
      <w:r>
        <w:rPr>
          <w:rFonts w:hint="eastAsia" w:ascii="仿宋" w:hAnsi="仿宋" w:eastAsia="仿宋" w:cs="仿宋"/>
          <w:bCs/>
          <w:color w:val="auto"/>
          <w:sz w:val="28"/>
          <w:szCs w:val="28"/>
          <w:lang w:val="en-US" w:eastAsia="zh-CN"/>
        </w:rPr>
        <w:t>量。</w:t>
      </w:r>
      <w:r>
        <w:rPr>
          <w:rFonts w:hint="eastAsia" w:ascii="仿宋" w:hAnsi="仿宋" w:eastAsia="仿宋" w:cs="仿宋"/>
          <w:bCs/>
          <w:color w:val="auto"/>
          <w:sz w:val="28"/>
          <w:szCs w:val="28"/>
          <w:lang w:eastAsia="zh-CN"/>
        </w:rPr>
        <w:t xml:space="preserve">以除氟剂后液 </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0mg/l为基准，</w:t>
      </w:r>
      <w:r>
        <w:rPr>
          <w:rFonts w:hint="eastAsia" w:ascii="仿宋" w:hAnsi="仿宋" w:eastAsia="仿宋" w:cs="仿宋"/>
          <w:bCs/>
          <w:color w:val="auto"/>
          <w:sz w:val="28"/>
          <w:szCs w:val="28"/>
          <w:lang w:val="en-US" w:eastAsia="zh-CN"/>
        </w:rPr>
        <w:t>经报价方、采购方确认后（报价方可不定期到采购方查看日</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质检单，也可参与生产过程的取样、分析），根据采购方质检部门出具的</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月平均数据进行批量结算</w:t>
      </w:r>
      <w:r>
        <w:rPr>
          <w:rFonts w:hint="eastAsia" w:ascii="仿宋" w:hAnsi="仿宋" w:eastAsia="仿宋" w:cs="仿宋"/>
          <w:bCs/>
          <w:color w:val="auto"/>
          <w:sz w:val="28"/>
          <w:szCs w:val="28"/>
          <w:lang w:eastAsia="zh-CN"/>
        </w:rPr>
        <w:t>。</w:t>
      </w:r>
    </w:p>
    <w:p w14:paraId="16A63A2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2、结算细则</w:t>
      </w:r>
    </w:p>
    <w:p w14:paraId="24EFEEE6">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当</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0mg/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&lt;后液含氟量≤</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lang w:eastAsia="zh-CN"/>
        </w:rPr>
        <w:t xml:space="preserve">0mg/1时,按100元/吨扣减货款: </w:t>
      </w:r>
      <w:r>
        <w:rPr>
          <w:rFonts w:hint="eastAsia" w:ascii="仿宋" w:hAnsi="仿宋" w:eastAsia="仿宋" w:cs="仿宋"/>
          <w:bCs/>
          <w:color w:val="auto"/>
          <w:sz w:val="28"/>
          <w:szCs w:val="28"/>
          <w:lang w:val="en-US" w:eastAsia="zh-CN"/>
        </w:rPr>
        <w:t>60</w:t>
      </w:r>
      <w:r>
        <w:rPr>
          <w:rFonts w:hint="eastAsia" w:ascii="仿宋" w:hAnsi="仿宋" w:eastAsia="仿宋" w:cs="仿宋"/>
          <w:bCs/>
          <w:color w:val="auto"/>
          <w:sz w:val="28"/>
          <w:szCs w:val="28"/>
          <w:lang w:eastAsia="zh-CN"/>
        </w:rPr>
        <w:t>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&lt;后液含氟量≤</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lang w:eastAsia="zh-CN"/>
        </w:rPr>
        <w:t>0mg/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时，按 200元/吨扣减货款 ;当后液含氟量</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lang w:eastAsia="zh-CN"/>
        </w:rPr>
        <w:t>0mg/1&lt;后液含氟量≤</w:t>
      </w:r>
      <w:r>
        <w:rPr>
          <w:rFonts w:hint="eastAsia" w:ascii="仿宋" w:hAnsi="仿宋" w:eastAsia="仿宋" w:cs="仿宋"/>
          <w:bCs/>
          <w:color w:val="auto"/>
          <w:sz w:val="28"/>
          <w:szCs w:val="28"/>
          <w:lang w:val="en-US" w:eastAsia="zh-CN"/>
        </w:rPr>
        <w:t>80</w:t>
      </w:r>
      <w:r>
        <w:rPr>
          <w:rFonts w:hint="eastAsia" w:ascii="仿宋" w:hAnsi="仿宋" w:eastAsia="仿宋" w:cs="仿宋"/>
          <w:bCs/>
          <w:color w:val="auto"/>
          <w:sz w:val="28"/>
          <w:szCs w:val="28"/>
          <w:lang w:eastAsia="zh-CN"/>
        </w:rPr>
        <w:t>mg/l时，按3</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lang w:eastAsia="zh-CN"/>
        </w:rPr>
        <w:t>0元/吨扣减货款;当后液含氟量</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lang w:eastAsia="zh-CN"/>
        </w:rPr>
        <w:t>0mg/1&lt;后液含氟量≤</w:t>
      </w:r>
      <w:r>
        <w:rPr>
          <w:rFonts w:hint="eastAsia" w:ascii="仿宋" w:hAnsi="仿宋" w:eastAsia="仿宋" w:cs="仿宋"/>
          <w:bCs/>
          <w:color w:val="auto"/>
          <w:sz w:val="28"/>
          <w:szCs w:val="28"/>
          <w:lang w:val="en-US" w:eastAsia="zh-CN"/>
        </w:rPr>
        <w:t>95</w:t>
      </w:r>
      <w:r>
        <w:rPr>
          <w:rFonts w:hint="eastAsia" w:ascii="仿宋" w:hAnsi="仿宋" w:eastAsia="仿宋" w:cs="仿宋"/>
          <w:bCs/>
          <w:color w:val="auto"/>
          <w:sz w:val="28"/>
          <w:szCs w:val="28"/>
          <w:lang w:eastAsia="zh-CN"/>
        </w:rPr>
        <w:t>mg/l时，按</w:t>
      </w:r>
      <w:r>
        <w:rPr>
          <w:rFonts w:hint="eastAsia" w:ascii="仿宋" w:hAnsi="仿宋" w:eastAsia="仿宋" w:cs="仿宋"/>
          <w:bCs/>
          <w:color w:val="auto"/>
          <w:sz w:val="28"/>
          <w:szCs w:val="28"/>
          <w:lang w:val="en-US" w:eastAsia="zh-CN"/>
        </w:rPr>
        <w:t>40</w:t>
      </w:r>
      <w:r>
        <w:rPr>
          <w:rFonts w:hint="eastAsia" w:ascii="仿宋" w:hAnsi="仿宋" w:eastAsia="仿宋" w:cs="仿宋"/>
          <w:bCs/>
          <w:color w:val="auto"/>
          <w:sz w:val="28"/>
          <w:szCs w:val="28"/>
          <w:lang w:eastAsia="zh-CN"/>
        </w:rPr>
        <w:t>0元/吨扣减货款;当后液含氟量&gt;95mg/1时，对入库已使用部分按</w:t>
      </w:r>
      <w:r>
        <w:rPr>
          <w:rFonts w:hint="eastAsia" w:ascii="仿宋" w:hAnsi="仿宋" w:eastAsia="仿宋" w:cs="仿宋"/>
          <w:bCs/>
          <w:color w:val="auto"/>
          <w:sz w:val="28"/>
          <w:szCs w:val="28"/>
          <w:lang w:val="en-US" w:eastAsia="zh-CN"/>
        </w:rPr>
        <w:t>报</w:t>
      </w:r>
      <w:r>
        <w:rPr>
          <w:rFonts w:hint="eastAsia" w:ascii="仿宋" w:hAnsi="仿宋" w:eastAsia="仿宋" w:cs="仿宋"/>
          <w:bCs/>
          <w:color w:val="auto"/>
          <w:sz w:val="28"/>
          <w:szCs w:val="28"/>
          <w:lang w:eastAsia="zh-CN"/>
        </w:rPr>
        <w:t>价10%结算，未使用部分作退货处理</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费用及运输由</w:t>
      </w:r>
      <w:r>
        <w:rPr>
          <w:rFonts w:hint="eastAsia" w:ascii="仿宋" w:hAnsi="仿宋" w:eastAsia="仿宋" w:cs="仿宋"/>
          <w:bCs/>
          <w:color w:val="auto"/>
          <w:sz w:val="28"/>
          <w:szCs w:val="28"/>
          <w:lang w:val="en-US" w:eastAsia="zh-CN"/>
        </w:rPr>
        <w:t>报价方承担</w:t>
      </w:r>
      <w:r>
        <w:rPr>
          <w:rFonts w:hint="eastAsia" w:ascii="仿宋" w:hAnsi="仿宋" w:eastAsia="仿宋" w:cs="仿宋"/>
          <w:bCs/>
          <w:color w:val="auto"/>
          <w:sz w:val="28"/>
          <w:szCs w:val="28"/>
          <w:lang w:eastAsia="zh-CN"/>
        </w:rPr>
        <w:t>。</w:t>
      </w:r>
    </w:p>
    <w:p w14:paraId="0EFE235C">
      <w:pPr>
        <w:keepNext w:val="0"/>
        <w:keepLines w:val="0"/>
        <w:pageBreakBefore w:val="0"/>
        <w:widowControl w:val="0"/>
        <w:numPr>
          <w:ilvl w:val="0"/>
          <w:numId w:val="1"/>
        </w:numPr>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方式及期限</w:t>
      </w:r>
    </w:p>
    <w:p w14:paraId="734F8F6A">
      <w:pPr>
        <w:keepNext w:val="0"/>
        <w:keepLines w:val="0"/>
        <w:pageBreakBefore w:val="0"/>
        <w:widowControl w:val="0"/>
        <w:kinsoku/>
        <w:wordWrap/>
        <w:overflowPunct/>
        <w:topLinePunct w:val="0"/>
        <w:autoSpaceDE/>
        <w:autoSpaceDN/>
        <w:bidi w:val="0"/>
        <w:adjustRightInd/>
        <w:snapToGrid/>
        <w:spacing w:line="490" w:lineRule="exact"/>
        <w:ind w:firstLine="840" w:firstLineChars="3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验收合格后，</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9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9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9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供应商2023年5月至今具有此类产品在锌冶炼行业业绩（提供合同复印件，时间以合同签订时间为准）；</w:t>
      </w:r>
    </w:p>
    <w:p w14:paraId="04C0E152">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34"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34"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34"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34"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34"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52042318"/>
      <w:bookmarkStart w:id="13" w:name="_Toc384308223"/>
      <w:bookmarkStart w:id="14" w:name="_Toc144974510"/>
      <w:bookmarkStart w:id="15" w:name="_Toc352691486"/>
      <w:bookmarkStart w:id="16" w:name="_Toc369531529"/>
      <w:bookmarkStart w:id="17" w:name="_Toc247527567"/>
      <w:bookmarkStart w:id="18" w:name="_Toc361508598"/>
      <w:bookmarkStart w:id="19" w:name="_Toc25772"/>
      <w:bookmarkStart w:id="20" w:name="_Toc247513966"/>
      <w:bookmarkStart w:id="21" w:name="_Toc300834963"/>
      <w:bookmarkStart w:id="22" w:name="_Toc15204554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15242"/>
      <w:bookmarkStart w:id="25" w:name="_Toc361508599"/>
      <w:bookmarkStart w:id="26" w:name="_Toc369531530"/>
      <w:bookmarkStart w:id="27" w:name="_Toc152042319"/>
      <w:bookmarkStart w:id="28" w:name="_Toc384308224"/>
      <w:bookmarkStart w:id="29" w:name="_Toc247513967"/>
      <w:bookmarkStart w:id="30" w:name="_Toc247527568"/>
      <w:bookmarkStart w:id="31" w:name="_Toc300834964"/>
      <w:bookmarkStart w:id="32" w:name="_Toc144974511"/>
      <w:bookmarkStart w:id="33" w:name="_Toc35269148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34"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34" w:lineRule="exact"/>
        <w:ind w:left="0" w:leftChars="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 xml:space="preserve"> </w:t>
      </w:r>
    </w:p>
    <w:p w14:paraId="41BB020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52691490"/>
      <w:bookmarkStart w:id="37" w:name="_Toc369531533"/>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84308228"/>
      <w:bookmarkStart w:id="40" w:name="_Toc300834967"/>
      <w:bookmarkStart w:id="41" w:name="_Toc14751"/>
      <w:bookmarkStart w:id="42" w:name="_Toc369531534"/>
      <w:bookmarkStart w:id="43" w:name="_Toc152042322"/>
      <w:bookmarkStart w:id="44" w:name="_Toc247527571"/>
      <w:bookmarkStart w:id="45" w:name="_Toc247513970"/>
      <w:bookmarkStart w:id="46" w:name="_Toc352691491"/>
      <w:bookmarkStart w:id="47" w:name="_Toc361508603"/>
      <w:bookmarkStart w:id="48" w:name="_Toc152045546"/>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152042323"/>
      <w:bookmarkStart w:id="52" w:name="_Toc369531535"/>
      <w:bookmarkStart w:id="53" w:name="_Toc247527572"/>
      <w:bookmarkStart w:id="54" w:name="_Toc152045547"/>
      <w:bookmarkStart w:id="55" w:name="_Toc300834968"/>
      <w:bookmarkStart w:id="56" w:name="_Toc247513971"/>
      <w:bookmarkStart w:id="57" w:name="_Toc17952"/>
      <w:bookmarkStart w:id="58" w:name="_Toc384308229"/>
      <w:bookmarkStart w:id="59" w:name="_Toc361508604"/>
      <w:bookmarkStart w:id="60" w:name="_Toc14497451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34"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1871"/>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14"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响应文件提交截止时间：2025年9月15日13时（北京时间）；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14"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14"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2025年9月15</w:t>
      </w:r>
      <w:bookmarkStart w:id="210" w:name="_GoBack"/>
      <w:bookmarkEnd w:id="210"/>
      <w:r>
        <w:rPr>
          <w:rFonts w:hint="eastAsia" w:ascii="仿宋" w:hAnsi="仿宋" w:eastAsia="仿宋" w:cs="仿宋"/>
          <w:color w:val="auto"/>
          <w:spacing w:val="1"/>
          <w:sz w:val="28"/>
          <w:szCs w:val="28"/>
          <w:highlight w:val="none"/>
          <w:lang w:val="en-US" w:eastAsia="zh-CN"/>
        </w:rPr>
        <w:t>日13时</w:t>
      </w:r>
      <w:r>
        <w:rPr>
          <w:rFonts w:hint="eastAsia" w:ascii="仿宋" w:hAnsi="仿宋" w:eastAsia="仿宋" w:cs="仿宋"/>
          <w:color w:val="auto"/>
          <w:spacing w:val="1"/>
          <w:kern w:val="0"/>
          <w:sz w:val="28"/>
          <w:szCs w:val="28"/>
          <w:highlight w:val="none"/>
          <w:lang w:val="en-US" w:eastAsia="zh-CN" w:bidi="ar-SA"/>
        </w:rPr>
        <w:t>；</w:t>
      </w:r>
    </w:p>
    <w:p w14:paraId="6251AC31">
      <w:pPr>
        <w:keepNext w:val="0"/>
        <w:keepLines w:val="0"/>
        <w:pageBreakBefore w:val="0"/>
        <w:shd w:val="clear" w:color="auto" w:fill="auto"/>
        <w:kinsoku/>
        <w:wordWrap/>
        <w:overflowPunct/>
        <w:topLinePunct w:val="0"/>
        <w:autoSpaceDE/>
        <w:autoSpaceDN/>
        <w:bidi w:val="0"/>
        <w:adjustRightInd/>
        <w:snapToGrid/>
        <w:spacing w:line="514"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14"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14" w:lineRule="exact"/>
        <w:ind w:firstLine="48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（一）响应文件评审办法</w:t>
      </w:r>
    </w:p>
    <w:p w14:paraId="6D26973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280" w:firstLineChars="1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rPr>
        <w:t>1.综合评分法。是在响应文件满足采购文件实质性要求的前提下，评审小组对通过初步评审的供应商的响应文件进行详细评审后，根据响应服务机构综合得分从高到低推荐成交候选人。</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w:t>
      </w:r>
      <w:r>
        <w:rPr>
          <w:rFonts w:hint="eastAsia" w:ascii="仿宋" w:hAnsi="仿宋" w:eastAsia="仿宋" w:cs="仿宋"/>
          <w:i w:val="0"/>
          <w:iCs w:val="0"/>
          <w:caps w:val="0"/>
          <w:color w:val="333333"/>
          <w:spacing w:val="0"/>
          <w:sz w:val="28"/>
          <w:szCs w:val="28"/>
          <w:shd w:val="clear" w:fill="FEFEFE"/>
        </w:rPr>
        <w:t>2.评审标准：</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（1）响应报价评分（60分）：小于等于评审基准价的报价得 60 分；高于基准价的，每高一个百分点扣 0.5 分。评标赋分采用插入法计算，扣完为止。                       </w:t>
      </w:r>
    </w:p>
    <w:p w14:paraId="538848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基准价的计算方法：所有有效报价的算术平均值×97%，打分保留小数点后两位。</w:t>
      </w:r>
    </w:p>
    <w:p w14:paraId="2532F66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响应报价的偏差率=（响应报价-评审基准价）/评审基准价</w:t>
      </w:r>
    </w:p>
    <w:p w14:paraId="5390101D">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14"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技术评分（30分）</w:t>
      </w:r>
    </w:p>
    <w:p w14:paraId="6DEFF2D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14" w:lineRule="exact"/>
        <w:ind w:leftChars="100"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a、提供的技术资料是否齐全（使用说明、操作工艺，使用量计算方法或加入倍数）（0-5分）</w:t>
      </w:r>
    </w:p>
    <w:p w14:paraId="268B8183">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b、参数是否清楚、明确（0-5分）</w:t>
      </w:r>
    </w:p>
    <w:p w14:paraId="6C5B3BB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c、是否提供质检方法（或合格证）和质检报告（0-4分）</w:t>
      </w:r>
    </w:p>
    <w:p w14:paraId="51DCB8E1">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d、供货保证措施（调货能力，如期供货能力、稳定能力（0-2分）</w:t>
      </w:r>
    </w:p>
    <w:p w14:paraId="7EF42A2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e、所投产品在技术上与同行业先进水平的横向比较（0-4分）</w:t>
      </w:r>
    </w:p>
    <w:p w14:paraId="0D9E4B08">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f、质量保证措施（0-5分）</w:t>
      </w:r>
    </w:p>
    <w:p w14:paraId="2E0AF650">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g、售后服务保障措施（0-5分）</w:t>
      </w:r>
    </w:p>
    <w:p w14:paraId="15440F74">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商务评分（10分）</w:t>
      </w:r>
    </w:p>
    <w:p w14:paraId="7B6A298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a、业绩（6分）  评分标准：每提供一份同类型业绩合同得2分，最高6分。</w:t>
      </w:r>
    </w:p>
    <w:p w14:paraId="2E4DFE40">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b、对采购文件的响应程度（4分） </w:t>
      </w:r>
    </w:p>
    <w:p w14:paraId="1764882D">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评分标准：响应文件中对付款及其他商务要求进行响应, 不符合询比采购文件要求，每负偏离一项，扣 2分，扣完为止。</w:t>
      </w:r>
    </w:p>
    <w:p w14:paraId="483691A7">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34"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r>
        <w:rPr>
          <w:rFonts w:hint="eastAsia" w:ascii="仿宋" w:hAnsi="仿宋" w:eastAsia="仿宋" w:cs="仿宋"/>
          <w:color w:val="auto"/>
          <w:sz w:val="28"/>
          <w:szCs w:val="28"/>
          <w:lang w:val="en-US" w:eastAsia="zh-CN"/>
        </w:rPr>
        <w:t xml:space="preserve"> </w:t>
      </w:r>
    </w:p>
    <w:p w14:paraId="719500DB">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9531582"/>
      <w:bookmarkStart w:id="66" w:name="_Toc247527628"/>
      <w:bookmarkStart w:id="67" w:name="_Toc144974570"/>
      <w:bookmarkStart w:id="68" w:name="_Toc384308277"/>
      <w:bookmarkStart w:id="69" w:name="_Toc247514027"/>
      <w:bookmarkStart w:id="70" w:name="_Toc152042380"/>
      <w:bookmarkStart w:id="71" w:name="_Toc352691538"/>
      <w:bookmarkStart w:id="72" w:name="_Toc300835013"/>
      <w:bookmarkStart w:id="73" w:name="_Toc152045603"/>
      <w:bookmarkStart w:id="74" w:name="_Toc361508651"/>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6955"/>
      <w:bookmarkStart w:id="78" w:name="_Toc29291"/>
      <w:bookmarkStart w:id="79" w:name="_Toc13563"/>
    </w:p>
    <w:p w14:paraId="74649D2E">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3366"/>
      <w:bookmarkStart w:id="82" w:name="_Toc32669"/>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0F5C28B3">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评分由高到低</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4B0D7733">
      <w:pPr>
        <w:pageBreakBefore w:val="0"/>
        <w:kinsoku/>
        <w:wordWrap/>
        <w:overflowPunct/>
        <w:topLinePunct w:val="0"/>
        <w:autoSpaceDE/>
        <w:autoSpaceDN/>
        <w:bidi w:val="0"/>
        <w:snapToGrid/>
        <w:spacing w:line="534"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ageBreakBefore w:val="0"/>
        <w:widowControl w:val="0"/>
        <w:kinsoku/>
        <w:wordWrap/>
        <w:overflowPunct/>
        <w:topLinePunct w:val="0"/>
        <w:autoSpaceDE/>
        <w:autoSpaceDN/>
        <w:bidi w:val="0"/>
        <w:adjustRightInd/>
        <w:snapToGrid/>
        <w:spacing w:line="534" w:lineRule="exact"/>
        <w:ind w:firstLine="562" w:firstLineChars="200"/>
        <w:jc w:val="both"/>
        <w:textAlignment w:val="auto"/>
        <w:rPr>
          <w:rFonts w:hint="eastAsia" w:ascii="仿宋" w:hAnsi="仿宋" w:eastAsia="仿宋" w:cs="仿宋"/>
          <w:color w:val="auto"/>
          <w:sz w:val="28"/>
          <w:szCs w:val="28"/>
        </w:rPr>
      </w:pPr>
      <w:bookmarkStart w:id="84" w:name="_Toc8518"/>
      <w:bookmarkStart w:id="85" w:name="_Toc9481"/>
      <w:bookmarkStart w:id="86" w:name="_Toc33795807"/>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合同授予</w:t>
      </w:r>
      <w:bookmarkEnd w:id="84"/>
      <w:bookmarkEnd w:id="85"/>
      <w:bookmarkEnd w:id="86"/>
    </w:p>
    <w:p w14:paraId="5DD0CD31">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87" w:name="_Toc30852"/>
      <w:bookmarkStart w:id="88" w:name="_Toc16094"/>
      <w:bookmarkStart w:id="89" w:name="_Toc33795808"/>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91" w:name="_Toc19079"/>
      <w:bookmarkStart w:id="92" w:name="_Toc7018"/>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152042337"/>
      <w:bookmarkStart w:id="97" w:name="_Toc369531549"/>
      <w:bookmarkStart w:id="98" w:name="_Toc300834982"/>
      <w:bookmarkStart w:id="99" w:name="_Toc352691505"/>
      <w:bookmarkStart w:id="100" w:name="_Toc247513985"/>
      <w:bookmarkStart w:id="101" w:name="_Toc247527586"/>
      <w:bookmarkStart w:id="102" w:name="_Toc384308243"/>
      <w:bookmarkStart w:id="103" w:name="_Toc152045561"/>
      <w:bookmarkStart w:id="104" w:name="_Toc361508618"/>
      <w:bookmarkStart w:id="105" w:name="_Toc14497452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06" w:name="_Toc28756"/>
      <w:bookmarkStart w:id="107" w:name="_Toc21648"/>
      <w:bookmarkStart w:id="108" w:name="_Toc25590"/>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14" w:name="_Toc31681"/>
      <w:bookmarkStart w:id="115" w:name="_Toc10813"/>
      <w:bookmarkStart w:id="116" w:name="_Toc6928"/>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5668"/>
      <w:bookmarkStart w:id="120" w:name="_Toc352691506"/>
      <w:bookmarkStart w:id="121" w:name="_Toc300834983"/>
      <w:bookmarkStart w:id="122" w:name="_Toc369531550"/>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24" w:name="_Toc21613"/>
      <w:bookmarkStart w:id="125" w:name="_Toc30705"/>
      <w:bookmarkStart w:id="126" w:name="_Toc337958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28" w:name="_Toc3671"/>
      <w:bookmarkStart w:id="129" w:name="_Toc11183"/>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7302FC6D">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4656"/>
      <w:bookmarkStart w:id="134" w:name="_Toc152045564"/>
      <w:bookmarkStart w:id="135" w:name="_Toc144974532"/>
      <w:bookmarkStart w:id="136" w:name="_Toc384308247"/>
      <w:bookmarkStart w:id="137" w:name="_Toc352691509"/>
      <w:bookmarkStart w:id="138" w:name="_Toc247513988"/>
      <w:bookmarkStart w:id="139" w:name="_Toc247527589"/>
      <w:bookmarkStart w:id="140" w:name="_Toc369531553"/>
      <w:bookmarkStart w:id="141" w:name="_Toc152042340"/>
      <w:bookmarkStart w:id="142" w:name="_Toc36150862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00834987"/>
      <w:bookmarkStart w:id="144" w:name="_Toc152045565"/>
      <w:bookmarkStart w:id="145" w:name="_Toc361508623"/>
      <w:bookmarkStart w:id="146" w:name="_Toc247513989"/>
      <w:bookmarkStart w:id="147" w:name="_Toc18247"/>
      <w:bookmarkStart w:id="148" w:name="_Toc384308248"/>
      <w:bookmarkStart w:id="149" w:name="_Toc352691510"/>
      <w:bookmarkStart w:id="150" w:name="_Toc369531554"/>
      <w:bookmarkStart w:id="151" w:name="_Toc247527590"/>
      <w:bookmarkStart w:id="152" w:name="_Toc144974533"/>
      <w:bookmarkStart w:id="153" w:name="_Toc152042341"/>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34"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247513992"/>
      <w:bookmarkStart w:id="158" w:name="_Toc144974536"/>
      <w:bookmarkStart w:id="159" w:name="_Toc152042344"/>
      <w:bookmarkStart w:id="160" w:name="_Toc152045568"/>
      <w:bookmarkStart w:id="161" w:name="_Toc247527593"/>
      <w:bookmarkStart w:id="162" w:name="_Toc300834991"/>
    </w:p>
    <w:bookmarkEnd w:id="154"/>
    <w:bookmarkEnd w:id="155"/>
    <w:bookmarkEnd w:id="156"/>
    <w:p w14:paraId="5C60697D">
      <w:pPr>
        <w:pStyle w:val="2"/>
        <w:pageBreakBefore w:val="0"/>
        <w:kinsoku/>
        <w:wordWrap/>
        <w:overflowPunct/>
        <w:topLinePunct w:val="0"/>
        <w:autoSpaceDE/>
        <w:autoSpaceDN/>
        <w:bidi w:val="0"/>
        <w:snapToGrid/>
        <w:spacing w:before="0" w:after="0" w:line="534"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1508628"/>
      <w:bookmarkStart w:id="168" w:name="_Toc369531559"/>
      <w:bookmarkStart w:id="169" w:name="_Toc13644"/>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34"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2294"/>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534" w:lineRule="exact"/>
        <w:jc w:val="both"/>
        <w:rPr>
          <w:rFonts w:hint="eastAsia" w:ascii="仿宋" w:hAnsi="仿宋" w:eastAsia="仿宋" w:cs="仿宋"/>
          <w:color w:val="auto"/>
          <w:kern w:val="0"/>
          <w:sz w:val="28"/>
          <w:szCs w:val="28"/>
          <w:lang w:val="en-US" w:eastAsia="zh-CN" w:bidi="ar"/>
        </w:rPr>
      </w:pPr>
    </w:p>
    <w:p w14:paraId="730B6EDD">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p>
    <w:p w14:paraId="5A1E875E">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2025年9月08日</w:t>
      </w:r>
    </w:p>
    <w:p w14:paraId="09DD35A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640" w:firstLineChars="200"/>
        <w:jc w:val="both"/>
        <w:rPr>
          <w:rFonts w:hint="eastAsia" w:ascii="仿宋" w:hAnsi="仿宋" w:eastAsia="仿宋" w:cs="仿宋"/>
          <w:color w:val="auto"/>
          <w:kern w:val="0"/>
          <w:sz w:val="32"/>
          <w:szCs w:val="32"/>
          <w:lang w:val="en-US" w:eastAsia="zh-CN" w:bidi="ar"/>
        </w:rPr>
      </w:pPr>
    </w:p>
    <w:p w14:paraId="363C943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1598D66B">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5909FE1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6BD9E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59A15E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8E2EA7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249BFDDF">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CAB0403">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XB20250911-02</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2025年9月份除氟剂询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1508754"/>
      <w:bookmarkStart w:id="185" w:name="_Toc144974858"/>
      <w:bookmarkStart w:id="186" w:name="_Toc247527829"/>
      <w:bookmarkStart w:id="187" w:name="_Toc369531699"/>
      <w:bookmarkStart w:id="188" w:name="_Toc384308377"/>
      <w:bookmarkStart w:id="189" w:name="_Toc247514248"/>
      <w:bookmarkStart w:id="190" w:name="_Toc300835211"/>
      <w:bookmarkStart w:id="191" w:name="_Toc15573"/>
      <w:bookmarkStart w:id="192" w:name="_Toc152045789"/>
      <w:bookmarkStart w:id="193" w:name="_Toc352691663"/>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3242"/>
        <w:gridCol w:w="1056"/>
        <w:gridCol w:w="1488"/>
        <w:gridCol w:w="1445"/>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3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质量要求</w:t>
            </w:r>
          </w:p>
        </w:tc>
        <w:tc>
          <w:tcPr>
            <w:tcW w:w="1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除氟剂</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1、除氟剂后液&lt;50mg/l时，视为合格。        2、除氟剂使用介质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采购方用于锌冶炼湿法氧化锌工序除氟，前液含氟0.1-0.25g/l、含锌110-140g/l、含铁0.05-2.00g/l，PH值4.8-5.4，温度65-70℃。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约200</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243E508D">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1127"/>
    <w:multiLevelType w:val="singleLevel"/>
    <w:tmpl w:val="82491127"/>
    <w:lvl w:ilvl="0" w:tentative="0">
      <w:start w:val="2"/>
      <w:numFmt w:val="decimal"/>
      <w:suff w:val="nothing"/>
      <w:lvlText w:val="（%1）"/>
      <w:lvlJc w:val="left"/>
    </w:lvl>
  </w:abstractNum>
  <w:abstractNum w:abstractNumId="1">
    <w:nsid w:val="FC25AF76"/>
    <w:multiLevelType w:val="singleLevel"/>
    <w:tmpl w:val="FC25AF7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200D"/>
    <w:rsid w:val="096E7E43"/>
    <w:rsid w:val="0BFD591A"/>
    <w:rsid w:val="0F10271C"/>
    <w:rsid w:val="0F64021A"/>
    <w:rsid w:val="11BC387F"/>
    <w:rsid w:val="12E51085"/>
    <w:rsid w:val="15D462F1"/>
    <w:rsid w:val="1AF05507"/>
    <w:rsid w:val="1B18267E"/>
    <w:rsid w:val="2C6776B9"/>
    <w:rsid w:val="32150838"/>
    <w:rsid w:val="36254ED9"/>
    <w:rsid w:val="3A244CA9"/>
    <w:rsid w:val="3C7E5D7A"/>
    <w:rsid w:val="3E41200D"/>
    <w:rsid w:val="4DA430A0"/>
    <w:rsid w:val="4E271842"/>
    <w:rsid w:val="4EAA503C"/>
    <w:rsid w:val="4EFB125D"/>
    <w:rsid w:val="52FF7E0D"/>
    <w:rsid w:val="54BE3AC1"/>
    <w:rsid w:val="55BF45C5"/>
    <w:rsid w:val="579F4A95"/>
    <w:rsid w:val="5B334762"/>
    <w:rsid w:val="67232BEC"/>
    <w:rsid w:val="69C532A6"/>
    <w:rsid w:val="6A226170"/>
    <w:rsid w:val="6E1325FD"/>
    <w:rsid w:val="74041752"/>
    <w:rsid w:val="75C174C3"/>
    <w:rsid w:val="7AB83901"/>
    <w:rsid w:val="7BF5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8053</Words>
  <Characters>8399</Characters>
  <Lines>0</Lines>
  <Paragraphs>0</Paragraphs>
  <TotalTime>35</TotalTime>
  <ScaleCrop>false</ScaleCrop>
  <LinksUpToDate>false</LinksUpToDate>
  <CharactersWithSpaces>8933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2025-03-07T02:12:00Z</dcterms:created>
  <dc:creator>瞬间无语</dc:creator>
  <cp:lastModifiedBy>李晶</cp:lastModifiedBy>
  <cp:lastPrinted>2025-09-10T03:25:00Z</cp:lastPrinted>
  <dcterms:modified xsi:type="dcterms:W3CDTF">2025-09-11T07:20:05Z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4652A91E4939477AB245ADFEF4EAFB31_11</vt:lpwstr>
  </property>
  <property fmtid="{D5CDD505-2E9C-101B-9397-08002B2CF9AE}" pid="4" name="KSOTemplateDocerSaveRecord">
    <vt:lpwstr>eyJoZGlkIjoiM2ExNjY5MWQ0OWUzYjcxZjUxYWY0YjAzMjk0YjQ0NDAiLCJ1c2VySWQiOiI2Mjg3MjA1MDUifQ==</vt:lpwstr>
  </property>
</Properties>
</file>