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Style w:val="11"/>
          <w:rFonts w:hint="eastAsia" w:ascii="方正粗黑宋简体" w:hAnsi="方正粗黑宋简体" w:eastAsia="方正粗黑宋简体" w:cs="方正粗黑宋简体"/>
          <w:i w:val="0"/>
          <w:iCs w:val="0"/>
          <w:caps w:val="0"/>
          <w:color w:val="000000"/>
          <w:spacing w:val="0"/>
          <w:sz w:val="32"/>
          <w:szCs w:val="32"/>
        </w:rPr>
      </w:pPr>
      <w:r>
        <w:rPr>
          <w:rStyle w:val="11"/>
          <w:rFonts w:hint="eastAsia" w:ascii="方正粗黑宋简体" w:hAnsi="方正粗黑宋简体" w:eastAsia="方正粗黑宋简体" w:cs="方正粗黑宋简体"/>
          <w:i w:val="0"/>
          <w:iCs w:val="0"/>
          <w:caps w:val="0"/>
          <w:color w:val="000000"/>
          <w:spacing w:val="0"/>
          <w:sz w:val="32"/>
          <w:szCs w:val="32"/>
        </w:rPr>
        <w:t>陕西锌业有限公司</w:t>
      </w:r>
    </w:p>
    <w:p w14:paraId="00A7A40E">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Fonts w:hint="eastAsia" w:ascii="方正粗黑宋简体" w:hAnsi="方正粗黑宋简体" w:eastAsia="方正粗黑宋简体" w:cs="方正粗黑宋简体"/>
          <w:i w:val="0"/>
          <w:iCs w:val="0"/>
          <w:caps w:val="0"/>
          <w:color w:val="000000"/>
          <w:spacing w:val="0"/>
          <w:sz w:val="32"/>
          <w:szCs w:val="32"/>
          <w:lang w:val="en-US" w:eastAsia="zh-CN"/>
        </w:rPr>
      </w:pP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9月份酒石酸锑钾采购项目二次</w:t>
      </w:r>
      <w:bookmarkStart w:id="210" w:name="_GoBack"/>
      <w:bookmarkEnd w:id="210"/>
      <w:r>
        <w:rPr>
          <w:rStyle w:val="11"/>
          <w:rFonts w:hint="eastAsia" w:ascii="方正粗黑宋简体" w:hAnsi="方正粗黑宋简体" w:eastAsia="方正粗黑宋简体" w:cs="方正粗黑宋简体"/>
          <w:i w:val="0"/>
          <w:iCs w:val="0"/>
          <w:caps w:val="0"/>
          <w:color w:val="000000"/>
          <w:spacing w:val="0"/>
          <w:sz w:val="32"/>
          <w:szCs w:val="32"/>
        </w:rPr>
        <w:t>询比采购</w:t>
      </w: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邀请函</w:t>
      </w:r>
    </w:p>
    <w:p w14:paraId="1EC36912">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采购5吨酒石酸锑钾</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440" w:lineRule="exact"/>
        <w:ind w:firstLine="562" w:firstLineChars="200"/>
        <w:jc w:val="both"/>
        <w:rPr>
          <w:rFonts w:hint="default" w:ascii="仿宋" w:hAnsi="仿宋" w:eastAsia="仿宋" w:cs="仿宋"/>
          <w:b/>
          <w:bCs/>
          <w:color w:val="auto"/>
          <w:sz w:val="28"/>
          <w:szCs w:val="28"/>
          <w:lang w:val="en-US"/>
        </w:rPr>
      </w:pPr>
      <w:bookmarkStart w:id="0" w:name="_Toc14440"/>
      <w:bookmarkStart w:id="1" w:name="_Toc20230"/>
      <w:bookmarkStart w:id="2" w:name="_Toc4593"/>
      <w:bookmarkStart w:id="3" w:name="_Toc33795775"/>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4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11471"/>
      <w:bookmarkStart w:id="5" w:name="_Toc14565"/>
      <w:bookmarkStart w:id="6" w:name="_Toc7037"/>
      <w:bookmarkStart w:id="7" w:name="_Toc33795776"/>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酒石酸锑钾采购项目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合同签订后10日内送到，在此期间，如遇采购人检修、减产、生产工艺调整等，采购人根据实际情况适时调整采购量。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（四）交货地点：采购方公司辅材库房（带磅码单、质检单）。</w:t>
      </w:r>
    </w:p>
    <w:p w14:paraId="389EDD44">
      <w:pPr>
        <w:keepNext w:val="0"/>
        <w:keepLines w:val="0"/>
        <w:pageBreakBefore w:val="0"/>
        <w:numPr>
          <w:ilvl w:val="0"/>
          <w:numId w:val="0"/>
        </w:numPr>
        <w:kinsoku/>
        <w:wordWrap/>
        <w:overflowPunct/>
        <w:topLinePunct w:val="0"/>
        <w:autoSpaceDE/>
        <w:autoSpaceDN/>
        <w:bidi w:val="0"/>
        <w:adjustRightInd/>
        <w:snapToGrid/>
        <w:spacing w:line="440" w:lineRule="exact"/>
        <w:ind w:firstLine="280" w:firstLine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（五）数量：5吨。</w:t>
      </w:r>
    </w:p>
    <w:p w14:paraId="70B87450">
      <w:pPr>
        <w:keepNext w:val="0"/>
        <w:keepLines w:val="0"/>
        <w:pageBreakBefore w:val="0"/>
        <w:widowControl w:val="0"/>
        <w:kinsoku/>
        <w:wordWrap/>
        <w:overflowPunct/>
        <w:topLinePunct w:val="0"/>
        <w:autoSpaceDE/>
        <w:autoSpaceDN/>
        <w:bidi w:val="0"/>
        <w:adjustRightInd w:val="0"/>
        <w:snapToGrid/>
        <w:spacing w:line="44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27C1DF12">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sz w:val="28"/>
          <w:szCs w:val="28"/>
          <w:lang w:val="en-US" w:eastAsia="zh-CN"/>
        </w:rPr>
        <w:t>产地：安徽艾博，按</w:t>
      </w:r>
      <w:r>
        <w:rPr>
          <w:rFonts w:hint="eastAsia" w:ascii="仿宋" w:hAnsi="仿宋" w:eastAsia="仿宋" w:cs="仿宋"/>
          <w:color w:val="auto"/>
          <w:sz w:val="28"/>
          <w:szCs w:val="28"/>
          <w:highlight w:val="none"/>
          <w:lang w:val="en-US" w:eastAsia="zh-CN"/>
        </w:rPr>
        <w:t>SQS JG-005-2025</w:t>
      </w:r>
      <w:r>
        <w:rPr>
          <w:rFonts w:hint="eastAsia" w:ascii="仿宋" w:hAnsi="仿宋" w:eastAsia="仿宋" w:cs="仿宋"/>
          <w:sz w:val="28"/>
          <w:szCs w:val="28"/>
          <w:lang w:val="en-US" w:eastAsia="zh-CN"/>
        </w:rPr>
        <w:t>标准执行；</w:t>
      </w:r>
      <w:r>
        <w:rPr>
          <w:rFonts w:hint="eastAsia" w:ascii="仿宋" w:hAnsi="仿宋" w:eastAsia="仿宋" w:cs="仿宋"/>
          <w:b w:val="0"/>
          <w:bCs w:val="0"/>
          <w:sz w:val="28"/>
          <w:szCs w:val="28"/>
        </w:rPr>
        <w:t>工业级含量≥98%，重金属≤0.001%，砷盐≤0.0002%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未按产地、品牌要求报价的，报价无效。</w:t>
      </w:r>
    </w:p>
    <w:p w14:paraId="0B4DFD63">
      <w:pPr>
        <w:keepNext w:val="0"/>
        <w:keepLines w:val="0"/>
        <w:pageBreakBefore w:val="0"/>
        <w:widowControl w:val="0"/>
        <w:kinsoku/>
        <w:wordWrap/>
        <w:overflowPunct/>
        <w:topLinePunct w:val="0"/>
        <w:autoSpaceDE/>
        <w:autoSpaceDN/>
        <w:bidi w:val="0"/>
        <w:adjustRightInd w:val="0"/>
        <w:snapToGrid/>
        <w:spacing w:line="44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33795778"/>
      <w:bookmarkStart w:id="9" w:name="_Toc14196"/>
      <w:bookmarkStart w:id="10" w:name="_Toc29895"/>
      <w:bookmarkStart w:id="11" w:name="_Toc14688"/>
    </w:p>
    <w:p w14:paraId="748C8C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）运输方式及到达站港和费用负担：汽车运输，</w:t>
      </w:r>
      <w:r>
        <w:rPr>
          <w:rFonts w:hint="eastAsia" w:ascii="仿宋" w:hAnsi="仿宋" w:eastAsia="仿宋" w:cs="仿宋"/>
          <w:b w:val="0"/>
          <w:bCs w:val="0"/>
          <w:sz w:val="28"/>
          <w:szCs w:val="28"/>
          <w:highlight w:val="none"/>
        </w:rPr>
        <w:t>运输费用由</w:t>
      </w:r>
      <w:r>
        <w:rPr>
          <w:rFonts w:hint="eastAsia" w:ascii="仿宋" w:hAnsi="仿宋" w:eastAsia="仿宋" w:cs="仿宋"/>
          <w:b w:val="0"/>
          <w:bCs w:val="0"/>
          <w:sz w:val="28"/>
          <w:szCs w:val="28"/>
          <w:highlight w:val="none"/>
          <w:lang w:val="en-US" w:eastAsia="zh-CN"/>
        </w:rPr>
        <w:t>报</w:t>
      </w:r>
      <w:r>
        <w:rPr>
          <w:rFonts w:hint="eastAsia" w:ascii="仿宋" w:hAnsi="仿宋" w:eastAsia="仿宋" w:cs="仿宋"/>
          <w:b w:val="0"/>
          <w:bCs w:val="0"/>
          <w:sz w:val="28"/>
          <w:szCs w:val="28"/>
          <w:highlight w:val="none"/>
        </w:rPr>
        <w:t>价方承担，运输车辆必须符合国家安全管理需要，否则不允许进入</w:t>
      </w:r>
      <w:r>
        <w:rPr>
          <w:rFonts w:hint="eastAsia" w:ascii="仿宋" w:hAnsi="仿宋" w:eastAsia="仿宋" w:cs="仿宋"/>
          <w:b w:val="0"/>
          <w:bCs w:val="0"/>
          <w:sz w:val="28"/>
          <w:szCs w:val="28"/>
          <w:highlight w:val="none"/>
          <w:lang w:eastAsia="zh-CN"/>
        </w:rPr>
        <w:t>采</w:t>
      </w:r>
      <w:r>
        <w:rPr>
          <w:rFonts w:hint="eastAsia" w:ascii="仿宋" w:hAnsi="仿宋" w:eastAsia="仿宋" w:cs="仿宋"/>
          <w:b w:val="0"/>
          <w:bCs w:val="0"/>
          <w:sz w:val="28"/>
          <w:szCs w:val="28"/>
          <w:highlight w:val="none"/>
        </w:rPr>
        <w:t>购方厂内</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运输安全责任由报价方承担，采购方不负任何责任。</w:t>
      </w:r>
    </w:p>
    <w:p w14:paraId="24BAC03C">
      <w:pPr>
        <w:keepNext w:val="0"/>
        <w:keepLines w:val="0"/>
        <w:pageBreakBefore w:val="0"/>
        <w:widowControl w:val="0"/>
        <w:kinsoku/>
        <w:wordWrap/>
        <w:overflowPunct/>
        <w:topLinePunct w:val="0"/>
        <w:autoSpaceDE/>
        <w:autoSpaceDN/>
        <w:bidi w:val="0"/>
        <w:adjustRightInd w:val="0"/>
        <w:snapToGrid/>
        <w:spacing w:line="44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4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Cs/>
          <w:color w:val="auto"/>
          <w:sz w:val="28"/>
          <w:szCs w:val="28"/>
          <w:lang w:val="en-US" w:eastAsia="zh-CN"/>
        </w:rPr>
        <w:t>袋装，包装物不回收</w:t>
      </w:r>
      <w:r>
        <w:rPr>
          <w:rFonts w:hint="eastAsia" w:ascii="仿宋" w:hAnsi="仿宋" w:eastAsia="仿宋" w:cs="仿宋"/>
          <w:b w:val="0"/>
          <w:bCs w:val="0"/>
          <w:sz w:val="28"/>
          <w:szCs w:val="28"/>
          <w:highlight w:val="none"/>
          <w:lang w:val="en-US" w:eastAsia="zh-CN"/>
        </w:rPr>
        <w:t>。</w:t>
      </w:r>
    </w:p>
    <w:p w14:paraId="66177F4C">
      <w:pPr>
        <w:keepNext w:val="0"/>
        <w:keepLines w:val="0"/>
        <w:pageBreakBefore w:val="0"/>
        <w:widowControl w:val="0"/>
        <w:kinsoku/>
        <w:wordWrap/>
        <w:overflowPunct/>
        <w:topLinePunct w:val="0"/>
        <w:autoSpaceDE/>
        <w:autoSpaceDN/>
        <w:bidi w:val="0"/>
        <w:adjustRightInd w:val="0"/>
        <w:snapToGrid/>
        <w:spacing w:line="44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22566567">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细则</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p>
    <w:p w14:paraId="6021050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验收合格后，报价</w:t>
      </w:r>
      <w:r>
        <w:rPr>
          <w:rFonts w:hint="eastAsia" w:ascii="仿宋" w:hAnsi="仿宋" w:eastAsia="仿宋" w:cs="仿宋"/>
          <w:b w:val="0"/>
          <w:bCs w:val="0"/>
          <w:sz w:val="28"/>
          <w:szCs w:val="28"/>
          <w:highlight w:val="none"/>
          <w:lang w:eastAsia="zh-CN"/>
        </w:rPr>
        <w:t>方提供</w:t>
      </w:r>
      <w:r>
        <w:rPr>
          <w:rFonts w:hint="eastAsia" w:ascii="仿宋" w:hAnsi="仿宋" w:eastAsia="仿宋" w:cs="仿宋"/>
          <w:b w:val="0"/>
          <w:bCs w:val="0"/>
          <w:sz w:val="28"/>
          <w:szCs w:val="28"/>
          <w:highlight w:val="none"/>
          <w:lang w:val="en-US" w:eastAsia="zh-CN"/>
        </w:rPr>
        <w:t>全额增值税</w:t>
      </w:r>
      <w:r>
        <w:rPr>
          <w:rFonts w:hint="eastAsia" w:ascii="仿宋" w:hAnsi="仿宋" w:eastAsia="仿宋" w:cs="仿宋"/>
          <w:b w:val="0"/>
          <w:bCs w:val="0"/>
          <w:sz w:val="28"/>
          <w:szCs w:val="28"/>
          <w:highlight w:val="none"/>
          <w:lang w:eastAsia="zh-CN"/>
        </w:rPr>
        <w:t>发票，</w:t>
      </w:r>
      <w:r>
        <w:rPr>
          <w:rFonts w:hint="eastAsia" w:ascii="仿宋" w:hAnsi="仿宋" w:eastAsia="仿宋" w:cs="仿宋"/>
          <w:b w:val="0"/>
          <w:bCs w:val="0"/>
          <w:sz w:val="28"/>
          <w:szCs w:val="28"/>
          <w:highlight w:val="none"/>
          <w:lang w:val="en-US" w:eastAsia="zh-CN"/>
        </w:rPr>
        <w:t>挂账</w:t>
      </w:r>
      <w:r>
        <w:rPr>
          <w:rFonts w:hint="eastAsia" w:ascii="仿宋" w:hAnsi="仿宋" w:eastAsia="仿宋" w:cs="仿宋"/>
          <w:b w:val="0"/>
          <w:bCs w:val="0"/>
          <w:sz w:val="28"/>
          <w:szCs w:val="28"/>
          <w:highlight w:val="none"/>
          <w:lang w:eastAsia="zh-CN"/>
        </w:rPr>
        <w:t>后</w:t>
      </w:r>
      <w:r>
        <w:rPr>
          <w:rFonts w:hint="eastAsia" w:ascii="仿宋" w:hAnsi="仿宋" w:eastAsia="仿宋" w:cs="仿宋"/>
          <w:b w:val="0"/>
          <w:bCs w:val="0"/>
          <w:sz w:val="28"/>
          <w:szCs w:val="28"/>
          <w:highlight w:val="none"/>
          <w:lang w:val="en-US" w:eastAsia="zh-CN"/>
        </w:rPr>
        <w:t>三</w:t>
      </w:r>
      <w:r>
        <w:rPr>
          <w:rFonts w:hint="eastAsia" w:ascii="仿宋" w:hAnsi="仿宋" w:eastAsia="仿宋" w:cs="仿宋"/>
          <w:b w:val="0"/>
          <w:bCs w:val="0"/>
          <w:sz w:val="28"/>
          <w:szCs w:val="28"/>
          <w:highlight w:val="none"/>
        </w:rPr>
        <w:t>月内</w:t>
      </w:r>
      <w:r>
        <w:rPr>
          <w:rFonts w:hint="eastAsia" w:ascii="仿宋" w:hAnsi="仿宋" w:eastAsia="仿宋" w:cs="仿宋"/>
          <w:b w:val="0"/>
          <w:bCs w:val="0"/>
          <w:sz w:val="28"/>
          <w:szCs w:val="28"/>
          <w:highlight w:val="none"/>
          <w:lang w:val="en-US" w:eastAsia="zh-CN"/>
        </w:rPr>
        <w:t>付款</w:t>
      </w:r>
      <w:r>
        <w:rPr>
          <w:rFonts w:hint="eastAsia" w:ascii="仿宋" w:hAnsi="仿宋" w:eastAsia="仿宋" w:cs="仿宋"/>
          <w:b w:val="0"/>
          <w:bCs w:val="0"/>
          <w:sz w:val="28"/>
          <w:szCs w:val="28"/>
          <w:highlight w:val="none"/>
          <w:lang w:eastAsia="zh-CN"/>
        </w:rPr>
        <w:t>。</w:t>
      </w:r>
    </w:p>
    <w:p w14:paraId="7AC338B0">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440" w:lineRule="exact"/>
        <w:ind w:left="0" w:firstLine="280" w:firstLineChars="100"/>
        <w:jc w:val="both"/>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4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440" w:lineRule="exact"/>
        <w:rPr>
          <w:rFonts w:hint="default"/>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44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384308223"/>
      <w:bookmarkStart w:id="13" w:name="_Toc152042318"/>
      <w:bookmarkStart w:id="14" w:name="_Toc247513966"/>
      <w:bookmarkStart w:id="15" w:name="_Toc247527567"/>
      <w:bookmarkStart w:id="16" w:name="_Toc144974510"/>
      <w:bookmarkStart w:id="17" w:name="_Toc152045542"/>
      <w:bookmarkStart w:id="18" w:name="_Toc25772"/>
      <w:bookmarkStart w:id="19" w:name="_Toc300834963"/>
      <w:bookmarkStart w:id="20" w:name="_Toc369531529"/>
      <w:bookmarkStart w:id="21" w:name="_Toc361508598"/>
      <w:bookmarkStart w:id="22" w:name="_Toc352691486"/>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369531530"/>
      <w:bookmarkStart w:id="24" w:name="_Toc247527568"/>
      <w:bookmarkStart w:id="25" w:name="_Toc152042319"/>
      <w:bookmarkStart w:id="26" w:name="_Toc384308224"/>
      <w:bookmarkStart w:id="27" w:name="_Toc361508599"/>
      <w:bookmarkStart w:id="28" w:name="_Toc152045543"/>
      <w:bookmarkStart w:id="29" w:name="_Toc144974511"/>
      <w:bookmarkStart w:id="30" w:name="_Toc300834964"/>
      <w:bookmarkStart w:id="31" w:name="_Toc352691487"/>
      <w:bookmarkStart w:id="32" w:name="_Toc15242"/>
      <w:bookmarkStart w:id="33" w:name="_Toc247513967"/>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b/>
          <w:bCs/>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b/>
          <w:bCs/>
          <w:color w:val="auto"/>
          <w:sz w:val="28"/>
          <w:szCs w:val="28"/>
          <w:lang w:val="en-US" w:eastAsia="zh-CN"/>
        </w:rPr>
        <w:t>报价单</w:t>
      </w:r>
      <w:r>
        <w:rPr>
          <w:rFonts w:hint="eastAsia" w:ascii="仿宋" w:hAnsi="仿宋" w:eastAsia="仿宋" w:cs="仿宋"/>
          <w:b/>
          <w:bCs/>
          <w:color w:val="auto"/>
          <w:sz w:val="28"/>
          <w:szCs w:val="28"/>
          <w:lang w:eastAsia="zh-CN"/>
        </w:rPr>
        <w:t>响应有效期</w:t>
      </w:r>
      <w:r>
        <w:rPr>
          <w:rFonts w:hint="eastAsia" w:ascii="仿宋" w:hAnsi="仿宋" w:eastAsia="仿宋" w:cs="仿宋"/>
          <w:b/>
          <w:bCs/>
          <w:color w:val="auto"/>
          <w:sz w:val="28"/>
          <w:szCs w:val="28"/>
        </w:rPr>
        <w:t>从提交之日起</w:t>
      </w:r>
      <w:r>
        <w:rPr>
          <w:rFonts w:hint="eastAsia" w:ascii="仿宋" w:hAnsi="仿宋" w:eastAsia="仿宋" w:cs="仿宋"/>
          <w:b/>
          <w:bCs/>
          <w:color w:val="auto"/>
          <w:sz w:val="28"/>
          <w:szCs w:val="28"/>
          <w:lang w:val="en-US" w:eastAsia="zh-CN"/>
        </w:rPr>
        <w:t>,有效期为30</w:t>
      </w:r>
      <w:r>
        <w:rPr>
          <w:rFonts w:hint="eastAsia" w:ascii="仿宋" w:hAnsi="仿宋" w:eastAsia="仿宋" w:cs="仿宋"/>
          <w:b/>
          <w:bCs/>
          <w:color w:val="auto"/>
          <w:sz w:val="28"/>
          <w:szCs w:val="28"/>
        </w:rPr>
        <w:t>天。</w:t>
      </w:r>
    </w:p>
    <w:p w14:paraId="3EAC3C8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1万元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adjustRightInd/>
        <w:snapToGrid/>
        <w:spacing w:line="42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adjustRightInd/>
        <w:snapToGrid/>
        <w:spacing w:line="42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adjustRightInd/>
        <w:snapToGrid/>
        <w:spacing w:line="42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384308227"/>
      <w:bookmarkStart w:id="35" w:name="_Toc29025"/>
      <w:bookmarkStart w:id="36" w:name="_Toc361508602"/>
      <w:bookmarkStart w:id="37" w:name="_Toc352691490"/>
      <w:bookmarkStart w:id="38" w:name="_Toc369531533"/>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adjustRightInd/>
        <w:snapToGrid/>
        <w:spacing w:line="42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152042322"/>
      <w:bookmarkStart w:id="40" w:name="_Toc247527571"/>
      <w:bookmarkStart w:id="41" w:name="_Toc144974514"/>
      <w:bookmarkStart w:id="42" w:name="_Toc352691491"/>
      <w:bookmarkStart w:id="43" w:name="_Toc247513970"/>
      <w:bookmarkStart w:id="44" w:name="_Toc384308228"/>
      <w:bookmarkStart w:id="45" w:name="_Toc14751"/>
      <w:bookmarkStart w:id="46" w:name="_Toc361508603"/>
      <w:bookmarkStart w:id="47" w:name="_Toc300834967"/>
      <w:bookmarkStart w:id="48" w:name="_Toc152045546"/>
      <w:bookmarkStart w:id="49" w:name="_Toc369531534"/>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17952"/>
      <w:bookmarkStart w:id="51" w:name="_Toc352691492"/>
      <w:bookmarkStart w:id="52" w:name="_Toc247527572"/>
      <w:bookmarkStart w:id="53" w:name="_Toc247513971"/>
      <w:bookmarkStart w:id="54" w:name="_Toc152042323"/>
      <w:bookmarkStart w:id="55" w:name="_Toc144974515"/>
      <w:bookmarkStart w:id="56" w:name="_Toc369531535"/>
      <w:bookmarkStart w:id="57" w:name="_Toc361508604"/>
      <w:bookmarkStart w:id="58" w:name="_Toc300834968"/>
      <w:bookmarkStart w:id="59" w:name="_Toc152045547"/>
      <w:bookmarkStart w:id="60" w:name="_Toc384308229"/>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adjustRightInd/>
        <w:snapToGrid/>
        <w:spacing w:line="42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adjustRightInd/>
        <w:snapToGrid/>
        <w:spacing w:line="42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adjustRightInd/>
        <w:snapToGrid/>
        <w:spacing w:line="42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adjustRightInd/>
        <w:snapToGrid/>
        <w:spacing w:before="0" w:after="0" w:line="420" w:lineRule="exact"/>
        <w:ind w:left="0" w:firstLine="280" w:firstLineChars="100"/>
        <w:jc w:val="both"/>
        <w:textAlignment w:val="auto"/>
        <w:rPr>
          <w:rFonts w:hint="eastAsia" w:ascii="仿宋" w:hAnsi="仿宋" w:eastAsia="仿宋" w:cs="仿宋"/>
          <w:color w:val="auto"/>
          <w:sz w:val="28"/>
          <w:szCs w:val="28"/>
        </w:rPr>
      </w:pPr>
      <w:bookmarkStart w:id="61" w:name="_Toc21871"/>
      <w:bookmarkStart w:id="62" w:name="_Toc28216"/>
      <w:bookmarkStart w:id="63" w:name="_Toc24514"/>
      <w:bookmarkStart w:id="64" w:name="_Toc3379579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adjustRightInd/>
        <w:snapToGrid/>
        <w:spacing w:before="0" w:after="0" w:line="42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adjustRightInd/>
        <w:snapToGrid/>
        <w:spacing w:line="42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37C3954A">
      <w:pPr>
        <w:pageBreakBefore w:val="0"/>
        <w:kinsoku/>
        <w:wordWrap/>
        <w:overflowPunct/>
        <w:topLinePunct w:val="0"/>
        <w:autoSpaceDE/>
        <w:autoSpaceDN/>
        <w:bidi w:val="0"/>
        <w:adjustRightInd/>
        <w:snapToGrid/>
        <w:spacing w:line="42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adjustRightInd/>
        <w:snapToGrid/>
        <w:spacing w:line="42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从2023年5月至今的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adjustRightInd/>
        <w:snapToGrid/>
        <w:spacing w:line="420" w:lineRule="exact"/>
        <w:ind w:left="0" w:firstLine="560" w:firstLineChars="200"/>
        <w:jc w:val="both"/>
        <w:textAlignment w:val="auto"/>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2022年3月至今的</w:t>
      </w:r>
      <w:r>
        <w:rPr>
          <w:rFonts w:hint="eastAsia" w:ascii="仿宋" w:hAnsi="仿宋" w:eastAsia="仿宋" w:cs="仿宋"/>
          <w:color w:val="auto"/>
          <w:sz w:val="28"/>
          <w:szCs w:val="28"/>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2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2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响应文件提交截止时间：2025年9月15日13时（北京时间）；</w:t>
      </w:r>
    </w:p>
    <w:p w14:paraId="2B1C985E">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2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2"/>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联系人：张小兵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44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4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2025年9月15日13时</w:t>
      </w:r>
      <w:r>
        <w:rPr>
          <w:rFonts w:hint="eastAsia" w:ascii="仿宋" w:hAnsi="仿宋" w:eastAsia="仿宋" w:cs="仿宋"/>
          <w:color w:val="auto"/>
          <w:spacing w:val="1"/>
          <w:kern w:val="0"/>
          <w:sz w:val="28"/>
          <w:szCs w:val="28"/>
          <w:highlight w:val="none"/>
          <w:lang w:val="en-US" w:eastAsia="zh-CN" w:bidi="ar-SA"/>
        </w:rPr>
        <w:t>；</w:t>
      </w:r>
    </w:p>
    <w:p w14:paraId="05D22B5D">
      <w:pPr>
        <w:keepNext w:val="0"/>
        <w:keepLines w:val="0"/>
        <w:pageBreakBefore w:val="0"/>
        <w:shd w:val="clear" w:color="auto" w:fill="auto"/>
        <w:kinsoku/>
        <w:wordWrap/>
        <w:overflowPunct/>
        <w:topLinePunct w:val="0"/>
        <w:autoSpaceDE/>
        <w:autoSpaceDN/>
        <w:bidi w:val="0"/>
        <w:adjustRightInd/>
        <w:snapToGrid/>
        <w:spacing w:line="450" w:lineRule="exact"/>
        <w:ind w:firstLine="564" w:firstLineChars="200"/>
        <w:textAlignment w:val="auto"/>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（二）响应文件的开启地点：陕西锌业有限公司办公楼一楼招投标办公室（陕西省商洛市商州区沙河子镇）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4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snapToGrid/>
        <w:spacing w:line="440" w:lineRule="exact"/>
        <w:rPr>
          <w:rFonts w:hint="default"/>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第一条第十二款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361508651"/>
      <w:bookmarkStart w:id="66" w:name="_Toc352691538"/>
      <w:bookmarkStart w:id="67" w:name="_Toc247514027"/>
      <w:bookmarkStart w:id="68" w:name="_Toc144974570"/>
      <w:bookmarkStart w:id="69" w:name="_Toc300835013"/>
      <w:bookmarkStart w:id="70" w:name="_Toc369531582"/>
      <w:bookmarkStart w:id="71" w:name="_Toc152042380"/>
      <w:bookmarkStart w:id="72" w:name="_Toc247527628"/>
      <w:bookmarkStart w:id="73" w:name="_Toc152045603"/>
      <w:bookmarkStart w:id="74" w:name="_Toc2907"/>
      <w:bookmarkStart w:id="75" w:name="_Toc384308277"/>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29291"/>
      <w:bookmarkStart w:id="77" w:name="_Toc33795835"/>
      <w:bookmarkStart w:id="78" w:name="_Toc16955"/>
      <w:bookmarkStart w:id="79" w:name="_Toc13563"/>
    </w:p>
    <w:p w14:paraId="74649D2E">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440" w:lineRule="exact"/>
        <w:ind w:left="0" w:leftChars="0" w:firstLine="280" w:firstLineChars="100"/>
        <w:jc w:val="both"/>
        <w:textAlignment w:val="auto"/>
        <w:rPr>
          <w:rFonts w:hint="eastAsia" w:ascii="仿宋" w:hAnsi="仿宋" w:eastAsia="仿宋" w:cs="仿宋"/>
          <w:color w:val="auto"/>
          <w:sz w:val="28"/>
          <w:szCs w:val="28"/>
        </w:rPr>
      </w:pPr>
      <w:bookmarkStart w:id="80" w:name="_Toc32669"/>
      <w:bookmarkStart w:id="81" w:name="_Toc15253"/>
      <w:bookmarkStart w:id="82" w:name="_Toc33795836"/>
      <w:bookmarkStart w:id="83" w:name="_Toc336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44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440" w:lineRule="exact"/>
        <w:ind w:left="0" w:firstLine="562" w:firstLineChars="200"/>
        <w:jc w:val="both"/>
        <w:rPr>
          <w:rFonts w:hint="eastAsia" w:ascii="仿宋" w:hAnsi="仿宋" w:eastAsia="仿宋" w:cs="仿宋"/>
          <w:color w:val="auto"/>
          <w:sz w:val="28"/>
          <w:szCs w:val="28"/>
        </w:rPr>
      </w:pPr>
      <w:bookmarkStart w:id="84" w:name="_Toc33795807"/>
      <w:bookmarkStart w:id="85" w:name="_Toc8518"/>
      <w:bookmarkStart w:id="86" w:name="_Toc9481"/>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87" w:name="_Toc33795808"/>
      <w:bookmarkStart w:id="88" w:name="_Toc21093"/>
      <w:bookmarkStart w:id="89" w:name="_Toc30852"/>
      <w:bookmarkStart w:id="90" w:name="_Toc1609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91" w:name="_Toc10372"/>
      <w:bookmarkStart w:id="92" w:name="_Toc7018"/>
      <w:bookmarkStart w:id="93" w:name="_Toc19079"/>
      <w:bookmarkStart w:id="94" w:name="_Toc33795809"/>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30095"/>
      <w:bookmarkStart w:id="96" w:name="_Toc369531549"/>
      <w:bookmarkStart w:id="97" w:name="_Toc384308243"/>
      <w:bookmarkStart w:id="98" w:name="_Toc144974529"/>
      <w:bookmarkStart w:id="99" w:name="_Toc152045561"/>
      <w:bookmarkStart w:id="100" w:name="_Toc352691505"/>
      <w:bookmarkStart w:id="101" w:name="_Toc247527586"/>
      <w:bookmarkStart w:id="102" w:name="_Toc300834982"/>
      <w:bookmarkStart w:id="103" w:name="_Toc361508618"/>
      <w:bookmarkStart w:id="104" w:name="_Toc247513985"/>
      <w:bookmarkStart w:id="105" w:name="_Toc152042337"/>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06" w:name="_Toc21648"/>
      <w:bookmarkStart w:id="107" w:name="_Toc33795810"/>
      <w:bookmarkStart w:id="108" w:name="_Toc25590"/>
      <w:bookmarkStart w:id="109" w:name="_Toc2875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lang w:val="en-US"/>
        </w:rPr>
      </w:pPr>
      <w:bookmarkStart w:id="110" w:name="_Toc19470"/>
      <w:bookmarkStart w:id="111" w:name="_Toc33795811"/>
      <w:bookmarkStart w:id="112" w:name="_Toc2191"/>
      <w:bookmarkStart w:id="113" w:name="_Toc24665"/>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14" w:name="_Toc31681"/>
      <w:bookmarkStart w:id="115" w:name="_Toc10813"/>
      <w:bookmarkStart w:id="116" w:name="_Toc33795812"/>
      <w:bookmarkStart w:id="117" w:name="_Toc692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52691506"/>
      <w:bookmarkStart w:id="119" w:name="_Toc369531550"/>
      <w:bookmarkStart w:id="120" w:name="_Toc5668"/>
      <w:bookmarkStart w:id="121" w:name="_Toc361508619"/>
      <w:bookmarkStart w:id="122" w:name="_Toc300834983"/>
      <w:bookmarkStart w:id="123" w:name="_Toc384308244"/>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24" w:name="_Toc21613"/>
      <w:bookmarkStart w:id="125" w:name="_Toc30705"/>
      <w:bookmarkStart w:id="126" w:name="_Toc33795813"/>
      <w:bookmarkStart w:id="127" w:name="_Toc434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28" w:name="_Toc33795814"/>
      <w:bookmarkStart w:id="129" w:name="_Toc14362"/>
      <w:bookmarkStart w:id="130" w:name="_Toc11183"/>
      <w:bookmarkStart w:id="131" w:name="_Toc367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152042340"/>
      <w:bookmarkStart w:id="133" w:name="_Toc152045564"/>
      <w:bookmarkStart w:id="134" w:name="_Toc300834986"/>
      <w:bookmarkStart w:id="135" w:name="_Toc144974532"/>
      <w:bookmarkStart w:id="136" w:name="_Toc384308247"/>
      <w:bookmarkStart w:id="137" w:name="_Toc369531553"/>
      <w:bookmarkStart w:id="138" w:name="_Toc247527589"/>
      <w:bookmarkStart w:id="139" w:name="_Toc352691509"/>
      <w:bookmarkStart w:id="140" w:name="_Toc361508622"/>
      <w:bookmarkStart w:id="141" w:name="_Toc4656"/>
      <w:bookmarkStart w:id="142" w:name="_Toc247513988"/>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18247"/>
      <w:bookmarkStart w:id="144" w:name="_Toc144974533"/>
      <w:bookmarkStart w:id="145" w:name="_Toc369531554"/>
      <w:bookmarkStart w:id="146" w:name="_Toc384308248"/>
      <w:bookmarkStart w:id="147" w:name="_Toc152042341"/>
      <w:bookmarkStart w:id="148" w:name="_Toc300834987"/>
      <w:bookmarkStart w:id="149" w:name="_Toc352691510"/>
      <w:bookmarkStart w:id="150" w:name="_Toc247527590"/>
      <w:bookmarkStart w:id="151" w:name="_Toc361508623"/>
      <w:bookmarkStart w:id="152" w:name="_Toc247513989"/>
      <w:bookmarkStart w:id="153" w:name="_Toc152045565"/>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24067"/>
      <w:bookmarkStart w:id="155" w:name="_Toc361508627"/>
      <w:bookmarkStart w:id="156" w:name="_Toc384308252"/>
      <w:bookmarkStart w:id="157" w:name="_Toc300834991"/>
      <w:bookmarkStart w:id="158" w:name="_Toc152042344"/>
      <w:bookmarkStart w:id="159" w:name="_Toc247527593"/>
      <w:bookmarkStart w:id="160" w:name="_Toc152045568"/>
      <w:bookmarkStart w:id="161" w:name="_Toc144974536"/>
      <w:bookmarkStart w:id="162" w:name="_Toc247513992"/>
    </w:p>
    <w:bookmarkEnd w:id="154"/>
    <w:bookmarkEnd w:id="155"/>
    <w:bookmarkEnd w:id="156"/>
    <w:p w14:paraId="5C60697D">
      <w:pPr>
        <w:pStyle w:val="2"/>
        <w:pageBreakBefore w:val="0"/>
        <w:kinsoku/>
        <w:wordWrap/>
        <w:overflowPunct/>
        <w:topLinePunct w:val="0"/>
        <w:autoSpaceDE/>
        <w:autoSpaceDN/>
        <w:bidi w:val="0"/>
        <w:snapToGrid/>
        <w:spacing w:before="0" w:after="0" w:line="440" w:lineRule="exact"/>
        <w:ind w:left="0" w:firstLine="562" w:firstLineChars="200"/>
        <w:jc w:val="both"/>
        <w:rPr>
          <w:rFonts w:hint="eastAsia" w:ascii="仿宋" w:hAnsi="仿宋" w:eastAsia="仿宋" w:cs="仿宋"/>
          <w:color w:val="auto"/>
          <w:sz w:val="28"/>
          <w:szCs w:val="28"/>
        </w:rPr>
      </w:pPr>
      <w:bookmarkStart w:id="163" w:name="_Toc25347"/>
      <w:bookmarkStart w:id="164" w:name="_Toc33795815"/>
      <w:bookmarkStart w:id="165" w:name="_Toc14752"/>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361508628"/>
      <w:bookmarkStart w:id="167" w:name="_Toc352691515"/>
      <w:bookmarkStart w:id="168" w:name="_Toc369531559"/>
      <w:bookmarkStart w:id="169" w:name="_Toc384308253"/>
      <w:bookmarkStart w:id="170" w:name="_Toc13644"/>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440" w:lineRule="exact"/>
        <w:ind w:left="0" w:firstLine="560" w:firstLineChars="200"/>
        <w:jc w:val="both"/>
        <w:rPr>
          <w:rFonts w:hint="eastAsia" w:ascii="仿宋" w:hAnsi="仿宋" w:eastAsia="仿宋" w:cs="仿宋"/>
          <w:color w:val="auto"/>
          <w:sz w:val="28"/>
          <w:szCs w:val="28"/>
        </w:rPr>
      </w:pPr>
      <w:bookmarkStart w:id="171" w:name="_Toc18070"/>
      <w:bookmarkStart w:id="172" w:name="_Toc22294"/>
      <w:bookmarkStart w:id="173" w:name="_Toc24957"/>
      <w:bookmarkStart w:id="174" w:name="_Toc33795820"/>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7346215F">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33E6147D">
      <w:pPr>
        <w:keepNext w:val="0"/>
        <w:keepLines w:val="0"/>
        <w:pageBreakBefore w:val="0"/>
        <w:widowControl w:val="0"/>
        <w:suppressLineNumbers w:val="0"/>
        <w:kinsoku/>
        <w:wordWrap/>
        <w:overflowPunct/>
        <w:topLinePunct w:val="0"/>
        <w:autoSpaceDE/>
        <w:autoSpaceDN/>
        <w:bidi w:val="0"/>
        <w:adjustRightInd/>
        <w:snapToGrid/>
        <w:spacing w:line="440" w:lineRule="exact"/>
        <w:jc w:val="both"/>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  </w:t>
      </w:r>
    </w:p>
    <w:p w14:paraId="7846471C">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4760" w:firstLineChars="17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40" w:lineRule="exact"/>
        <w:ind w:firstLine="4760" w:firstLineChars="1700"/>
        <w:jc w:val="both"/>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2025年9月11日</w:t>
      </w:r>
    </w:p>
    <w:p w14:paraId="09DD35AC">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仿宋" w:hAnsi="仿宋" w:eastAsia="仿宋" w:cs="仿宋"/>
          <w:color w:val="auto"/>
          <w:kern w:val="0"/>
          <w:sz w:val="32"/>
          <w:szCs w:val="32"/>
          <w:lang w:val="en-US" w:eastAsia="zh-CN" w:bidi="ar"/>
        </w:rPr>
      </w:pPr>
    </w:p>
    <w:p w14:paraId="5F9B6549">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7667630">
      <w:pPr>
        <w:spacing w:line="400" w:lineRule="exact"/>
        <w:rPr>
          <w:rFonts w:hint="eastAsia" w:ascii="仿宋" w:hAnsi="仿宋" w:eastAsia="仿宋" w:cs="仿宋"/>
          <w:color w:val="auto"/>
          <w:sz w:val="32"/>
          <w:szCs w:val="32"/>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XB20250909-26</w:t>
      </w: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2025年9月份酒石酸锑钾</w:t>
      </w:r>
      <w:r>
        <w:rPr>
          <w:rStyle w:val="11"/>
          <w:rFonts w:hint="eastAsia" w:ascii="方正粗黑宋简体" w:hAnsi="方正粗黑宋简体" w:eastAsia="方正粗黑宋简体" w:cs="方正粗黑宋简体"/>
          <w:i w:val="0"/>
          <w:iCs w:val="0"/>
          <w:caps w:val="0"/>
          <w:color w:val="000000"/>
          <w:spacing w:val="0"/>
          <w:sz w:val="36"/>
          <w:szCs w:val="36"/>
        </w:rPr>
        <w:t>询比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二次采购项目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28734"/>
      <w:bookmarkStart w:id="180" w:name="_Toc504488769"/>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69531698"/>
      <w:bookmarkStart w:id="182" w:name="_Toc352691662"/>
      <w:bookmarkStart w:id="183"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152042578"/>
      <w:bookmarkStart w:id="185" w:name="_Toc369531699"/>
      <w:bookmarkStart w:id="186" w:name="_Toc247527829"/>
      <w:bookmarkStart w:id="187" w:name="_Toc300835211"/>
      <w:bookmarkStart w:id="188" w:name="_Toc15573"/>
      <w:bookmarkStart w:id="189" w:name="_Toc361508754"/>
      <w:bookmarkStart w:id="190" w:name="_Toc384308377"/>
      <w:bookmarkStart w:id="191" w:name="_Toc247514248"/>
      <w:bookmarkStart w:id="192" w:name="_Toc352691663"/>
      <w:bookmarkStart w:id="193" w:name="_Toc152045789"/>
      <w:bookmarkStart w:id="194" w:name="_Toc144974858"/>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7842"/>
      <w:bookmarkStart w:id="198"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1755"/>
      <w:bookmarkStart w:id="201" w:name="_Toc50448877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p w14:paraId="44B35B9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val="0"/>
          <w:color w:val="auto"/>
          <w:sz w:val="28"/>
          <w:szCs w:val="28"/>
          <w:lang w:val="en-US" w:eastAsia="zh-CN"/>
        </w:rPr>
      </w:pPr>
    </w:p>
    <w:p w14:paraId="18CDDC98">
      <w:pPr>
        <w:keepNext w:val="0"/>
        <w:keepLines w:val="0"/>
        <w:pageBreakBefore w:val="0"/>
        <w:kinsoku/>
        <w:wordWrap/>
        <w:overflowPunct/>
        <w:topLinePunct w:val="0"/>
        <w:autoSpaceDE/>
        <w:autoSpaceDN/>
        <w:bidi w:val="0"/>
        <w:adjustRightInd/>
        <w:snapToGrid/>
        <w:spacing w:line="460" w:lineRule="exact"/>
        <w:ind w:firstLine="1446" w:firstLineChars="600"/>
        <w:rPr>
          <w:rFonts w:hint="eastAsia" w:ascii="宋体" w:hAnsi="宋体" w:eastAsia="宋体" w:cs="宋体"/>
          <w:b w:val="0"/>
          <w:bCs/>
          <w:color w:val="auto"/>
          <w:sz w:val="28"/>
          <w:szCs w:val="28"/>
          <w:lang w:val="en-US" w:eastAsia="zh-CN"/>
        </w:rPr>
      </w:pP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8"/>
          <w:szCs w:val="28"/>
          <w:lang w:val="en-US" w:eastAsia="zh-CN"/>
        </w:rPr>
        <w:t xml:space="preserve">                                </w:t>
      </w:r>
      <w:r>
        <w:rPr>
          <w:rFonts w:hint="eastAsia" w:ascii="宋体" w:hAnsi="宋体" w:eastAsia="宋体" w:cs="宋体"/>
          <w:b w:val="0"/>
          <w:bCs/>
          <w:color w:val="auto"/>
          <w:sz w:val="28"/>
          <w:szCs w:val="28"/>
          <w:lang w:val="en-US" w:eastAsia="zh-CN"/>
        </w:rPr>
        <w:t>计量单位：元/吨</w:t>
      </w:r>
    </w:p>
    <w:tbl>
      <w:tblPr>
        <w:tblStyle w:val="9"/>
        <w:tblW w:w="8676" w:type="dxa"/>
        <w:tblInd w:w="-260" w:type="dxa"/>
        <w:tblLayout w:type="fixed"/>
        <w:tblCellMar>
          <w:top w:w="0" w:type="dxa"/>
          <w:left w:w="0" w:type="dxa"/>
          <w:bottom w:w="0" w:type="dxa"/>
          <w:right w:w="0" w:type="dxa"/>
        </w:tblCellMar>
      </w:tblPr>
      <w:tblGrid>
        <w:gridCol w:w="540"/>
        <w:gridCol w:w="1188"/>
        <w:gridCol w:w="2808"/>
        <w:gridCol w:w="792"/>
        <w:gridCol w:w="1008"/>
        <w:gridCol w:w="1365"/>
        <w:gridCol w:w="975"/>
      </w:tblGrid>
      <w:tr w14:paraId="205FD423">
        <w:tblPrEx>
          <w:tblCellMar>
            <w:top w:w="0" w:type="dxa"/>
            <w:left w:w="0" w:type="dxa"/>
            <w:bottom w:w="0" w:type="dxa"/>
            <w:right w:w="0" w:type="dxa"/>
          </w:tblCellMar>
        </w:tblPrEx>
        <w:trPr>
          <w:trHeight w:val="1189" w:hRule="atLeast"/>
        </w:trPr>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4E187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rPr>
            </w:pPr>
            <w:r>
              <w:rPr>
                <w:rFonts w:hint="eastAsia" w:ascii="宋体" w:hAnsi="宋体" w:eastAsia="宋体" w:cs="宋体"/>
                <w:b w:val="0"/>
                <w:bCs/>
                <w:i w:val="0"/>
                <w:color w:val="000000"/>
                <w:kern w:val="0"/>
                <w:sz w:val="28"/>
                <w:szCs w:val="28"/>
                <w:u w:val="none"/>
                <w:lang w:val="en-US" w:eastAsia="zh-CN" w:bidi="ar"/>
              </w:rPr>
              <w:t>序号</w:t>
            </w:r>
          </w:p>
        </w:tc>
        <w:tc>
          <w:tcPr>
            <w:tcW w:w="11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48ECD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rPr>
            </w:pPr>
            <w:r>
              <w:rPr>
                <w:rFonts w:hint="eastAsia" w:ascii="宋体" w:hAnsi="宋体" w:eastAsia="宋体" w:cs="宋体"/>
                <w:b w:val="0"/>
                <w:bCs/>
                <w:i w:val="0"/>
                <w:color w:val="000000"/>
                <w:kern w:val="0"/>
                <w:sz w:val="28"/>
                <w:szCs w:val="28"/>
                <w:u w:val="none"/>
                <w:lang w:val="en-US" w:eastAsia="zh-CN" w:bidi="ar"/>
              </w:rPr>
              <w:t>物品   名称</w:t>
            </w:r>
          </w:p>
        </w:tc>
        <w:tc>
          <w:tcPr>
            <w:tcW w:w="28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15A76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rPr>
            </w:pPr>
            <w:r>
              <w:rPr>
                <w:rFonts w:hint="eastAsia" w:ascii="宋体" w:hAnsi="宋体" w:eastAsia="宋体" w:cs="宋体"/>
                <w:b w:val="0"/>
                <w:bCs/>
                <w:i w:val="0"/>
                <w:color w:val="000000"/>
                <w:kern w:val="0"/>
                <w:sz w:val="28"/>
                <w:szCs w:val="28"/>
                <w:u w:val="none"/>
                <w:lang w:val="en-US" w:eastAsia="zh-CN" w:bidi="ar"/>
              </w:rPr>
              <w:t>规格型号</w:t>
            </w:r>
          </w:p>
        </w:tc>
        <w:tc>
          <w:tcPr>
            <w:tcW w:w="7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F7665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数量</w:t>
            </w:r>
          </w:p>
        </w:tc>
        <w:tc>
          <w:tcPr>
            <w:tcW w:w="10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13AAE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报价</w:t>
            </w:r>
          </w:p>
        </w:tc>
        <w:tc>
          <w:tcPr>
            <w:tcW w:w="1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C4F53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kern w:val="0"/>
                <w:sz w:val="28"/>
                <w:szCs w:val="28"/>
                <w:u w:val="none"/>
                <w:lang w:val="en-US" w:eastAsia="zh-CN" w:bidi="ar"/>
              </w:rPr>
              <w:t>金额</w:t>
            </w:r>
            <w:r>
              <w:rPr>
                <w:rFonts w:hint="eastAsia" w:ascii="宋体" w:hAnsi="宋体" w:eastAsia="宋体" w:cs="宋体"/>
                <w:b w:val="0"/>
                <w:bCs/>
                <w:i w:val="0"/>
                <w:color w:val="000000"/>
                <w:sz w:val="28"/>
                <w:szCs w:val="28"/>
                <w:u w:val="none"/>
                <w:lang w:val="en-US" w:eastAsia="zh-CN"/>
              </w:rPr>
              <w:t xml:space="preserve">   </w:t>
            </w:r>
          </w:p>
        </w:tc>
        <w:tc>
          <w:tcPr>
            <w:tcW w:w="9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69D37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b w:val="0"/>
                <w:bCs/>
                <w:i w:val="0"/>
                <w:color w:val="000000"/>
                <w:kern w:val="0"/>
                <w:sz w:val="28"/>
                <w:szCs w:val="28"/>
                <w:u w:val="none"/>
                <w:lang w:val="en-US" w:eastAsia="zh-CN" w:bidi="ar"/>
              </w:rPr>
            </w:pPr>
            <w:r>
              <w:rPr>
                <w:rFonts w:hint="eastAsia" w:ascii="宋体" w:hAnsi="宋体" w:eastAsia="宋体" w:cs="宋体"/>
                <w:b w:val="0"/>
                <w:bCs/>
                <w:i w:val="0"/>
                <w:color w:val="000000"/>
                <w:kern w:val="0"/>
                <w:sz w:val="28"/>
                <w:szCs w:val="28"/>
                <w:u w:val="none"/>
                <w:lang w:val="en-US" w:eastAsia="zh-CN" w:bidi="ar"/>
              </w:rPr>
              <w:t>产地 品牌</w:t>
            </w:r>
          </w:p>
        </w:tc>
      </w:tr>
      <w:tr w14:paraId="4573A27B">
        <w:tblPrEx>
          <w:tblCellMar>
            <w:top w:w="0" w:type="dxa"/>
            <w:left w:w="0" w:type="dxa"/>
            <w:bottom w:w="0" w:type="dxa"/>
            <w:right w:w="0" w:type="dxa"/>
          </w:tblCellMar>
        </w:tblPrEx>
        <w:trPr>
          <w:trHeight w:val="3100"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407A62B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1</w:t>
            </w:r>
          </w:p>
        </w:tc>
        <w:tc>
          <w:tcPr>
            <w:tcW w:w="11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F1EB1A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酒石酸 锑钾</w:t>
            </w:r>
          </w:p>
        </w:tc>
        <w:tc>
          <w:tcPr>
            <w:tcW w:w="280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042FE9F">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Cs/>
                <w:color w:val="auto"/>
                <w:sz w:val="28"/>
                <w:szCs w:val="28"/>
                <w:lang w:eastAsia="zh-CN"/>
              </w:rPr>
            </w:pPr>
            <w:r>
              <w:rPr>
                <w:rFonts w:hint="eastAsia" w:ascii="仿宋" w:hAnsi="仿宋" w:eastAsia="仿宋" w:cs="仿宋"/>
                <w:sz w:val="28"/>
                <w:szCs w:val="28"/>
                <w:lang w:val="en-US" w:eastAsia="zh-CN"/>
              </w:rPr>
              <w:t>按</w:t>
            </w:r>
            <w:r>
              <w:rPr>
                <w:rFonts w:hint="eastAsia" w:ascii="仿宋" w:hAnsi="仿宋" w:eastAsia="仿宋" w:cs="仿宋"/>
                <w:color w:val="auto"/>
                <w:sz w:val="28"/>
                <w:szCs w:val="28"/>
                <w:highlight w:val="none"/>
                <w:lang w:val="en-US" w:eastAsia="zh-CN"/>
              </w:rPr>
              <w:t>SQS JG-005-2025</w:t>
            </w:r>
            <w:r>
              <w:rPr>
                <w:rFonts w:hint="eastAsia" w:ascii="仿宋" w:hAnsi="仿宋" w:eastAsia="仿宋" w:cs="仿宋"/>
                <w:sz w:val="28"/>
                <w:szCs w:val="28"/>
                <w:lang w:val="en-US" w:eastAsia="zh-CN"/>
              </w:rPr>
              <w:t>标准执行；</w:t>
            </w:r>
            <w:r>
              <w:rPr>
                <w:rFonts w:hint="eastAsia" w:ascii="仿宋" w:hAnsi="仿宋" w:eastAsia="仿宋" w:cs="仿宋"/>
                <w:b w:val="0"/>
                <w:bCs w:val="0"/>
                <w:sz w:val="28"/>
                <w:szCs w:val="28"/>
              </w:rPr>
              <w:t>工业级含量≥98%，重金属≤0.001%，砷盐≤0.0002%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未按产地、品牌要求报价的，报价无效。</w:t>
            </w:r>
          </w:p>
          <w:p w14:paraId="2D9FCC0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val="0"/>
                <w:bCs/>
                <w:i w:val="0"/>
                <w:color w:val="000000"/>
                <w:sz w:val="28"/>
                <w:szCs w:val="28"/>
                <w:u w:val="none"/>
                <w:lang w:val="en-US" w:eastAsia="zh-CN"/>
              </w:rPr>
            </w:pPr>
          </w:p>
        </w:tc>
        <w:tc>
          <w:tcPr>
            <w:tcW w:w="79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406867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5</w:t>
            </w:r>
          </w:p>
        </w:tc>
        <w:tc>
          <w:tcPr>
            <w:tcW w:w="100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C433D1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0959EF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p>
        </w:tc>
        <w:tc>
          <w:tcPr>
            <w:tcW w:w="97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263CA5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p>
        </w:tc>
      </w:tr>
      <w:tr w14:paraId="4F1A28B4">
        <w:tblPrEx>
          <w:tblCellMar>
            <w:top w:w="0" w:type="dxa"/>
            <w:left w:w="0" w:type="dxa"/>
            <w:bottom w:w="0" w:type="dxa"/>
            <w:right w:w="0" w:type="dxa"/>
          </w:tblCellMar>
        </w:tblPrEx>
        <w:trPr>
          <w:trHeight w:val="824" w:hRule="atLeast"/>
        </w:trPr>
        <w:tc>
          <w:tcPr>
            <w:tcW w:w="8676" w:type="dxa"/>
            <w:gridSpan w:val="7"/>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43A16F30">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仿宋" w:cs="宋体"/>
                <w:b w:val="0"/>
                <w:bCs/>
                <w:i w:val="0"/>
                <w:color w:val="000000"/>
                <w:sz w:val="28"/>
                <w:szCs w:val="28"/>
                <w:u w:val="none"/>
                <w:lang w:val="en-US" w:eastAsia="zh-CN"/>
              </w:rPr>
            </w:pPr>
            <w:r>
              <w:rPr>
                <w:rFonts w:hint="eastAsia" w:ascii="宋体" w:hAnsi="宋体" w:eastAsia="宋体" w:cs="宋体"/>
                <w:b/>
                <w:bCs w:val="0"/>
                <w:i w:val="0"/>
                <w:color w:val="000000"/>
                <w:sz w:val="28"/>
                <w:szCs w:val="28"/>
                <w:u w:val="none"/>
                <w:lang w:val="en-US" w:eastAsia="zh-CN"/>
              </w:rPr>
              <w:t>价格</w:t>
            </w:r>
            <w:r>
              <w:rPr>
                <w:rFonts w:hint="eastAsia" w:ascii="仿宋" w:hAnsi="仿宋" w:eastAsia="仿宋" w:cs="仿宋"/>
                <w:b/>
                <w:bCs w:val="0"/>
                <w:color w:val="auto"/>
                <w:sz w:val="28"/>
                <w:szCs w:val="28"/>
                <w:lang w:eastAsia="zh-CN"/>
              </w:rPr>
              <w:t>响应有效期：</w:t>
            </w:r>
            <w:r>
              <w:rPr>
                <w:rFonts w:hint="eastAsia" w:ascii="仿宋" w:hAnsi="仿宋" w:eastAsia="仿宋" w:cs="仿宋"/>
                <w:b/>
                <w:bCs/>
                <w:color w:val="auto"/>
                <w:sz w:val="28"/>
                <w:szCs w:val="28"/>
              </w:rPr>
              <w:t>从提交</w:t>
            </w:r>
            <w:r>
              <w:rPr>
                <w:rFonts w:hint="eastAsia" w:ascii="仿宋" w:hAnsi="仿宋" w:eastAsia="仿宋" w:cs="仿宋"/>
                <w:b/>
                <w:bCs/>
                <w:color w:val="auto"/>
                <w:sz w:val="28"/>
                <w:szCs w:val="28"/>
                <w:lang w:val="en-US" w:eastAsia="zh-CN"/>
              </w:rPr>
              <w:t>报价单</w:t>
            </w:r>
            <w:r>
              <w:rPr>
                <w:rFonts w:hint="eastAsia" w:ascii="仿宋" w:hAnsi="仿宋" w:eastAsia="仿宋" w:cs="仿宋"/>
                <w:b/>
                <w:bCs/>
                <w:color w:val="auto"/>
                <w:sz w:val="28"/>
                <w:szCs w:val="28"/>
              </w:rPr>
              <w:t>之日起</w:t>
            </w:r>
            <w:r>
              <w:rPr>
                <w:rFonts w:hint="eastAsia" w:ascii="仿宋" w:hAnsi="仿宋" w:eastAsia="仿宋" w:cs="仿宋"/>
                <w:b/>
                <w:bCs/>
                <w:color w:val="auto"/>
                <w:sz w:val="28"/>
                <w:szCs w:val="28"/>
                <w:lang w:val="en-US" w:eastAsia="zh-CN"/>
              </w:rPr>
              <w:t>30</w:t>
            </w:r>
            <w:r>
              <w:rPr>
                <w:rFonts w:hint="eastAsia" w:ascii="仿宋" w:hAnsi="仿宋" w:eastAsia="仿宋" w:cs="仿宋"/>
                <w:b/>
                <w:bCs/>
                <w:color w:val="auto"/>
                <w:sz w:val="28"/>
                <w:szCs w:val="28"/>
              </w:rPr>
              <w:t>天</w:t>
            </w:r>
            <w:r>
              <w:rPr>
                <w:rFonts w:hint="eastAsia" w:ascii="仿宋" w:hAnsi="仿宋" w:eastAsia="仿宋" w:cs="仿宋"/>
                <w:b/>
                <w:bCs/>
                <w:color w:val="auto"/>
                <w:sz w:val="28"/>
                <w:szCs w:val="28"/>
                <w:lang w:val="en-US" w:eastAsia="zh-CN"/>
              </w:rPr>
              <w:t>内</w:t>
            </w:r>
            <w:r>
              <w:rPr>
                <w:rFonts w:hint="eastAsia" w:ascii="仿宋" w:hAnsi="仿宋" w:eastAsia="仿宋" w:cs="仿宋"/>
                <w:b/>
                <w:bCs/>
                <w:color w:val="auto"/>
                <w:sz w:val="28"/>
                <w:szCs w:val="28"/>
                <w:lang w:eastAsia="zh-CN"/>
              </w:rPr>
              <w:t>。</w:t>
            </w:r>
          </w:p>
        </w:tc>
      </w:tr>
    </w:tbl>
    <w:p w14:paraId="35760B33">
      <w:pPr>
        <w:pStyle w:val="2"/>
        <w:pageBreakBefore w:val="0"/>
        <w:kinsoku/>
        <w:wordWrap/>
        <w:overflowPunct/>
        <w:topLinePunct w:val="0"/>
        <w:autoSpaceDE/>
        <w:autoSpaceDN/>
        <w:bidi w:val="0"/>
        <w:adjustRightInd/>
        <w:snapToGrid/>
        <w:spacing w:after="0" w:line="320" w:lineRule="exact"/>
        <w:ind w:firstLine="321" w:firstLineChars="100"/>
        <w:jc w:val="both"/>
        <w:rPr>
          <w:rFonts w:hint="eastAsia" w:ascii="Times New Roman" w:hAnsi="Times New Roman"/>
          <w:color w:val="auto"/>
          <w:kern w:val="0"/>
        </w:rPr>
      </w:pPr>
    </w:p>
    <w:p w14:paraId="2AB3A225">
      <w:pPr>
        <w:pStyle w:val="2"/>
        <w:pageBreakBefore w:val="0"/>
        <w:kinsoku/>
        <w:wordWrap/>
        <w:overflowPunct/>
        <w:topLinePunct w:val="0"/>
        <w:autoSpaceDE/>
        <w:autoSpaceDN/>
        <w:bidi w:val="0"/>
        <w:adjustRightInd/>
        <w:snapToGrid/>
        <w:spacing w:after="0" w:line="320" w:lineRule="exact"/>
        <w:ind w:firstLine="2240" w:firstLineChars="700"/>
        <w:jc w:val="both"/>
        <w:rPr>
          <w:rFonts w:hint="eastAsia" w:ascii="Times New Roman" w:hAnsi="Times New Roman"/>
          <w:b w:val="0"/>
          <w:bCs/>
          <w:color w:val="auto"/>
          <w:kern w:val="0"/>
          <w:u w:val="single"/>
          <w:lang w:val="en-US" w:eastAsia="zh-CN"/>
        </w:rPr>
      </w:pPr>
      <w:r>
        <w:rPr>
          <w:rFonts w:hint="eastAsia" w:ascii="Times New Roman" w:hAnsi="Times New Roman"/>
          <w:b w:val="0"/>
          <w:bCs/>
          <w:color w:val="auto"/>
          <w:kern w:val="0"/>
          <w:lang w:val="en-US" w:eastAsia="zh-CN"/>
        </w:rPr>
        <w:t>报价单位签章：</w:t>
      </w:r>
      <w:r>
        <w:rPr>
          <w:rFonts w:hint="eastAsia" w:ascii="Times New Roman" w:hAnsi="Times New Roman"/>
          <w:b w:val="0"/>
          <w:bCs/>
          <w:color w:val="auto"/>
          <w:kern w:val="0"/>
          <w:u w:val="single"/>
          <w:lang w:val="en-US" w:eastAsia="zh-CN"/>
        </w:rPr>
        <w:t xml:space="preserve">                     </w:t>
      </w:r>
    </w:p>
    <w:p w14:paraId="77B7DA20">
      <w:pPr>
        <w:pStyle w:val="2"/>
        <w:pageBreakBefore w:val="0"/>
        <w:kinsoku/>
        <w:wordWrap/>
        <w:overflowPunct/>
        <w:topLinePunct w:val="0"/>
        <w:autoSpaceDE/>
        <w:autoSpaceDN/>
        <w:bidi w:val="0"/>
        <w:adjustRightInd/>
        <w:snapToGrid/>
        <w:spacing w:after="0" w:line="320" w:lineRule="exact"/>
        <w:ind w:firstLine="320" w:firstLineChars="100"/>
        <w:jc w:val="both"/>
        <w:rPr>
          <w:rFonts w:hint="eastAsia" w:ascii="Times New Roman" w:hAnsi="Times New Roman"/>
          <w:b w:val="0"/>
          <w:bCs/>
          <w:color w:val="auto"/>
          <w:kern w:val="0"/>
          <w:u w:val="single"/>
          <w:lang w:val="en-US" w:eastAsia="zh-CN"/>
        </w:rPr>
      </w:pPr>
    </w:p>
    <w:p w14:paraId="0C4F7D97">
      <w:pPr>
        <w:pStyle w:val="2"/>
        <w:pageBreakBefore w:val="0"/>
        <w:kinsoku/>
        <w:wordWrap/>
        <w:overflowPunct/>
        <w:topLinePunct w:val="0"/>
        <w:autoSpaceDE/>
        <w:autoSpaceDN/>
        <w:bidi w:val="0"/>
        <w:adjustRightInd/>
        <w:snapToGrid/>
        <w:spacing w:after="0" w:line="320" w:lineRule="exact"/>
        <w:ind w:firstLine="2240" w:firstLineChars="700"/>
        <w:jc w:val="both"/>
        <w:rPr>
          <w:rFonts w:ascii="Times New Roman" w:hAnsi="Times New Roman"/>
          <w:color w:val="auto"/>
        </w:rPr>
      </w:pPr>
      <w:r>
        <w:rPr>
          <w:rFonts w:hint="eastAsia" w:ascii="Times New Roman" w:hAnsi="Times New Roman"/>
          <w:b w:val="0"/>
          <w:bCs/>
          <w:color w:val="auto"/>
          <w:kern w:val="0"/>
          <w:u w:val="none"/>
          <w:lang w:val="en-US" w:eastAsia="zh-CN"/>
        </w:rPr>
        <w:t>日       期：</w:t>
      </w:r>
      <w:r>
        <w:rPr>
          <w:rFonts w:hint="eastAsia" w:ascii="Times New Roman" w:hAnsi="Times New Roman"/>
          <w:b w:val="0"/>
          <w:bCs/>
          <w:color w:val="auto"/>
          <w:kern w:val="0"/>
          <w:u w:val="single"/>
          <w:lang w:val="en-US" w:eastAsia="zh-CN"/>
        </w:rPr>
        <w:t xml:space="preserve">      </w:t>
      </w:r>
      <w:r>
        <w:rPr>
          <w:rFonts w:hint="eastAsia" w:ascii="Times New Roman" w:hAnsi="Times New Roman"/>
          <w:b w:val="0"/>
          <w:bCs/>
          <w:color w:val="auto"/>
          <w:kern w:val="0"/>
          <w:u w:val="none"/>
          <w:lang w:val="en-US" w:eastAsia="zh-CN"/>
        </w:rPr>
        <w:t>年</w:t>
      </w:r>
      <w:r>
        <w:rPr>
          <w:rFonts w:hint="eastAsia" w:ascii="Times New Roman" w:hAnsi="Times New Roman"/>
          <w:b w:val="0"/>
          <w:bCs/>
          <w:color w:val="auto"/>
          <w:kern w:val="0"/>
          <w:u w:val="single"/>
          <w:lang w:val="en-US" w:eastAsia="zh-CN"/>
        </w:rPr>
        <w:t xml:space="preserve">     </w:t>
      </w:r>
      <w:r>
        <w:rPr>
          <w:rFonts w:hint="eastAsia" w:ascii="Times New Roman" w:hAnsi="Times New Roman"/>
          <w:b w:val="0"/>
          <w:bCs/>
          <w:color w:val="auto"/>
          <w:kern w:val="0"/>
          <w:u w:val="none"/>
          <w:lang w:val="en-US" w:eastAsia="zh-CN"/>
        </w:rPr>
        <w:t>月</w:t>
      </w:r>
      <w:r>
        <w:rPr>
          <w:rFonts w:hint="eastAsia" w:ascii="Times New Roman" w:hAnsi="Times New Roman"/>
          <w:b w:val="0"/>
          <w:bCs/>
          <w:color w:val="auto"/>
          <w:kern w:val="0"/>
          <w:u w:val="single"/>
          <w:lang w:val="en-US" w:eastAsia="zh-CN"/>
        </w:rPr>
        <w:t xml:space="preserve">      </w:t>
      </w:r>
      <w:r>
        <w:rPr>
          <w:rFonts w:hint="eastAsia" w:ascii="Times New Roman" w:hAnsi="Times New Roman"/>
          <w:b w:val="0"/>
          <w:bCs/>
          <w:color w:val="auto"/>
          <w:kern w:val="0"/>
          <w:u w:val="none"/>
          <w:lang w:val="en-US" w:eastAsia="zh-CN"/>
        </w:rPr>
        <w:t>日</w:t>
      </w:r>
      <w:r>
        <w:rPr>
          <w:rFonts w:hint="eastAsia" w:ascii="Times New Roman" w:hAnsi="Times New Roman"/>
          <w:b w:val="0"/>
          <w:bCs/>
          <w:color w:val="auto"/>
          <w:kern w:val="0"/>
          <w:u w:val="none"/>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3"/>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208" w:name="_Toc22199"/>
      <w:bookmarkStart w:id="209" w:name="_Toc504488783"/>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p w14:paraId="3372F9C6"/>
    <w:p w14:paraId="52B26101"/>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0CE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27DB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027DB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780E7">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47A52"/>
    <w:rsid w:val="10293417"/>
    <w:rsid w:val="104D01F0"/>
    <w:rsid w:val="10CC28D8"/>
    <w:rsid w:val="25716B5F"/>
    <w:rsid w:val="29747A52"/>
    <w:rsid w:val="40E90FBF"/>
    <w:rsid w:val="6B8E4D79"/>
    <w:rsid w:val="7B292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7321</Words>
  <Characters>7525</Characters>
  <Lines>0</Lines>
  <Paragraphs>0</Paragraphs>
  <TotalTime>0</TotalTime>
  <ScaleCrop>false</ScaleCrop>
  <LinksUpToDate>false</LinksUpToDate>
  <CharactersWithSpaces>8054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2025-09-08T06:21:00Z</dcterms:created>
  <dc:creator>瞬间无语</dc:creator>
  <cp:lastModifiedBy>李晶</cp:lastModifiedBy>
  <cp:lastPrinted>2025-09-08T06:37:00Z</cp:lastPrinted>
  <dcterms:modified xsi:type="dcterms:W3CDTF">2025-09-11T09:00:36Z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452999B7A8844EC49D787FE18D7FC897_11</vt:lpwstr>
  </property>
  <property fmtid="{D5CDD505-2E9C-101B-9397-08002B2CF9AE}" pid="4" name="KSOTemplateDocerSaveRecord">
    <vt:lpwstr>eyJoZGlkIjoiM2ExNjY5MWQ0OWUzYjcxZjUxYWY0YjAzMjk0YjQ0NDAiLCJ1c2VySWQiOiI2Mjg3MjA1MDUifQ==</vt:lpwstr>
  </property>
</Properties>
</file>