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CF7DF">
      <w:pPr>
        <w:spacing w:line="560" w:lineRule="exact"/>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陕西锌业有限公司</w:t>
      </w:r>
    </w:p>
    <w:p w14:paraId="3519453F">
      <w:pPr>
        <w:spacing w:line="560" w:lineRule="exact"/>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val="en-US" w:eastAsia="zh-CN"/>
        </w:rPr>
        <w:t>户外液晶显示屏采购及安装调试</w:t>
      </w:r>
      <w:r>
        <w:rPr>
          <w:rFonts w:hint="eastAsia" w:asciiTheme="majorEastAsia" w:hAnsiTheme="majorEastAsia" w:eastAsiaTheme="majorEastAsia" w:cstheme="majorEastAsia"/>
          <w:b/>
          <w:bCs/>
          <w:sz w:val="36"/>
          <w:szCs w:val="36"/>
        </w:rPr>
        <w:t>项目</w:t>
      </w:r>
    </w:p>
    <w:p w14:paraId="7A255F3C">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36"/>
          <w:szCs w:val="36"/>
        </w:rPr>
        <w:t>询比采购邀请函</w:t>
      </w:r>
    </w:p>
    <w:p w14:paraId="7493DB86">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sz w:val="30"/>
          <w:szCs w:val="30"/>
        </w:rPr>
      </w:pPr>
      <w:r>
        <w:rPr>
          <w:rFonts w:ascii="仿宋" w:hAnsi="仿宋" w:eastAsia="仿宋" w:cs="仿宋"/>
          <w:sz w:val="30"/>
          <w:szCs w:val="30"/>
        </w:rPr>
        <w:t>陕西锌业有限公司</w:t>
      </w:r>
      <w:r>
        <w:rPr>
          <w:rFonts w:hint="eastAsia" w:ascii="仿宋" w:hAnsi="仿宋" w:eastAsia="仿宋" w:cs="仿宋"/>
          <w:sz w:val="30"/>
          <w:szCs w:val="30"/>
          <w:lang w:val="en-US" w:eastAsia="zh-CN"/>
        </w:rPr>
        <w:t>因生产需要，</w:t>
      </w:r>
      <w:r>
        <w:rPr>
          <w:rFonts w:ascii="仿宋" w:hAnsi="仿宋" w:eastAsia="仿宋" w:cs="仿宋"/>
          <w:sz w:val="30"/>
          <w:szCs w:val="30"/>
        </w:rPr>
        <w:t>拟</w:t>
      </w:r>
      <w:r>
        <w:rPr>
          <w:rFonts w:hint="eastAsia" w:ascii="仿宋" w:hAnsi="仿宋" w:eastAsia="仿宋" w:cs="仿宋"/>
          <w:sz w:val="30"/>
          <w:szCs w:val="30"/>
        </w:rPr>
        <w:t>完成</w:t>
      </w:r>
      <w:r>
        <w:rPr>
          <w:rFonts w:hint="eastAsia" w:ascii="仿宋" w:hAnsi="仿宋" w:eastAsia="仿宋" w:cs="仿宋"/>
          <w:b/>
          <w:bCs/>
          <w:sz w:val="30"/>
          <w:szCs w:val="30"/>
        </w:rPr>
        <w:t>户外液晶显示屏采购及安装调试</w:t>
      </w:r>
      <w:r>
        <w:rPr>
          <w:rFonts w:hint="eastAsia" w:ascii="仿宋" w:hAnsi="仿宋" w:eastAsia="仿宋" w:cs="仿宋"/>
          <w:sz w:val="30"/>
          <w:szCs w:val="30"/>
        </w:rPr>
        <w:t>工作</w:t>
      </w:r>
      <w:r>
        <w:rPr>
          <w:rFonts w:hint="eastAsia" w:ascii="仿宋" w:hAnsi="仿宋" w:eastAsia="仿宋" w:cs="仿宋"/>
          <w:sz w:val="30"/>
          <w:szCs w:val="30"/>
          <w:lang w:eastAsia="zh-CN"/>
        </w:rPr>
        <w:t>，</w:t>
      </w:r>
      <w:r>
        <w:rPr>
          <w:rFonts w:hint="eastAsia" w:ascii="仿宋" w:hAnsi="仿宋" w:eastAsia="仿宋" w:cs="仿宋"/>
          <w:sz w:val="30"/>
          <w:szCs w:val="30"/>
        </w:rPr>
        <w:t>按照公司有关规定，拟通过询比方式确定供应商，欢迎具备相应资质及能力的单位参与该项目询比采购，具体内容如下</w:t>
      </w:r>
      <w:r>
        <w:rPr>
          <w:rFonts w:ascii="仿宋" w:hAnsi="仿宋" w:eastAsia="仿宋" w:cs="仿宋"/>
          <w:sz w:val="30"/>
          <w:szCs w:val="30"/>
        </w:rPr>
        <w:t>：</w:t>
      </w:r>
    </w:p>
    <w:p w14:paraId="24DA3BD4">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一、采购项目基本要求</w:t>
      </w:r>
    </w:p>
    <w:p w14:paraId="0FBA95DC">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（一）采购人：陕西锌业有限公司</w:t>
      </w:r>
      <w:r>
        <w:rPr>
          <w:rFonts w:hint="eastAsia" w:ascii="仿宋" w:hAnsi="仿宋" w:eastAsia="仿宋" w:cs="仿宋"/>
          <w:sz w:val="30"/>
          <w:szCs w:val="30"/>
          <w:lang w:eastAsia="zh-CN"/>
        </w:rPr>
        <w:t>。</w:t>
      </w:r>
    </w:p>
    <w:p w14:paraId="5FBA23CC">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
          <w:bCs/>
          <w:sz w:val="30"/>
          <w:szCs w:val="30"/>
          <w:lang w:eastAsia="zh-CN"/>
        </w:rPr>
      </w:pPr>
      <w:r>
        <w:rPr>
          <w:rFonts w:hint="eastAsia" w:ascii="仿宋" w:hAnsi="仿宋" w:eastAsia="仿宋" w:cs="仿宋"/>
          <w:sz w:val="30"/>
          <w:szCs w:val="30"/>
        </w:rPr>
        <w:t>（二）采购项目名称：陕西锌业有限公司</w:t>
      </w:r>
      <w:r>
        <w:rPr>
          <w:rFonts w:hint="eastAsia" w:ascii="仿宋" w:hAnsi="仿宋" w:eastAsia="仿宋" w:cs="仿宋"/>
          <w:b/>
          <w:bCs/>
          <w:sz w:val="30"/>
          <w:szCs w:val="30"/>
        </w:rPr>
        <w:t>户外液晶显示屏采购及安装调试项目</w:t>
      </w:r>
      <w:r>
        <w:rPr>
          <w:rFonts w:hint="eastAsia" w:ascii="仿宋" w:hAnsi="仿宋" w:eastAsia="仿宋" w:cs="仿宋"/>
          <w:b/>
          <w:bCs/>
          <w:sz w:val="30"/>
          <w:szCs w:val="30"/>
          <w:lang w:eastAsia="zh-CN"/>
        </w:rPr>
        <w:t>。</w:t>
      </w:r>
    </w:p>
    <w:p w14:paraId="0EA0458D">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三</w:t>
      </w:r>
      <w:r>
        <w:rPr>
          <w:rFonts w:hint="eastAsia" w:ascii="仿宋" w:hAnsi="仿宋" w:eastAsia="仿宋" w:cs="仿宋"/>
          <w:sz w:val="30"/>
          <w:szCs w:val="30"/>
          <w:lang w:eastAsia="zh-CN"/>
        </w:rPr>
        <w:t>）</w:t>
      </w:r>
      <w:r>
        <w:rPr>
          <w:rFonts w:hint="eastAsia" w:ascii="仿宋" w:hAnsi="仿宋" w:eastAsia="仿宋" w:cs="仿宋"/>
          <w:sz w:val="30"/>
          <w:szCs w:val="30"/>
        </w:rPr>
        <w:t>项目需求：</w:t>
      </w:r>
      <w:r>
        <w:rPr>
          <w:rFonts w:hint="eastAsia" w:ascii="仿宋" w:hAnsi="仿宋" w:eastAsia="仿宋" w:cs="仿宋"/>
          <w:sz w:val="30"/>
          <w:szCs w:val="30"/>
          <w:lang w:val="en-US" w:eastAsia="zh-CN"/>
        </w:rPr>
        <w:t>采购方行政办公楼前侧安装液晶显示屏一块，显示屏的使用由位于技术楼的安全环保部负责，显示屏应满足远程发布信息功能，符合网络安全规定，并由供应商负责调试使用正常。</w:t>
      </w:r>
    </w:p>
    <w:p w14:paraId="38BDEEE7">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四</w:t>
      </w:r>
      <w:r>
        <w:rPr>
          <w:rFonts w:hint="eastAsia" w:ascii="仿宋" w:hAnsi="仿宋" w:eastAsia="仿宋" w:cs="仿宋"/>
          <w:sz w:val="30"/>
          <w:szCs w:val="30"/>
        </w:rPr>
        <w:t>）交货时间：合同签订后</w:t>
      </w:r>
      <w:r>
        <w:rPr>
          <w:rFonts w:hint="eastAsia" w:ascii="仿宋" w:hAnsi="仿宋" w:eastAsia="仿宋" w:cs="仿宋"/>
          <w:sz w:val="30"/>
          <w:szCs w:val="30"/>
          <w:highlight w:val="none"/>
          <w:lang w:val="en-US" w:eastAsia="zh-CN"/>
        </w:rPr>
        <w:t>7</w:t>
      </w:r>
      <w:r>
        <w:rPr>
          <w:rFonts w:hint="eastAsia" w:ascii="仿宋" w:hAnsi="仿宋" w:eastAsia="仿宋" w:cs="仿宋"/>
          <w:sz w:val="30"/>
          <w:szCs w:val="30"/>
        </w:rPr>
        <w:t>个日历天交付，供方完成显示屏</w:t>
      </w:r>
      <w:r>
        <w:rPr>
          <w:rFonts w:hint="eastAsia" w:ascii="仿宋" w:hAnsi="仿宋" w:eastAsia="仿宋" w:cs="仿宋"/>
          <w:sz w:val="30"/>
          <w:szCs w:val="30"/>
          <w:lang w:val="en-US" w:eastAsia="zh-CN"/>
        </w:rPr>
        <w:t>的采购及安装调试</w:t>
      </w:r>
      <w:r>
        <w:rPr>
          <w:rFonts w:hint="eastAsia" w:ascii="仿宋" w:hAnsi="仿宋" w:eastAsia="仿宋" w:cs="仿宋"/>
          <w:sz w:val="30"/>
          <w:szCs w:val="30"/>
        </w:rPr>
        <w:t>工作</w:t>
      </w:r>
      <w:r>
        <w:rPr>
          <w:rFonts w:hint="eastAsia" w:ascii="仿宋" w:hAnsi="仿宋" w:eastAsia="仿宋" w:cs="仿宋"/>
          <w:sz w:val="30"/>
          <w:szCs w:val="30"/>
          <w:lang w:eastAsia="zh-CN"/>
        </w:rPr>
        <w:t>。</w:t>
      </w:r>
      <w:r>
        <w:rPr>
          <w:rFonts w:hint="eastAsia" w:ascii="仿宋" w:hAnsi="仿宋" w:eastAsia="仿宋" w:cs="仿宋"/>
          <w:sz w:val="30"/>
          <w:szCs w:val="30"/>
        </w:rPr>
        <w:t>不能按期</w:t>
      </w:r>
      <w:r>
        <w:rPr>
          <w:rFonts w:hint="eastAsia" w:ascii="仿宋" w:hAnsi="仿宋" w:eastAsia="仿宋" w:cs="仿宋"/>
          <w:sz w:val="30"/>
          <w:szCs w:val="30"/>
          <w:lang w:val="en-US" w:eastAsia="zh-CN"/>
        </w:rPr>
        <w:t>完工</w:t>
      </w:r>
      <w:r>
        <w:rPr>
          <w:rFonts w:hint="eastAsia" w:ascii="仿宋" w:hAnsi="仿宋" w:eastAsia="仿宋" w:cs="仿宋"/>
          <w:sz w:val="30"/>
          <w:szCs w:val="30"/>
        </w:rPr>
        <w:t>的，否决其响应文件。</w:t>
      </w:r>
    </w:p>
    <w:p w14:paraId="12A18784">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五</w:t>
      </w:r>
      <w:r>
        <w:rPr>
          <w:rFonts w:hint="eastAsia" w:ascii="仿宋" w:hAnsi="仿宋" w:eastAsia="仿宋" w:cs="仿宋"/>
          <w:sz w:val="30"/>
          <w:szCs w:val="30"/>
        </w:rPr>
        <w:t>）交货地点：采购方指定地点。</w:t>
      </w:r>
    </w:p>
    <w:p w14:paraId="741D0507">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六</w:t>
      </w:r>
      <w:r>
        <w:rPr>
          <w:rFonts w:hint="eastAsia" w:ascii="仿宋" w:hAnsi="仿宋" w:eastAsia="仿宋" w:cs="仿宋"/>
          <w:sz w:val="30"/>
          <w:szCs w:val="30"/>
        </w:rPr>
        <w:t>）</w:t>
      </w:r>
      <w:r>
        <w:rPr>
          <w:rFonts w:ascii="仿宋" w:hAnsi="仿宋" w:eastAsia="仿宋" w:cs="仿宋"/>
          <w:i w:val="0"/>
          <w:iCs w:val="0"/>
          <w:caps w:val="0"/>
          <w:color w:val="000000"/>
          <w:spacing w:val="0"/>
          <w:sz w:val="31"/>
          <w:szCs w:val="31"/>
        </w:rPr>
        <w:t>采购货物一览表</w:t>
      </w:r>
      <w:r>
        <w:rPr>
          <w:rFonts w:hint="eastAsia" w:ascii="仿宋" w:hAnsi="仿宋" w:eastAsia="仿宋" w:cs="仿宋"/>
          <w:sz w:val="30"/>
          <w:szCs w:val="30"/>
        </w:rPr>
        <w:t>：详见</w:t>
      </w:r>
      <w:r>
        <w:rPr>
          <w:rFonts w:hint="eastAsia" w:ascii="仿宋" w:hAnsi="仿宋" w:eastAsia="仿宋" w:cs="仿宋"/>
          <w:sz w:val="30"/>
          <w:szCs w:val="30"/>
          <w:lang w:val="en-US" w:eastAsia="zh-CN"/>
        </w:rPr>
        <w:t>附件</w:t>
      </w:r>
      <w:r>
        <w:rPr>
          <w:rFonts w:hint="eastAsia" w:ascii="仿宋" w:hAnsi="仿宋" w:eastAsia="仿宋" w:cs="仿宋"/>
          <w:sz w:val="30"/>
          <w:szCs w:val="30"/>
        </w:rPr>
        <w:t>响应文件格式</w:t>
      </w:r>
      <w:r>
        <w:rPr>
          <w:rFonts w:hint="eastAsia" w:ascii="仿宋" w:hAnsi="仿宋" w:eastAsia="仿宋" w:cs="仿宋"/>
          <w:sz w:val="30"/>
          <w:szCs w:val="30"/>
          <w:lang w:eastAsia="zh-CN"/>
        </w:rPr>
        <w:t>（</w:t>
      </w:r>
      <w:r>
        <w:rPr>
          <w:rFonts w:hint="eastAsia" w:ascii="仿宋" w:hAnsi="仿宋" w:eastAsia="仿宋" w:cs="仿宋"/>
          <w:sz w:val="30"/>
          <w:szCs w:val="30"/>
          <w:highlight w:val="none"/>
          <w:lang w:val="en-US" w:eastAsia="zh-CN"/>
        </w:rPr>
        <w:t>第五条分项报价表</w:t>
      </w:r>
      <w:r>
        <w:rPr>
          <w:rFonts w:hint="eastAsia" w:ascii="仿宋" w:hAnsi="仿宋" w:eastAsia="仿宋" w:cs="仿宋"/>
          <w:sz w:val="30"/>
          <w:szCs w:val="30"/>
          <w:lang w:eastAsia="zh-CN"/>
        </w:rPr>
        <w:t>）</w:t>
      </w:r>
      <w:r>
        <w:rPr>
          <w:rFonts w:hint="eastAsia" w:ascii="仿宋" w:hAnsi="仿宋" w:eastAsia="仿宋" w:cs="仿宋"/>
          <w:sz w:val="30"/>
          <w:szCs w:val="30"/>
        </w:rPr>
        <w:t>。</w:t>
      </w:r>
    </w:p>
    <w:p w14:paraId="17959EA1">
      <w:pPr>
        <w:spacing w:line="4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质量要求：</w:t>
      </w:r>
    </w:p>
    <w:p w14:paraId="212C5756">
      <w:pPr>
        <w:spacing w:line="4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1.产品的设计及制造必须严格按照最新行业标准执行，质量符合国标要求。</w:t>
      </w:r>
    </w:p>
    <w:p w14:paraId="2DC4EEA5">
      <w:pPr>
        <w:spacing w:line="4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2.所供产品必须有合格证、使用说明书、出厂质量检验报告单等，否则按不合格品对待</w:t>
      </w:r>
      <w:r>
        <w:rPr>
          <w:rFonts w:hint="eastAsia" w:ascii="仿宋" w:hAnsi="仿宋" w:eastAsia="仿宋" w:cs="仿宋"/>
          <w:sz w:val="30"/>
          <w:szCs w:val="30"/>
          <w:highlight w:val="none"/>
          <w:lang w:val="en-US" w:eastAsia="zh-CN"/>
        </w:rPr>
        <w:t>。</w:t>
      </w:r>
    </w:p>
    <w:p w14:paraId="30175409">
      <w:pPr>
        <w:spacing w:line="4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3.质量保证期：质保期壹年，在质保期内出现货物质量问题供方无条件退换，如因货物质量问题给采购人造成损失的，供货方应承担相应的赔偿责任。</w:t>
      </w:r>
    </w:p>
    <w:p w14:paraId="5A836FDB">
      <w:pPr>
        <w:spacing w:line="4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八</w:t>
      </w:r>
      <w:r>
        <w:rPr>
          <w:rFonts w:hint="eastAsia" w:ascii="仿宋" w:hAnsi="仿宋" w:eastAsia="仿宋" w:cs="仿宋"/>
          <w:sz w:val="30"/>
          <w:szCs w:val="30"/>
          <w:lang w:eastAsia="zh-CN"/>
        </w:rPr>
        <w:t>）验收标准、方法：依据本条</w:t>
      </w:r>
      <w:r>
        <w:rPr>
          <w:rFonts w:hint="eastAsia" w:ascii="仿宋" w:hAnsi="仿宋" w:eastAsia="仿宋" w:cs="仿宋"/>
          <w:sz w:val="30"/>
          <w:szCs w:val="30"/>
          <w:lang w:val="en-US" w:eastAsia="zh-CN"/>
        </w:rPr>
        <w:t>第三款、</w:t>
      </w:r>
      <w:r>
        <w:rPr>
          <w:rFonts w:hint="eastAsia" w:ascii="仿宋" w:hAnsi="仿宋" w:eastAsia="仿宋" w:cs="仿宋"/>
          <w:sz w:val="30"/>
          <w:szCs w:val="30"/>
          <w:lang w:eastAsia="zh-CN"/>
        </w:rPr>
        <w:t>第</w:t>
      </w:r>
      <w:r>
        <w:rPr>
          <w:rFonts w:hint="eastAsia" w:ascii="仿宋" w:hAnsi="仿宋" w:eastAsia="仿宋" w:cs="仿宋"/>
          <w:sz w:val="30"/>
          <w:szCs w:val="30"/>
          <w:lang w:val="en-US" w:eastAsia="zh-CN"/>
        </w:rPr>
        <w:t>七</w:t>
      </w:r>
      <w:r>
        <w:rPr>
          <w:rFonts w:hint="eastAsia" w:ascii="仿宋" w:hAnsi="仿宋" w:eastAsia="仿宋" w:cs="仿宋"/>
          <w:sz w:val="30"/>
          <w:szCs w:val="30"/>
          <w:lang w:eastAsia="zh-CN"/>
        </w:rPr>
        <w:t>款</w:t>
      </w:r>
      <w:r>
        <w:rPr>
          <w:rFonts w:hint="eastAsia" w:ascii="仿宋" w:hAnsi="仿宋" w:eastAsia="仿宋" w:cs="仿宋"/>
          <w:sz w:val="30"/>
          <w:szCs w:val="30"/>
          <w:lang w:val="en-US" w:eastAsia="zh-CN"/>
        </w:rPr>
        <w:t>要求</w:t>
      </w:r>
      <w:r>
        <w:rPr>
          <w:rFonts w:hint="eastAsia" w:ascii="仿宋" w:hAnsi="仿宋" w:eastAsia="仿宋" w:cs="仿宋"/>
          <w:sz w:val="30"/>
          <w:szCs w:val="30"/>
          <w:lang w:eastAsia="zh-CN"/>
        </w:rPr>
        <w:t>验收。</w:t>
      </w:r>
    </w:p>
    <w:p w14:paraId="71C926B1">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九</w:t>
      </w:r>
      <w:r>
        <w:rPr>
          <w:rFonts w:hint="eastAsia" w:ascii="仿宋" w:hAnsi="仿宋" w:eastAsia="仿宋" w:cs="仿宋"/>
          <w:sz w:val="30"/>
          <w:szCs w:val="30"/>
          <w:lang w:eastAsia="zh-CN"/>
        </w:rPr>
        <w:t>）</w:t>
      </w:r>
      <w:r>
        <w:rPr>
          <w:rFonts w:ascii="仿宋" w:hAnsi="仿宋" w:eastAsia="仿宋" w:cs="仿宋"/>
          <w:sz w:val="30"/>
          <w:szCs w:val="30"/>
        </w:rPr>
        <w:t>付款方式：</w:t>
      </w:r>
      <w:r>
        <w:rPr>
          <w:rFonts w:hint="eastAsia" w:ascii="仿宋" w:hAnsi="仿宋" w:eastAsia="仿宋" w:cs="仿宋"/>
          <w:sz w:val="30"/>
          <w:szCs w:val="30"/>
        </w:rPr>
        <w:t>合同签订</w:t>
      </w:r>
      <w:r>
        <w:rPr>
          <w:rFonts w:hint="eastAsia" w:ascii="仿宋" w:hAnsi="仿宋" w:eastAsia="仿宋" w:cs="仿宋"/>
          <w:sz w:val="30"/>
          <w:szCs w:val="30"/>
          <w:lang w:val="en-US" w:eastAsia="zh-CN"/>
        </w:rPr>
        <w:t>后</w:t>
      </w:r>
      <w:r>
        <w:rPr>
          <w:rFonts w:hint="eastAsia" w:ascii="仿宋" w:hAnsi="仿宋" w:eastAsia="仿宋" w:cs="仿宋"/>
          <w:sz w:val="30"/>
          <w:szCs w:val="30"/>
        </w:rPr>
        <w:t>预付款30%；货物全部到货，初验合格后再付合同总价款的30%；完成合同约定的全部条款，通电运行一个月内无问题，验收合格后付30%；留10%质保金使用一年后无质量问题一次付清。。</w:t>
      </w:r>
    </w:p>
    <w:p w14:paraId="0D448F89">
      <w:pPr>
        <w:spacing w:line="480" w:lineRule="exact"/>
        <w:ind w:firstLine="600" w:firstLineChars="200"/>
        <w:rPr>
          <w:rFonts w:ascii="仿宋" w:hAnsi="仿宋" w:eastAsia="仿宋" w:cs="仿宋"/>
          <w:sz w:val="30"/>
          <w:szCs w:val="30"/>
        </w:rPr>
      </w:pPr>
      <w:r>
        <w:rPr>
          <w:rFonts w:ascii="仿宋" w:hAnsi="仿宋" w:eastAsia="仿宋" w:cs="仿宋"/>
          <w:sz w:val="30"/>
          <w:szCs w:val="30"/>
        </w:rPr>
        <w:t>备注：付款前必须提供相应增值税发票（也可一次性开具合同全额税票）。</w:t>
      </w:r>
    </w:p>
    <w:p w14:paraId="11D1728F">
      <w:pPr>
        <w:spacing w:line="4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（十）供应商资格和履约能力要求：</w:t>
      </w:r>
    </w:p>
    <w:p w14:paraId="27FB71ED">
      <w:pPr>
        <w:spacing w:line="4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1.资质要求：</w:t>
      </w:r>
    </w:p>
    <w:p w14:paraId="084DA60C">
      <w:pPr>
        <w:spacing w:line="4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）供应商须为中华人民共和国境内依法注册的法人或者其他组织，有能力完成本项目的厂家或经销商，具备合法的营业执照</w:t>
      </w:r>
      <w:r>
        <w:rPr>
          <w:rFonts w:hint="eastAsia" w:ascii="仿宋" w:hAnsi="仿宋" w:eastAsia="仿宋" w:cs="仿宋"/>
          <w:sz w:val="30"/>
          <w:szCs w:val="30"/>
          <w:highlight w:val="none"/>
          <w:lang w:val="en-US" w:eastAsia="zh-CN"/>
        </w:rPr>
        <w:t>；</w:t>
      </w:r>
    </w:p>
    <w:p w14:paraId="04167461">
      <w:pPr>
        <w:spacing w:line="480" w:lineRule="exact"/>
        <w:ind w:firstLine="620" w:firstLineChars="200"/>
        <w:rPr>
          <w:rFonts w:hint="eastAsia" w:ascii="仿宋" w:hAnsi="仿宋" w:eastAsia="仿宋" w:cs="仿宋"/>
          <w:sz w:val="30"/>
          <w:szCs w:val="30"/>
          <w:highlight w:val="yellow"/>
          <w:lang w:eastAsia="zh-CN"/>
        </w:rPr>
      </w:pPr>
      <w:r>
        <w:rPr>
          <w:rFonts w:hint="eastAsia" w:ascii="仿宋" w:hAnsi="仿宋" w:eastAsia="仿宋" w:cs="仿宋"/>
          <w:i w:val="0"/>
          <w:iCs w:val="0"/>
          <w:caps w:val="0"/>
          <w:color w:val="000000"/>
          <w:spacing w:val="0"/>
          <w:sz w:val="31"/>
          <w:szCs w:val="31"/>
          <w:lang w:eastAsia="zh-CN"/>
        </w:rPr>
        <w:t>（</w:t>
      </w:r>
      <w:r>
        <w:rPr>
          <w:rFonts w:hint="eastAsia" w:ascii="仿宋" w:hAnsi="仿宋" w:eastAsia="仿宋" w:cs="仿宋"/>
          <w:i w:val="0"/>
          <w:iCs w:val="0"/>
          <w:caps w:val="0"/>
          <w:color w:val="000000"/>
          <w:spacing w:val="0"/>
          <w:sz w:val="31"/>
          <w:szCs w:val="31"/>
          <w:lang w:val="en-US" w:eastAsia="zh-CN"/>
        </w:rPr>
        <w:t>2</w:t>
      </w:r>
      <w:r>
        <w:rPr>
          <w:rFonts w:hint="eastAsia" w:ascii="仿宋" w:hAnsi="仿宋" w:eastAsia="仿宋" w:cs="仿宋"/>
          <w:i w:val="0"/>
          <w:iCs w:val="0"/>
          <w:caps w:val="0"/>
          <w:color w:val="000000"/>
          <w:spacing w:val="0"/>
          <w:sz w:val="31"/>
          <w:szCs w:val="31"/>
          <w:lang w:eastAsia="zh-CN"/>
        </w:rPr>
        <w:t>）</w:t>
      </w:r>
      <w:r>
        <w:rPr>
          <w:rFonts w:ascii="仿宋" w:hAnsi="仿宋" w:eastAsia="仿宋" w:cs="仿宋"/>
          <w:i w:val="0"/>
          <w:iCs w:val="0"/>
          <w:caps w:val="0"/>
          <w:color w:val="000000"/>
          <w:spacing w:val="0"/>
          <w:sz w:val="31"/>
          <w:szCs w:val="31"/>
        </w:rPr>
        <w:t>供应商</w:t>
      </w:r>
      <w:r>
        <w:rPr>
          <w:rFonts w:ascii="仿宋" w:hAnsi="仿宋" w:eastAsia="仿宋" w:cs="仿宋"/>
          <w:sz w:val="30"/>
          <w:szCs w:val="30"/>
        </w:rPr>
        <w:t>须具有履行合同所必需的设备和专业技术能力；</w:t>
      </w:r>
    </w:p>
    <w:p w14:paraId="14B07E4A">
      <w:pPr>
        <w:spacing w:line="4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2.信用要求：</w:t>
      </w:r>
    </w:p>
    <w:p w14:paraId="4BE54A51">
      <w:pPr>
        <w:spacing w:line="4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（1）供应商具有良好的银行资信和商业信誉，没有处于被责令停业、财产被接管、冻结、破产状态（附承诺书）</w:t>
      </w:r>
      <w:r>
        <w:rPr>
          <w:rFonts w:hint="eastAsia" w:ascii="仿宋" w:hAnsi="仿宋" w:eastAsia="仿宋" w:cs="仿宋"/>
          <w:sz w:val="30"/>
          <w:szCs w:val="30"/>
          <w:lang w:val="en-US" w:eastAsia="zh-CN"/>
        </w:rPr>
        <w:t>；</w:t>
      </w:r>
    </w:p>
    <w:p w14:paraId="5BD12201">
      <w:pPr>
        <w:spacing w:line="4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（2）供应商不得在“信用中国-中国执行信息公开网”被列为失信被执行人；</w:t>
      </w:r>
    </w:p>
    <w:p w14:paraId="43C8357E">
      <w:pPr>
        <w:spacing w:line="4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3.业绩要求：供应商2022年3月至今具有类似业绩（提供合同复印件，时间以合同签订时间为准）；</w:t>
      </w:r>
    </w:p>
    <w:p w14:paraId="1F069287">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联合体响应：</w:t>
      </w:r>
      <w:r>
        <w:rPr>
          <w:rFonts w:ascii="仿宋" w:hAnsi="仿宋" w:eastAsia="仿宋" w:cs="仿宋"/>
          <w:sz w:val="30"/>
          <w:szCs w:val="30"/>
        </w:rPr>
        <w:t>本项目不接受联合体投标。</w:t>
      </w:r>
    </w:p>
    <w:p w14:paraId="497E1B8E">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5.其他要求：</w:t>
      </w:r>
    </w:p>
    <w:p w14:paraId="7CEB08B7">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供应商不得存在下列情形之一：</w:t>
      </w:r>
    </w:p>
    <w:p w14:paraId="64035FF2">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（1）与采购人存在利害关系可能影响询比采购公正性；</w:t>
      </w:r>
    </w:p>
    <w:p w14:paraId="573D32E5">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（2）法定代表人（单位负责人）为同一人或者存在控股、管理关系的不同法人或其他组织同时参加询比采购；</w:t>
      </w:r>
    </w:p>
    <w:p w14:paraId="60D2365B">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（3）被依法暂停或者取消询比采购资格；</w:t>
      </w:r>
    </w:p>
    <w:p w14:paraId="4404DDA2">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（4）被责令停产停业、暂扣或者吊销许可证、暂扣或者吊销执照；</w:t>
      </w:r>
    </w:p>
    <w:p w14:paraId="12AA2128">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（5）进入清算程序，或被宣告破产，或其他丧失履约能力的情形；</w:t>
      </w:r>
    </w:p>
    <w:p w14:paraId="527BB498">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（6）在最近三年内发生重大产品质量问题；</w:t>
      </w:r>
    </w:p>
    <w:p w14:paraId="60C38B02">
      <w:pPr>
        <w:spacing w:line="4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（7）法律法规规定的其他情形</w:t>
      </w:r>
      <w:r>
        <w:rPr>
          <w:rFonts w:hint="eastAsia" w:ascii="仿宋" w:hAnsi="仿宋" w:eastAsia="仿宋" w:cs="仿宋"/>
          <w:sz w:val="30"/>
          <w:szCs w:val="30"/>
          <w:lang w:eastAsia="zh-CN"/>
        </w:rPr>
        <w:t>。</w:t>
      </w:r>
    </w:p>
    <w:p w14:paraId="75409205">
      <w:pPr>
        <w:spacing w:line="4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w:t>
      </w:r>
      <w:r>
        <w:rPr>
          <w:rFonts w:hint="eastAsia" w:ascii="仿宋" w:hAnsi="仿宋" w:eastAsia="仿宋" w:cs="仿宋"/>
          <w:sz w:val="30"/>
          <w:szCs w:val="30"/>
          <w:lang w:val="en-US" w:eastAsia="zh-CN"/>
        </w:rPr>
        <w:t>十一</w:t>
      </w:r>
      <w:r>
        <w:rPr>
          <w:rFonts w:hint="eastAsia" w:ascii="仿宋" w:hAnsi="仿宋" w:eastAsia="仿宋" w:cs="仿宋"/>
          <w:sz w:val="30"/>
          <w:szCs w:val="30"/>
        </w:rPr>
        <w:t>）项目预算</w:t>
      </w:r>
      <w:r>
        <w:rPr>
          <w:rFonts w:hint="eastAsia" w:ascii="仿宋" w:hAnsi="仿宋" w:eastAsia="仿宋" w:cs="仿宋"/>
          <w:sz w:val="30"/>
          <w:szCs w:val="30"/>
          <w:lang w:eastAsia="zh-CN"/>
        </w:rPr>
        <w:t>：</w:t>
      </w:r>
    </w:p>
    <w:p w14:paraId="58D5D58A">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该项目总价：不超过</w:t>
      </w:r>
      <w:r>
        <w:rPr>
          <w:rFonts w:hint="eastAsia" w:ascii="仿宋" w:hAnsi="仿宋" w:eastAsia="仿宋" w:cs="仿宋"/>
          <w:sz w:val="30"/>
          <w:szCs w:val="30"/>
          <w:lang w:val="en-US" w:eastAsia="zh-CN"/>
        </w:rPr>
        <w:t>7</w:t>
      </w:r>
      <w:r>
        <w:rPr>
          <w:rFonts w:hint="eastAsia" w:ascii="仿宋" w:hAnsi="仿宋" w:eastAsia="仿宋" w:cs="仿宋"/>
          <w:sz w:val="30"/>
          <w:szCs w:val="30"/>
        </w:rPr>
        <w:t>万元。</w:t>
      </w:r>
    </w:p>
    <w:p w14:paraId="7DD23BD9">
      <w:pPr>
        <w:spacing w:line="4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二、询比采购文件的获取</w:t>
      </w:r>
    </w:p>
    <w:p w14:paraId="1E4DA7E1">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询比采购文件在陕西锌业有限公司网络询比采购平台（www.sxxyjjpt.com）发布，符合条件的供应商可自行下载采购文件。</w:t>
      </w:r>
    </w:p>
    <w:p w14:paraId="6A711B10">
      <w:pPr>
        <w:spacing w:line="4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三、供应商响应</w:t>
      </w:r>
    </w:p>
    <w:p w14:paraId="041301E7">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（一）响应报价</w:t>
      </w:r>
    </w:p>
    <w:p w14:paraId="267A597D">
      <w:pPr>
        <w:spacing w:line="48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1.供应商应按“响应文件格式”要求在响应函中进行报价并填写响应文件的分项报价表</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该项目报价总额的最高限价为7万元，超出则视为无效报价。</w:t>
      </w:r>
    </w:p>
    <w:p w14:paraId="2ECDD3AD">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2.报价包括设备费、材料费、</w:t>
      </w:r>
      <w:r>
        <w:rPr>
          <w:rFonts w:hint="eastAsia" w:ascii="仿宋" w:hAnsi="仿宋" w:eastAsia="仿宋" w:cs="仿宋"/>
          <w:sz w:val="30"/>
          <w:szCs w:val="30"/>
          <w:lang w:val="en-US" w:eastAsia="zh-CN"/>
        </w:rPr>
        <w:t>安装调试费、</w:t>
      </w:r>
      <w:r>
        <w:rPr>
          <w:rFonts w:hint="eastAsia" w:ascii="仿宋" w:hAnsi="仿宋" w:eastAsia="仿宋" w:cs="仿宋"/>
          <w:sz w:val="30"/>
          <w:szCs w:val="30"/>
        </w:rPr>
        <w:t>税费、运输费等因开展本项目所涉及的一切相关费用在内。该价款不因原料、材料、劳务、能源等市场价格的变动而变动。</w:t>
      </w:r>
    </w:p>
    <w:p w14:paraId="2B8CB4E6">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3.供应商在响应文件递交截止时间前修改响应函中的响应报价总额，应同时修改响应文件“分项报价表”中的相应报价。</w:t>
      </w:r>
    </w:p>
    <w:p w14:paraId="0E9040F3">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4.响应报价为各分项报价金额之和，响应报价与分项报价的合价不一致的，应以各分项合价累计数为准，修正响应报价。</w:t>
      </w:r>
    </w:p>
    <w:p w14:paraId="0CD84A64">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5.成交供应商的响应报价是成交、签订合同及合同执行过程中的依据，不得进行实质性变动。</w:t>
      </w:r>
    </w:p>
    <w:p w14:paraId="1273322B">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（二）响应有效期</w:t>
      </w:r>
    </w:p>
    <w:p w14:paraId="0AF1F0A2">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.响应有效期从提交响</w:t>
      </w:r>
      <w:r>
        <w:rPr>
          <w:rFonts w:hint="eastAsia" w:ascii="仿宋" w:hAnsi="仿宋" w:eastAsia="仿宋" w:cs="仿宋"/>
          <w:sz w:val="30"/>
          <w:szCs w:val="30"/>
        </w:rPr>
        <w:t>应文件截止之日起算60天。</w:t>
      </w:r>
    </w:p>
    <w:p w14:paraId="2D02BB59">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2.在响应有效期内，供应商撤销响应文件的，应承担询比采购文件和法律规定的责任。</w:t>
      </w:r>
    </w:p>
    <w:p w14:paraId="5ABE1E2A">
      <w:pPr>
        <w:pStyle w:val="5"/>
        <w:keepNext w:val="0"/>
        <w:keepLines w:val="0"/>
        <w:widowControl/>
        <w:suppressLineNumbers w:val="0"/>
        <w:spacing w:before="0" w:beforeAutospacing="0" w:after="0" w:afterAutospacing="0" w:line="495" w:lineRule="atLeast"/>
        <w:ind w:firstLine="620" w:firstLineChars="200"/>
        <w:jc w:val="both"/>
        <w:rPr>
          <w:rFonts w:hint="eastAsia" w:ascii="仿宋" w:hAnsi="仿宋" w:eastAsia="仿宋" w:cs="仿宋"/>
          <w:b w:val="0"/>
          <w:bCs w:val="0"/>
          <w:i w:val="0"/>
          <w:iCs w:val="0"/>
          <w:caps w:val="0"/>
          <w:color w:val="000000"/>
          <w:spacing w:val="0"/>
          <w:sz w:val="31"/>
          <w:szCs w:val="31"/>
        </w:rPr>
      </w:pPr>
      <w:r>
        <w:rPr>
          <w:rFonts w:hint="eastAsia" w:ascii="仿宋" w:hAnsi="仿宋" w:eastAsia="仿宋" w:cs="仿宋"/>
          <w:b w:val="0"/>
          <w:bCs w:val="0"/>
          <w:i w:val="0"/>
          <w:iCs w:val="0"/>
          <w:caps w:val="0"/>
          <w:color w:val="000000"/>
          <w:spacing w:val="0"/>
          <w:sz w:val="31"/>
          <w:szCs w:val="31"/>
        </w:rPr>
        <w:t>（三）响应保证金</w:t>
      </w:r>
    </w:p>
    <w:p w14:paraId="2050EAC6">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1.供应商在递交响应文件的同时，应按规定的响应保证金格式递交响应保证金</w:t>
      </w:r>
      <w:r>
        <w:rPr>
          <w:rFonts w:hint="eastAsia" w:ascii="仿宋" w:hAnsi="仿宋" w:eastAsia="仿宋" w:cs="仿宋"/>
          <w:sz w:val="30"/>
          <w:szCs w:val="30"/>
          <w:lang w:val="en-US" w:eastAsia="zh-CN"/>
        </w:rPr>
        <w:t>1000</w:t>
      </w:r>
      <w:r>
        <w:rPr>
          <w:rFonts w:hint="eastAsia" w:ascii="仿宋" w:hAnsi="仿宋" w:eastAsia="仿宋" w:cs="仿宋"/>
          <w:sz w:val="30"/>
          <w:szCs w:val="30"/>
        </w:rPr>
        <w:t>元，并作为其响应文件的组成部分。</w:t>
      </w:r>
    </w:p>
    <w:p w14:paraId="5F1AA8BC">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保证金支付账户如下：</w:t>
      </w:r>
    </w:p>
    <w:p w14:paraId="484E55D7">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收款人：陕西锌业有限公司</w:t>
      </w:r>
    </w:p>
    <w:p w14:paraId="69A12B7A">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账号：26805701040010332</w:t>
      </w:r>
    </w:p>
    <w:p w14:paraId="415FCFFF">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开户行：中国农业银行商洛商州区支行</w:t>
      </w:r>
    </w:p>
    <w:p w14:paraId="763B6813">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2.响应保证金的形式：转账、支票、与采购人签订保证金协议等任何一种。供应商以转账或者支票形式提交的响应保证金，应当由供应商账户转出。</w:t>
      </w:r>
    </w:p>
    <w:p w14:paraId="20CAA016">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3.响应保证金必须在响应文件递交截止时间前到达指定帐户。</w:t>
      </w:r>
    </w:p>
    <w:p w14:paraId="4F41A4D4">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4.响应保证金有效期与响应有效期一致。</w:t>
      </w:r>
    </w:p>
    <w:p w14:paraId="4B2A7EFE">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5.供应商不按前述要求提交响应保证金的，评审小组将否决其响应文件。</w:t>
      </w:r>
    </w:p>
    <w:p w14:paraId="5E186FA3">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6.采购人最迟应当在与成交人签订合同后7日内，向未成交的供应商和成交人无息退还响应保证金。</w:t>
      </w:r>
    </w:p>
    <w:p w14:paraId="26A31D72">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7.有下列情形之一的，响应保证金将不予退还：</w:t>
      </w:r>
    </w:p>
    <w:p w14:paraId="237236E2">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（1）供应商在响应有效期内撤销响应文件；</w:t>
      </w:r>
    </w:p>
    <w:p w14:paraId="50B398B6">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成交人在收到成交通知书后，成交人放弃成交项目的，无正当理由不与采购人订立合同的，在签订合同时向采购人提出附加条件或者更改合同实质性内容的，或者拒不按照询比采购文件要求提交履约担保的。</w:t>
      </w:r>
    </w:p>
    <w:p w14:paraId="5C542057">
      <w:pPr>
        <w:pStyle w:val="5"/>
        <w:keepNext w:val="0"/>
        <w:keepLines w:val="0"/>
        <w:widowControl/>
        <w:suppressLineNumbers w:val="0"/>
        <w:spacing w:before="0" w:beforeAutospacing="0" w:after="0" w:afterAutospacing="0" w:line="555" w:lineRule="atLeast"/>
        <w:ind w:left="0" w:firstLine="315"/>
        <w:jc w:val="both"/>
        <w:rPr>
          <w:rFonts w:ascii="微软雅黑" w:hAnsi="微软雅黑" w:eastAsia="微软雅黑" w:cs="微软雅黑"/>
          <w:b w:val="0"/>
          <w:bCs w:val="0"/>
          <w:i w:val="0"/>
          <w:iCs w:val="0"/>
          <w:caps w:val="0"/>
          <w:color w:val="000000"/>
          <w:spacing w:val="0"/>
        </w:rPr>
      </w:pPr>
      <w:r>
        <w:rPr>
          <w:rFonts w:ascii="仿宋" w:hAnsi="仿宋" w:eastAsia="仿宋" w:cs="仿宋"/>
          <w:b w:val="0"/>
          <w:bCs w:val="0"/>
          <w:i w:val="0"/>
          <w:iCs w:val="0"/>
          <w:caps w:val="0"/>
          <w:color w:val="000000"/>
          <w:spacing w:val="0"/>
          <w:sz w:val="31"/>
          <w:szCs w:val="31"/>
        </w:rPr>
        <w:t>（</w:t>
      </w:r>
      <w:r>
        <w:rPr>
          <w:rFonts w:hint="eastAsia" w:ascii="仿宋" w:hAnsi="仿宋" w:eastAsia="仿宋" w:cs="仿宋"/>
          <w:b w:val="0"/>
          <w:bCs w:val="0"/>
          <w:i w:val="0"/>
          <w:iCs w:val="0"/>
          <w:caps w:val="0"/>
          <w:color w:val="000000"/>
          <w:spacing w:val="0"/>
          <w:sz w:val="31"/>
          <w:szCs w:val="31"/>
        </w:rPr>
        <w:t>四）资格审查资料</w:t>
      </w:r>
    </w:p>
    <w:p w14:paraId="094F62AA">
      <w:pPr>
        <w:spacing w:line="480" w:lineRule="exact"/>
        <w:ind w:firstLine="602" w:firstLineChars="200"/>
        <w:rPr>
          <w:rFonts w:hint="eastAsia" w:ascii="仿宋" w:hAnsi="仿宋" w:eastAsia="仿宋" w:cs="仿宋"/>
          <w:sz w:val="30"/>
          <w:szCs w:val="30"/>
        </w:rPr>
      </w:pPr>
      <w:r>
        <w:rPr>
          <w:rFonts w:hint="eastAsia" w:ascii="仿宋" w:hAnsi="仿宋" w:eastAsia="仿宋" w:cs="仿宋"/>
          <w:b/>
          <w:bCs/>
          <w:sz w:val="30"/>
          <w:szCs w:val="30"/>
        </w:rPr>
        <w:t>供应商应按下列规定提供相关的证明材料，以证明其满足资质、财务、业绩、信誉要求。</w:t>
      </w:r>
    </w:p>
    <w:p w14:paraId="45D3FA52">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供应商基本情况表”应附供应商资格或者资质证书副本等材料的复印件，供应商为企业的，应提交营业执照复印件；供应商为依法允许经营的事业单位的，应提交事业单位法人证书和组织机构代码证的复印件。</w:t>
      </w:r>
    </w:p>
    <w:p w14:paraId="798C0E86">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2.“近三年完成的类似项目情况表”应附从2022年</w:t>
      </w:r>
      <w:r>
        <w:rPr>
          <w:rFonts w:hint="eastAsia" w:ascii="仿宋" w:hAnsi="仿宋" w:eastAsia="仿宋" w:cs="仿宋"/>
          <w:sz w:val="30"/>
          <w:szCs w:val="30"/>
          <w:lang w:val="en-US" w:eastAsia="zh-CN"/>
        </w:rPr>
        <w:t>3</w:t>
      </w:r>
      <w:r>
        <w:rPr>
          <w:rFonts w:hint="eastAsia" w:ascii="仿宋" w:hAnsi="仿宋" w:eastAsia="仿宋" w:cs="仿宋"/>
          <w:sz w:val="30"/>
          <w:szCs w:val="30"/>
        </w:rPr>
        <w:t>月至今的合同复印件。</w:t>
      </w:r>
    </w:p>
    <w:p w14:paraId="009EBDB1">
      <w:pPr>
        <w:spacing w:line="480" w:lineRule="exact"/>
        <w:ind w:firstLine="600" w:firstLineChars="20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sz w:val="30"/>
          <w:szCs w:val="30"/>
        </w:rPr>
        <w:t>3.“近年发生的诉讼及仲裁情况”应说明相关情况。</w:t>
      </w:r>
    </w:p>
    <w:p w14:paraId="1B3DA41E">
      <w:pPr>
        <w:spacing w:line="4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四、响应文件的提交</w:t>
      </w:r>
    </w:p>
    <w:p w14:paraId="2A98A250">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（一）响应文件提交截止时间：2025年</w:t>
      </w:r>
      <w:r>
        <w:rPr>
          <w:rFonts w:hint="eastAsia" w:ascii="仿宋" w:hAnsi="仿宋" w:eastAsia="仿宋" w:cs="仿宋"/>
          <w:sz w:val="30"/>
          <w:szCs w:val="30"/>
          <w:lang w:val="en-US" w:eastAsia="zh-CN"/>
        </w:rPr>
        <w:t>9</w:t>
      </w:r>
      <w:r>
        <w:rPr>
          <w:rFonts w:hint="eastAsia" w:ascii="仿宋" w:hAnsi="仿宋" w:eastAsia="仿宋" w:cs="仿宋"/>
          <w:sz w:val="30"/>
          <w:szCs w:val="30"/>
        </w:rPr>
        <w:t>月</w:t>
      </w:r>
      <w:r>
        <w:rPr>
          <w:rFonts w:hint="eastAsia" w:ascii="仿宋" w:hAnsi="仿宋" w:eastAsia="仿宋" w:cs="仿宋"/>
          <w:sz w:val="30"/>
          <w:szCs w:val="30"/>
          <w:lang w:val="en-US" w:eastAsia="zh-CN"/>
        </w:rPr>
        <w:t>19</w:t>
      </w:r>
      <w:r>
        <w:rPr>
          <w:rFonts w:hint="eastAsia" w:ascii="仿宋" w:hAnsi="仿宋" w:eastAsia="仿宋" w:cs="仿宋"/>
          <w:sz w:val="30"/>
          <w:szCs w:val="30"/>
        </w:rPr>
        <w:t>日1</w:t>
      </w:r>
      <w:r>
        <w:rPr>
          <w:rFonts w:hint="eastAsia" w:ascii="仿宋" w:hAnsi="仿宋" w:eastAsia="仿宋" w:cs="仿宋"/>
          <w:sz w:val="30"/>
          <w:szCs w:val="30"/>
          <w:lang w:val="en-US" w:eastAsia="zh-CN"/>
        </w:rPr>
        <w:t>2</w:t>
      </w:r>
      <w:r>
        <w:rPr>
          <w:rFonts w:hint="eastAsia" w:ascii="仿宋" w:hAnsi="仿宋" w:eastAsia="仿宋" w:cs="仿宋"/>
          <w:sz w:val="30"/>
          <w:szCs w:val="30"/>
        </w:rPr>
        <w:t>时（北京时间）；</w:t>
      </w:r>
    </w:p>
    <w:p w14:paraId="3EC81F6E">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（二）提交方法：将响应文件密封后直接送达或邮寄至陕西锌业有限公司办公楼</w:t>
      </w:r>
      <w:r>
        <w:rPr>
          <w:rFonts w:hint="eastAsia" w:ascii="仿宋" w:hAnsi="仿宋" w:eastAsia="仿宋" w:cs="仿宋"/>
          <w:sz w:val="30"/>
          <w:szCs w:val="30"/>
          <w:lang w:val="en-US" w:eastAsia="zh-CN"/>
        </w:rPr>
        <w:t>一</w:t>
      </w:r>
      <w:r>
        <w:rPr>
          <w:rFonts w:hint="eastAsia" w:ascii="仿宋" w:hAnsi="仿宋" w:eastAsia="仿宋" w:cs="仿宋"/>
          <w:sz w:val="30"/>
          <w:szCs w:val="30"/>
        </w:rPr>
        <w:t>楼招投标办公室。</w:t>
      </w:r>
    </w:p>
    <w:p w14:paraId="6D1A2DD4">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邮递地址：陕西省商洛市商州区沙河子镇陕西锌业有限公司招投标办公室  </w:t>
      </w:r>
    </w:p>
    <w:p w14:paraId="199688DD">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收件人：李晶   电话：13909142887</w:t>
      </w:r>
    </w:p>
    <w:p w14:paraId="56A123DA">
      <w:pPr>
        <w:spacing w:line="48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技术部分联系人：高强强  电话：18992465815</w:t>
      </w:r>
    </w:p>
    <w:p w14:paraId="19EB9E56">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逾期送达或者未送达指定地点的询比采购文件，询比采购人不予受理，报价通过密封送达或邮递的方式，未密封的报价按无效报价处理。（档案袋需要密封，并在封条上盖章，档案袋上需注明所投项目名称、报价人单位名称、报价人姓名、电话等信息，并盖章。响应文件两本，一正一副）</w:t>
      </w:r>
    </w:p>
    <w:p w14:paraId="1412701D">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（四）报价时，报价单应加盖公司公章，法人或其授权委托人应在报价单上签字确认方为有效。</w:t>
      </w:r>
    </w:p>
    <w:p w14:paraId="2122B709">
      <w:pPr>
        <w:spacing w:line="4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五、响应文件的评审</w:t>
      </w:r>
    </w:p>
    <w:p w14:paraId="0538F2F7">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（一）响应文件评审办法</w:t>
      </w:r>
    </w:p>
    <w:p w14:paraId="317409CC">
      <w:pPr>
        <w:spacing w:line="4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在资质等符合要求的情况下，</w:t>
      </w:r>
      <w:r>
        <w:rPr>
          <w:rFonts w:hint="eastAsia" w:ascii="仿宋" w:hAnsi="仿宋" w:eastAsia="仿宋" w:cs="仿宋"/>
          <w:sz w:val="30"/>
          <w:szCs w:val="30"/>
          <w:lang w:val="en-US" w:eastAsia="zh-CN"/>
        </w:rPr>
        <w:t>采购人</w:t>
      </w:r>
      <w:r>
        <w:rPr>
          <w:rFonts w:hint="eastAsia" w:ascii="仿宋" w:hAnsi="仿宋" w:eastAsia="仿宋" w:cs="仿宋"/>
          <w:sz w:val="30"/>
          <w:szCs w:val="30"/>
        </w:rPr>
        <w:t>招投标办公室评审小组按照低价原则，进行排序，最终确定首位入围单位</w:t>
      </w:r>
      <w:r>
        <w:rPr>
          <w:rFonts w:hint="eastAsia" w:ascii="仿宋" w:hAnsi="仿宋" w:eastAsia="仿宋" w:cs="仿宋"/>
          <w:sz w:val="30"/>
          <w:szCs w:val="30"/>
          <w:lang w:eastAsia="zh-CN"/>
        </w:rPr>
        <w:t>。</w:t>
      </w:r>
    </w:p>
    <w:p w14:paraId="0CDA3453">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（二）响应文件评审程序</w:t>
      </w:r>
    </w:p>
    <w:p w14:paraId="4884729C">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1.评审小组要求供应商提交第一条第十款规定的有关证明和证件的原件</w:t>
      </w:r>
      <w:r>
        <w:rPr>
          <w:rFonts w:hint="eastAsia" w:ascii="仿宋" w:hAnsi="仿宋" w:eastAsia="仿宋" w:cs="仿宋"/>
          <w:sz w:val="30"/>
          <w:szCs w:val="30"/>
          <w:lang w:val="en-US" w:eastAsia="zh-CN"/>
        </w:rPr>
        <w:t>或复印件</w:t>
      </w:r>
      <w:r>
        <w:rPr>
          <w:rFonts w:hint="eastAsia" w:ascii="仿宋" w:hAnsi="仿宋" w:eastAsia="仿宋" w:cs="仿宋"/>
          <w:sz w:val="30"/>
          <w:szCs w:val="30"/>
        </w:rPr>
        <w:t>，评审小组对前述响应文件进行初步评审，有一项不符合评审标准的，评审小组应当否决其响应文件。</w:t>
      </w:r>
    </w:p>
    <w:p w14:paraId="3BB2A409">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2.供应商有以下情形之一的，评审小组应当否决其响应：</w:t>
      </w:r>
    </w:p>
    <w:p w14:paraId="4F0516DC">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（1）供应商未经过正常途径获取标书或供应商名称或组织结构与询比采购文件不一致且未提供有效证明的；</w:t>
      </w:r>
    </w:p>
    <w:p w14:paraId="151C4E51">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（2）响应文件未经响应供应商单位盖章和单位负责人签字或盖章的；</w:t>
      </w:r>
    </w:p>
    <w:p w14:paraId="6ED9FD8F">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（3）供应商未按询比采购文件要求交纳响应保证金的；</w:t>
      </w:r>
    </w:p>
    <w:p w14:paraId="68D1FBD2">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（4）供应商不符合询比采购文件规定的资格条件的；</w:t>
      </w:r>
    </w:p>
    <w:p w14:paraId="5060BE9E">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（5）供应商提交两份或多份内容不同的响应文件，或在同一份响应文件中有两个或多个报价，且未声明哪一个为最终报价的；</w:t>
      </w:r>
    </w:p>
    <w:p w14:paraId="3999244B">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（6）报价明显低于其他响应报价，且供应商不能合理说明或者提供相关证明材料，评审小组认定该供应商以低于成本价竞标的；</w:t>
      </w:r>
    </w:p>
    <w:p w14:paraId="38544CAD">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（7）响应文件有效期达不到询比采购文件要求的；</w:t>
      </w:r>
    </w:p>
    <w:p w14:paraId="3856ED6B">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（8）供应商方案出现严重漏项，已影响到该项目的实施的；</w:t>
      </w:r>
    </w:p>
    <w:p w14:paraId="12F44C67">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（9）供应商有串通投标、弄虚作假、行贿等违法行为的。</w:t>
      </w:r>
    </w:p>
    <w:p w14:paraId="0A7254AF">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3.响应报价有算术错误的，评审小组按以下原则要求供应商对响应报价进行书面澄清确认。供应商拒不澄清确认的，评审小组应当否决其响应文件：</w:t>
      </w:r>
    </w:p>
    <w:p w14:paraId="7C0B2898">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（1）响应文件中的大写金额与小写金额不一致的，以大写金额为准；</w:t>
      </w:r>
    </w:p>
    <w:p w14:paraId="5465240C">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（2）总价金额与单价金额不一致的，以单价金额为准，但单价金额小数点有明显错误的除外；</w:t>
      </w:r>
    </w:p>
    <w:p w14:paraId="54EB9E24">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（3）响应报价为各分项报价金额之和，响应报价与分项报价的合价不一致的，应以各分项合价累计数为准，修正响应报价。</w:t>
      </w:r>
    </w:p>
    <w:p w14:paraId="311C6B27">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评审小组发现供应商的报价明显低于其他响应报价，使得其响应报价可能低于其个别成本的，应当要求该供应商作出书面说明并提供相应的证明材料。供应商不能合理说明或者不能提供相应证明材料的，评审小组应当认定该供应商以低于成本报价竞标，并否决其响应文件。</w:t>
      </w:r>
    </w:p>
    <w:p w14:paraId="61C8BB31">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三</w:t>
      </w:r>
      <w:r>
        <w:rPr>
          <w:rFonts w:hint="eastAsia" w:ascii="仿宋" w:hAnsi="仿宋" w:eastAsia="仿宋" w:cs="仿宋"/>
          <w:sz w:val="30"/>
          <w:szCs w:val="30"/>
        </w:rPr>
        <w:t>）响应文件的澄清</w:t>
      </w:r>
    </w:p>
    <w:p w14:paraId="197097C9">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1.在评审过程中，评审小组对响应文件中含义不明确、对同类问题表述不一致或者有明显文字和计算错误的内容可以书面</w:t>
      </w:r>
      <w:bookmarkStart w:id="0" w:name="_GoBack"/>
      <w:bookmarkEnd w:id="0"/>
      <w:r>
        <w:rPr>
          <w:rFonts w:hint="eastAsia" w:ascii="仿宋" w:hAnsi="仿宋" w:eastAsia="仿宋" w:cs="仿宋"/>
          <w:sz w:val="30"/>
          <w:szCs w:val="30"/>
        </w:rPr>
        <w:t>形式要求供应商作必要的澄清、说明或补正。评审小组不接受供应商主动提出的澄清、说明或补正。</w:t>
      </w:r>
    </w:p>
    <w:p w14:paraId="7A1DE7A4">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2.澄清、说明或补正不得超出响应文件的范围且不得改变响应文件的实质性内容，并构成响应文件的组成部分。</w:t>
      </w:r>
    </w:p>
    <w:p w14:paraId="5B9935C9">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3.评审小组对供应商提交的澄清、说明或补正有疑问的，可以要求供应商进一步澄清、说明或补正，直至满足评审小组的要求。</w:t>
      </w:r>
    </w:p>
    <w:p w14:paraId="29E5262D">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四</w:t>
      </w:r>
      <w:r>
        <w:rPr>
          <w:rFonts w:hint="eastAsia" w:ascii="仿宋" w:hAnsi="仿宋" w:eastAsia="仿宋" w:cs="仿宋"/>
          <w:sz w:val="30"/>
          <w:szCs w:val="30"/>
        </w:rPr>
        <w:t>）评审结果</w:t>
      </w:r>
    </w:p>
    <w:p w14:paraId="2D56917C">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评审小组根据采购文件规定的评审办法按照价格由低到高的顺序推荐成交候选人。</w:t>
      </w:r>
    </w:p>
    <w:p w14:paraId="4ADE800C">
      <w:pPr>
        <w:spacing w:line="4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六、合同授予</w:t>
      </w:r>
    </w:p>
    <w:p w14:paraId="60C3818C">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（一）成交候选人公示</w:t>
      </w:r>
    </w:p>
    <w:p w14:paraId="074195E7">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在陕西锌业有限公司网络采购平台www.sxxyjjpt.com公示成交候选人，公示期不少于3天。</w:t>
      </w:r>
    </w:p>
    <w:p w14:paraId="542441E2">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（二）评审结果异议</w:t>
      </w:r>
    </w:p>
    <w:p w14:paraId="20089675">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供应商或者其他利害关系人对评审结果有异议的，应当在成交候选人公示期间提出。采购人在收到异议之日起3日内对异议作出答复；作出答复前，将暂停询比采购活动。</w:t>
      </w:r>
    </w:p>
    <w:p w14:paraId="07FCF56B">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（三）成交候选人履约能力审查</w:t>
      </w:r>
    </w:p>
    <w:p w14:paraId="79561133">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成交候选人的经营、财务状况发生较大变化或存在违法行为，采购人认为可能影响其履约能力的，采购人招标办公室将在发出成交通知书前提请原评审小组按照询比采购文件规定的标准和方法进行审查和确认。</w:t>
      </w:r>
    </w:p>
    <w:p w14:paraId="5003F9B0">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（四）确定成交人</w:t>
      </w:r>
    </w:p>
    <w:p w14:paraId="44A8B5CA">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采购人单位履行内部审批程序，根据评审小组的评审报告及成交人候选人名单确定成交人。</w:t>
      </w:r>
    </w:p>
    <w:p w14:paraId="44808070">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五</w:t>
      </w:r>
      <w:r>
        <w:rPr>
          <w:rFonts w:hint="eastAsia" w:ascii="仿宋" w:hAnsi="仿宋" w:eastAsia="仿宋" w:cs="仿宋"/>
          <w:sz w:val="30"/>
          <w:szCs w:val="30"/>
        </w:rPr>
        <w:t>）签订合同</w:t>
      </w:r>
    </w:p>
    <w:p w14:paraId="77EB934E">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采购人和成交供应商应当在响应有效期内，且在收到成交通知之日起7日内，根据询比采购文件和成交人的响应文件订立书面合同。成交人无正当理由拒签合同，或者提出其他附加条件的，采购人有权取消其成交资格，其响应保证金不予退还；给采购人造成的损失超出响应保证金数额的，成交供应商还应当对超出部分予以赔偿。</w:t>
      </w:r>
    </w:p>
    <w:p w14:paraId="68BDBA3A">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2.发出成交通知书后，采购人无正当理由拒签合同的，或者提出其他附加条件的，采购人向成交人退还响应保证金；给成交人造成损失的，还应当赔偿损失。</w:t>
      </w:r>
    </w:p>
    <w:p w14:paraId="60DED86C">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七、纪律和监督</w:t>
      </w:r>
    </w:p>
    <w:p w14:paraId="2BD1388D">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（一）供应商不得相互串通投标或者与采购人串通投标，不得向采购人或者评审小组成员行贿谋取成交，不得以他人名义投标或者以其他方式弄虚作假骗取成交；供应商不得以任何方式干扰、影响评标工作。</w:t>
      </w:r>
    </w:p>
    <w:p w14:paraId="68A7D30C">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评审小组成员及相关工作人员不得收受他人的财物或者其他好处，不得向他人透露对响应文件的评审和比较、成交候选人的推荐情况以及评标有关的其他情况。在评审活动中，评审小组成员应当客观、公正地履行职责，遵守职业道德，不得擅离职守，影响评审程序正常进行，不得使用“评审办法”没有规定的评审因素和标准进行评审。</w:t>
      </w:r>
    </w:p>
    <w:p w14:paraId="2DE303CC">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（三）异议</w:t>
      </w:r>
    </w:p>
    <w:p w14:paraId="4FC51EF7">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1.供应商或者其他利害关系人认为采购人采购活动存在违法或违反平等自愿、公平诚信原则的，可以直接向采购人单位招标办公室提出异议。</w:t>
      </w:r>
    </w:p>
    <w:p w14:paraId="406B3260">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2.招标办收到供应商提出的异议，应当依法、依规、妥善处理异议，并在收到异议之日起三个工作日内，对异议提出人做出答复。答复前，可暂停下一程序的采购活动。</w:t>
      </w:r>
    </w:p>
    <w:p w14:paraId="59A20F64">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3.对响应供应商提出的异议，如属异议提出人对相关问题理解有误的，招标办应做出解释；如经核查发现采购活动确实存在违法或违反本办法相关规定的，招标办应及时予以纠正或补救。 </w:t>
      </w:r>
    </w:p>
    <w:p w14:paraId="262CCCD7">
      <w:pPr>
        <w:spacing w:line="480" w:lineRule="exact"/>
        <w:ind w:firstLine="3600" w:firstLineChars="1200"/>
        <w:rPr>
          <w:rFonts w:hint="eastAsia" w:ascii="仿宋" w:hAnsi="仿宋" w:eastAsia="仿宋" w:cs="仿宋"/>
          <w:sz w:val="30"/>
          <w:szCs w:val="30"/>
        </w:rPr>
      </w:pPr>
      <w:r>
        <w:rPr>
          <w:rFonts w:hint="eastAsia" w:ascii="仿宋" w:hAnsi="仿宋" w:eastAsia="仿宋" w:cs="仿宋"/>
          <w:sz w:val="30"/>
          <w:szCs w:val="30"/>
        </w:rPr>
        <w:t>陕西锌业有限公司</w:t>
      </w:r>
    </w:p>
    <w:p w14:paraId="44E3C1A4">
      <w:pPr>
        <w:spacing w:line="480" w:lineRule="exact"/>
        <w:ind w:firstLine="3600" w:firstLineChars="1200"/>
        <w:rPr>
          <w:rFonts w:hint="eastAsia" w:ascii="仿宋" w:hAnsi="仿宋" w:eastAsia="仿宋" w:cs="仿宋"/>
          <w:sz w:val="30"/>
          <w:szCs w:val="30"/>
        </w:rPr>
      </w:pPr>
      <w:r>
        <w:rPr>
          <w:rFonts w:hint="eastAsia" w:ascii="仿宋" w:hAnsi="仿宋" w:eastAsia="仿宋" w:cs="仿宋"/>
          <w:sz w:val="30"/>
          <w:szCs w:val="30"/>
        </w:rPr>
        <w:t>2025年</w:t>
      </w:r>
      <w:r>
        <w:rPr>
          <w:rFonts w:hint="eastAsia" w:ascii="仿宋" w:hAnsi="仿宋" w:eastAsia="仿宋" w:cs="仿宋"/>
          <w:sz w:val="30"/>
          <w:szCs w:val="30"/>
          <w:lang w:val="en-US" w:eastAsia="zh-CN"/>
        </w:rPr>
        <w:t>9</w:t>
      </w:r>
      <w:r>
        <w:rPr>
          <w:rFonts w:hint="eastAsia" w:ascii="仿宋" w:hAnsi="仿宋" w:eastAsia="仿宋" w:cs="仿宋"/>
          <w:sz w:val="30"/>
          <w:szCs w:val="30"/>
        </w:rPr>
        <w:t>月</w:t>
      </w:r>
      <w:r>
        <w:rPr>
          <w:rFonts w:hint="eastAsia" w:ascii="仿宋" w:hAnsi="仿宋" w:eastAsia="仿宋" w:cs="仿宋"/>
          <w:sz w:val="30"/>
          <w:szCs w:val="30"/>
          <w:lang w:val="en-US" w:eastAsia="zh-CN"/>
        </w:rPr>
        <w:t>15</w:t>
      </w:r>
      <w:r>
        <w:rPr>
          <w:rFonts w:hint="eastAsia" w:ascii="仿宋" w:hAnsi="仿宋" w:eastAsia="仿宋" w:cs="仿宋"/>
          <w:sz w:val="30"/>
          <w:szCs w:val="30"/>
        </w:rPr>
        <w:t>日</w:t>
      </w:r>
    </w:p>
    <w:sectPr>
      <w:pgSz w:w="11906" w:h="16838"/>
      <w:pgMar w:top="1440" w:right="1746" w:bottom="1383"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B97"/>
    <w:rsid w:val="00003148"/>
    <w:rsid w:val="00303B97"/>
    <w:rsid w:val="00346571"/>
    <w:rsid w:val="004505B1"/>
    <w:rsid w:val="004D448E"/>
    <w:rsid w:val="00AA2A0E"/>
    <w:rsid w:val="00D37EE7"/>
    <w:rsid w:val="00E903B4"/>
    <w:rsid w:val="01305281"/>
    <w:rsid w:val="01DC313D"/>
    <w:rsid w:val="021467A9"/>
    <w:rsid w:val="0256337A"/>
    <w:rsid w:val="02E908CF"/>
    <w:rsid w:val="03393BAE"/>
    <w:rsid w:val="033F0D78"/>
    <w:rsid w:val="037C5D7C"/>
    <w:rsid w:val="0449694D"/>
    <w:rsid w:val="046C7840"/>
    <w:rsid w:val="049802FF"/>
    <w:rsid w:val="054D64A7"/>
    <w:rsid w:val="05DA1197"/>
    <w:rsid w:val="05F26B29"/>
    <w:rsid w:val="05F73ACD"/>
    <w:rsid w:val="061A15B1"/>
    <w:rsid w:val="0698721F"/>
    <w:rsid w:val="07090194"/>
    <w:rsid w:val="071F2A3E"/>
    <w:rsid w:val="07D63EE2"/>
    <w:rsid w:val="07DD516F"/>
    <w:rsid w:val="084342C2"/>
    <w:rsid w:val="085409E1"/>
    <w:rsid w:val="0861382A"/>
    <w:rsid w:val="09AF3FF1"/>
    <w:rsid w:val="09F163D0"/>
    <w:rsid w:val="0A31556A"/>
    <w:rsid w:val="0A721B30"/>
    <w:rsid w:val="0B5C0DCA"/>
    <w:rsid w:val="0B6F4ED0"/>
    <w:rsid w:val="0BFE5C52"/>
    <w:rsid w:val="0C9308B1"/>
    <w:rsid w:val="0C9D62F5"/>
    <w:rsid w:val="0CF62461"/>
    <w:rsid w:val="0D6E4798"/>
    <w:rsid w:val="0D8E74AA"/>
    <w:rsid w:val="0E7C5D36"/>
    <w:rsid w:val="0E8E0F8D"/>
    <w:rsid w:val="0EB126E9"/>
    <w:rsid w:val="0ED4619D"/>
    <w:rsid w:val="0F3F5DC2"/>
    <w:rsid w:val="100C2487"/>
    <w:rsid w:val="1024355E"/>
    <w:rsid w:val="103F5E7B"/>
    <w:rsid w:val="10B25DF3"/>
    <w:rsid w:val="11300BAA"/>
    <w:rsid w:val="118C11EC"/>
    <w:rsid w:val="12242713"/>
    <w:rsid w:val="12392B8D"/>
    <w:rsid w:val="12422D6C"/>
    <w:rsid w:val="12882DFF"/>
    <w:rsid w:val="128A0824"/>
    <w:rsid w:val="12F86343"/>
    <w:rsid w:val="13065BC9"/>
    <w:rsid w:val="138B2FE8"/>
    <w:rsid w:val="13B80D4D"/>
    <w:rsid w:val="13F11F07"/>
    <w:rsid w:val="14991AC0"/>
    <w:rsid w:val="14A113D2"/>
    <w:rsid w:val="15064E11"/>
    <w:rsid w:val="15E541D9"/>
    <w:rsid w:val="1606592F"/>
    <w:rsid w:val="16166774"/>
    <w:rsid w:val="16734516"/>
    <w:rsid w:val="16A25956"/>
    <w:rsid w:val="16C4003D"/>
    <w:rsid w:val="18391F9F"/>
    <w:rsid w:val="194A6E65"/>
    <w:rsid w:val="19C442EE"/>
    <w:rsid w:val="19DB0CFF"/>
    <w:rsid w:val="19E734C4"/>
    <w:rsid w:val="1A1E4E2D"/>
    <w:rsid w:val="1A295D37"/>
    <w:rsid w:val="1A6F38D8"/>
    <w:rsid w:val="1A711D62"/>
    <w:rsid w:val="1A711E1C"/>
    <w:rsid w:val="1A7A751F"/>
    <w:rsid w:val="1AB4513B"/>
    <w:rsid w:val="1B106EF4"/>
    <w:rsid w:val="1BE51C24"/>
    <w:rsid w:val="1BE9183C"/>
    <w:rsid w:val="1C660667"/>
    <w:rsid w:val="1CB728D5"/>
    <w:rsid w:val="1D1A36B1"/>
    <w:rsid w:val="1D964ABA"/>
    <w:rsid w:val="1E144992"/>
    <w:rsid w:val="1E4E0F88"/>
    <w:rsid w:val="1F613F70"/>
    <w:rsid w:val="1F762255"/>
    <w:rsid w:val="1F9C6C13"/>
    <w:rsid w:val="1FB069D9"/>
    <w:rsid w:val="1FB2188E"/>
    <w:rsid w:val="202933B5"/>
    <w:rsid w:val="218925D5"/>
    <w:rsid w:val="219C7A82"/>
    <w:rsid w:val="222A326B"/>
    <w:rsid w:val="22EA67DF"/>
    <w:rsid w:val="23392584"/>
    <w:rsid w:val="240D12D4"/>
    <w:rsid w:val="24154A61"/>
    <w:rsid w:val="24257FC2"/>
    <w:rsid w:val="24271A15"/>
    <w:rsid w:val="24AF2BC7"/>
    <w:rsid w:val="24B85758"/>
    <w:rsid w:val="24E67F8F"/>
    <w:rsid w:val="24EB6880"/>
    <w:rsid w:val="25624973"/>
    <w:rsid w:val="25865C88"/>
    <w:rsid w:val="25A636A3"/>
    <w:rsid w:val="26126108"/>
    <w:rsid w:val="2668592C"/>
    <w:rsid w:val="269F6A97"/>
    <w:rsid w:val="26D61A38"/>
    <w:rsid w:val="27085815"/>
    <w:rsid w:val="27135380"/>
    <w:rsid w:val="27654158"/>
    <w:rsid w:val="27976205"/>
    <w:rsid w:val="27D66557"/>
    <w:rsid w:val="283A348C"/>
    <w:rsid w:val="28C93342"/>
    <w:rsid w:val="2A123246"/>
    <w:rsid w:val="2A226BAF"/>
    <w:rsid w:val="2A63381A"/>
    <w:rsid w:val="2ADE0BAC"/>
    <w:rsid w:val="2B1803C1"/>
    <w:rsid w:val="2B3B28AC"/>
    <w:rsid w:val="2B4925E0"/>
    <w:rsid w:val="2BA52826"/>
    <w:rsid w:val="2BBD24DE"/>
    <w:rsid w:val="2BC27F3E"/>
    <w:rsid w:val="2C3C5BB3"/>
    <w:rsid w:val="2CF76054"/>
    <w:rsid w:val="2DE042FA"/>
    <w:rsid w:val="2DFB2B80"/>
    <w:rsid w:val="2EBF1B6D"/>
    <w:rsid w:val="2F0C7B16"/>
    <w:rsid w:val="2F906803"/>
    <w:rsid w:val="30105051"/>
    <w:rsid w:val="30D94E27"/>
    <w:rsid w:val="31713BF6"/>
    <w:rsid w:val="31EF13AD"/>
    <w:rsid w:val="322E2C6A"/>
    <w:rsid w:val="3364747B"/>
    <w:rsid w:val="33F65C71"/>
    <w:rsid w:val="340B5C84"/>
    <w:rsid w:val="34160775"/>
    <w:rsid w:val="34791A15"/>
    <w:rsid w:val="34A57A56"/>
    <w:rsid w:val="35401F9A"/>
    <w:rsid w:val="355902E0"/>
    <w:rsid w:val="360E55BB"/>
    <w:rsid w:val="36163147"/>
    <w:rsid w:val="36C73F0A"/>
    <w:rsid w:val="373222B4"/>
    <w:rsid w:val="38DC4574"/>
    <w:rsid w:val="38F0143A"/>
    <w:rsid w:val="390D4114"/>
    <w:rsid w:val="39AA15A9"/>
    <w:rsid w:val="3ABD4121"/>
    <w:rsid w:val="3B093A44"/>
    <w:rsid w:val="3B742AB0"/>
    <w:rsid w:val="3B772808"/>
    <w:rsid w:val="3C7C75E3"/>
    <w:rsid w:val="3CAC6C8F"/>
    <w:rsid w:val="3CEE26B8"/>
    <w:rsid w:val="3D182492"/>
    <w:rsid w:val="3D1F3CA9"/>
    <w:rsid w:val="3D5A3DC8"/>
    <w:rsid w:val="3D5E0B00"/>
    <w:rsid w:val="3D935145"/>
    <w:rsid w:val="3E9606B2"/>
    <w:rsid w:val="3ECE4075"/>
    <w:rsid w:val="3EF45BDE"/>
    <w:rsid w:val="3F583C95"/>
    <w:rsid w:val="3F896BDA"/>
    <w:rsid w:val="3FEC081F"/>
    <w:rsid w:val="40081729"/>
    <w:rsid w:val="401F177C"/>
    <w:rsid w:val="40434746"/>
    <w:rsid w:val="41974570"/>
    <w:rsid w:val="424305B2"/>
    <w:rsid w:val="429D0102"/>
    <w:rsid w:val="42AE65B3"/>
    <w:rsid w:val="42DA5043"/>
    <w:rsid w:val="433B4E12"/>
    <w:rsid w:val="44096C57"/>
    <w:rsid w:val="454F1840"/>
    <w:rsid w:val="458D26BC"/>
    <w:rsid w:val="45A7122C"/>
    <w:rsid w:val="461F4711"/>
    <w:rsid w:val="463E4EC1"/>
    <w:rsid w:val="463E75C2"/>
    <w:rsid w:val="46C96F40"/>
    <w:rsid w:val="4781191F"/>
    <w:rsid w:val="4789756D"/>
    <w:rsid w:val="47DA2A52"/>
    <w:rsid w:val="47E845A8"/>
    <w:rsid w:val="48293FC7"/>
    <w:rsid w:val="49305CE7"/>
    <w:rsid w:val="499A544A"/>
    <w:rsid w:val="49C67F9A"/>
    <w:rsid w:val="4A13330D"/>
    <w:rsid w:val="4A133E60"/>
    <w:rsid w:val="4A995073"/>
    <w:rsid w:val="4B3F5804"/>
    <w:rsid w:val="4B4E749F"/>
    <w:rsid w:val="4BA82530"/>
    <w:rsid w:val="4BBF33AD"/>
    <w:rsid w:val="4C1863C8"/>
    <w:rsid w:val="4C494F33"/>
    <w:rsid w:val="4D0E7C67"/>
    <w:rsid w:val="4DB22E42"/>
    <w:rsid w:val="4E3C4B9F"/>
    <w:rsid w:val="4ED679CA"/>
    <w:rsid w:val="4F142CD2"/>
    <w:rsid w:val="4F2446A2"/>
    <w:rsid w:val="4F391107"/>
    <w:rsid w:val="4F6734AD"/>
    <w:rsid w:val="4FBC2023"/>
    <w:rsid w:val="4FD81A3A"/>
    <w:rsid w:val="4FE347FA"/>
    <w:rsid w:val="4FFF360F"/>
    <w:rsid w:val="502E24AC"/>
    <w:rsid w:val="50A87415"/>
    <w:rsid w:val="50DC78FC"/>
    <w:rsid w:val="51B64D1E"/>
    <w:rsid w:val="5289354B"/>
    <w:rsid w:val="535F4B55"/>
    <w:rsid w:val="53E113B9"/>
    <w:rsid w:val="54244258"/>
    <w:rsid w:val="54363C94"/>
    <w:rsid w:val="548F0560"/>
    <w:rsid w:val="54B86B0F"/>
    <w:rsid w:val="54C115A7"/>
    <w:rsid w:val="55741C75"/>
    <w:rsid w:val="55F35DBB"/>
    <w:rsid w:val="560B6B33"/>
    <w:rsid w:val="57993E96"/>
    <w:rsid w:val="57BB4CEC"/>
    <w:rsid w:val="58B96B20"/>
    <w:rsid w:val="58D31E1F"/>
    <w:rsid w:val="58FA2368"/>
    <w:rsid w:val="59281352"/>
    <w:rsid w:val="592A0CFA"/>
    <w:rsid w:val="59B66225"/>
    <w:rsid w:val="5A8D692F"/>
    <w:rsid w:val="5B291D9C"/>
    <w:rsid w:val="5B4D4C0B"/>
    <w:rsid w:val="5B6A1F1A"/>
    <w:rsid w:val="5C751DBE"/>
    <w:rsid w:val="5CCA2340"/>
    <w:rsid w:val="5D1B023A"/>
    <w:rsid w:val="5D2C1C84"/>
    <w:rsid w:val="5DA919AB"/>
    <w:rsid w:val="5DB118E9"/>
    <w:rsid w:val="5E18068B"/>
    <w:rsid w:val="5E821890"/>
    <w:rsid w:val="5F076912"/>
    <w:rsid w:val="5F684E7C"/>
    <w:rsid w:val="605466A0"/>
    <w:rsid w:val="60556AAD"/>
    <w:rsid w:val="60A11FAE"/>
    <w:rsid w:val="61DC2B1A"/>
    <w:rsid w:val="62183AC1"/>
    <w:rsid w:val="635048C6"/>
    <w:rsid w:val="63B74CE3"/>
    <w:rsid w:val="63B90A77"/>
    <w:rsid w:val="64092310"/>
    <w:rsid w:val="642D4971"/>
    <w:rsid w:val="64562351"/>
    <w:rsid w:val="647F559D"/>
    <w:rsid w:val="65A051CD"/>
    <w:rsid w:val="65D476A5"/>
    <w:rsid w:val="65D87EA7"/>
    <w:rsid w:val="65FC53A9"/>
    <w:rsid w:val="66035F06"/>
    <w:rsid w:val="66661AB5"/>
    <w:rsid w:val="66DA3D17"/>
    <w:rsid w:val="67A44733"/>
    <w:rsid w:val="682150CB"/>
    <w:rsid w:val="68A125DD"/>
    <w:rsid w:val="694C42CE"/>
    <w:rsid w:val="69940C52"/>
    <w:rsid w:val="69D2758C"/>
    <w:rsid w:val="6A422F85"/>
    <w:rsid w:val="6A721A02"/>
    <w:rsid w:val="6AAC1D8E"/>
    <w:rsid w:val="6B4E646B"/>
    <w:rsid w:val="6D8A71E4"/>
    <w:rsid w:val="6DA210B8"/>
    <w:rsid w:val="6F62590A"/>
    <w:rsid w:val="6F997223"/>
    <w:rsid w:val="70AD6730"/>
    <w:rsid w:val="70AF0DC5"/>
    <w:rsid w:val="70DB179F"/>
    <w:rsid w:val="719F5598"/>
    <w:rsid w:val="72143DD6"/>
    <w:rsid w:val="74182329"/>
    <w:rsid w:val="7474619D"/>
    <w:rsid w:val="74B1140E"/>
    <w:rsid w:val="750F26A5"/>
    <w:rsid w:val="756C0933"/>
    <w:rsid w:val="75B17515"/>
    <w:rsid w:val="760D6E77"/>
    <w:rsid w:val="76BE139E"/>
    <w:rsid w:val="76C00348"/>
    <w:rsid w:val="76ED5DA5"/>
    <w:rsid w:val="770924FE"/>
    <w:rsid w:val="772001B6"/>
    <w:rsid w:val="772227B3"/>
    <w:rsid w:val="781A429B"/>
    <w:rsid w:val="78574B7E"/>
    <w:rsid w:val="786F7FE8"/>
    <w:rsid w:val="78734ECD"/>
    <w:rsid w:val="78A0590D"/>
    <w:rsid w:val="791F6106"/>
    <w:rsid w:val="79540685"/>
    <w:rsid w:val="795F088A"/>
    <w:rsid w:val="79CD0FF0"/>
    <w:rsid w:val="7A482943"/>
    <w:rsid w:val="7A5D7F7A"/>
    <w:rsid w:val="7B19100F"/>
    <w:rsid w:val="7B1F00C5"/>
    <w:rsid w:val="7BC24980"/>
    <w:rsid w:val="7C0861C2"/>
    <w:rsid w:val="7C093D32"/>
    <w:rsid w:val="7C4431AD"/>
    <w:rsid w:val="7D0263E2"/>
    <w:rsid w:val="7D2C0851"/>
    <w:rsid w:val="7D6749D4"/>
    <w:rsid w:val="7D705BAC"/>
    <w:rsid w:val="7D976E56"/>
    <w:rsid w:val="7DDB1269"/>
    <w:rsid w:val="7E525DBF"/>
    <w:rsid w:val="7EF77212"/>
    <w:rsid w:val="7F566635"/>
    <w:rsid w:val="7F7821AA"/>
    <w:rsid w:val="7FE60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2">
    <w:name w:val="heading 4"/>
    <w:basedOn w:val="1"/>
    <w:next w:val="3"/>
    <w:qFormat/>
    <w:uiPriority w:val="0"/>
    <w:pPr>
      <w:keepNext/>
      <w:keepLines/>
      <w:tabs>
        <w:tab w:val="left" w:pos="992"/>
      </w:tabs>
      <w:adjustRightInd w:val="0"/>
      <w:spacing w:before="280" w:after="290" w:line="376" w:lineRule="atLeast"/>
      <w:ind w:left="992" w:hanging="992"/>
      <w:jc w:val="left"/>
      <w:textAlignment w:val="baseline"/>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正文1"/>
    <w:basedOn w:val="12"/>
    <w:qFormat/>
    <w:uiPriority w:val="0"/>
    <w:pPr>
      <w:tabs>
        <w:tab w:val="left" w:pos="2160"/>
      </w:tabs>
      <w:adjustRightInd w:val="0"/>
      <w:spacing w:line="490" w:lineRule="exact"/>
      <w:jc w:val="center"/>
      <w:textAlignment w:val="baseline"/>
    </w:pPr>
    <w:rPr>
      <w:rFonts w:ascii="仿宋_GB2312" w:eastAsia="仿宋_GB2312"/>
      <w:kern w:val="0"/>
      <w:sz w:val="34"/>
    </w:rPr>
  </w:style>
  <w:style w:type="paragraph" w:customStyle="1" w:styleId="12">
    <w:name w:val="样式1"/>
    <w:basedOn w:val="1"/>
    <w:qFormat/>
    <w:uiPriority w:val="99"/>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4581</Words>
  <Characters>4711</Characters>
  <Lines>19</Lines>
  <Paragraphs>5</Paragraphs>
  <TotalTime>24</TotalTime>
  <ScaleCrop>false</ScaleCrop>
  <LinksUpToDate>false</LinksUpToDate>
  <CharactersWithSpaces>4719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2021-06-07T01:34:00Z</dcterms:created>
  <dc:creator>123</dc:creator>
  <cp:lastModifiedBy>李晶</cp:lastModifiedBy>
  <cp:lastPrinted>2025-09-16T09:07:48Z</cp:lastPrinted>
  <dcterms:modified xsi:type="dcterms:W3CDTF">2025-09-16T09:09:10Z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7F9E4C1B9641434EACC9ABAE783396F0</vt:lpwstr>
  </property>
  <property fmtid="{D5CDD505-2E9C-101B-9397-08002B2CF9AE}" pid="4" name="KSOTemplateDocerSaveRecord">
    <vt:lpwstr>eyJoZGlkIjoiM2ExNjY5MWQ0OWUzYjcxZjUxYWY0YjAzMjk0YjQ0NDAiLCJ1c2VySWQiOiI2Mjg3MjA1MDUifQ==</vt:lpwstr>
  </property>
</Properties>
</file>