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XB20250918-01</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2025年9月份生产计划压滤板、压滤机油泵采购项目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九月十八日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pageBreakBefore w:val="0"/>
        <w:widowControl/>
        <w:suppressLineNumbers w:val="0"/>
        <w:kinsoku/>
        <w:wordWrap/>
        <w:topLinePunct w:val="0"/>
        <w:autoSpaceDE/>
        <w:autoSpaceDN/>
        <w:bidi w:val="0"/>
        <w:snapToGrid/>
        <w:spacing w:before="0" w:beforeAutospacing="0" w:after="0" w:afterAutospacing="0" w:line="3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C7B73AE">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2025年9月份生产计划压滤板、压滤机油泵采购项目</w:t>
      </w:r>
    </w:p>
    <w:p w14:paraId="3716104A">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仿宋" w:hAnsi="仿宋" w:eastAsia="仿宋" w:cs="仿宋"/>
          <w:b/>
          <w:bCs/>
          <w:color w:val="auto"/>
          <w:sz w:val="32"/>
          <w:szCs w:val="32"/>
          <w:lang w:val="en-US" w:eastAsia="zh-CN"/>
        </w:rPr>
        <w:t>压滤板、压滤机油泵</w:t>
      </w:r>
      <w:r>
        <w:rPr>
          <w:rFonts w:hint="eastAsia" w:ascii="宋体" w:hAnsi="宋体" w:eastAsia="宋体" w:cs="宋体"/>
          <w:b/>
          <w:bCs/>
          <w:sz w:val="32"/>
          <w:szCs w:val="32"/>
          <w:lang w:val="en-US" w:eastAsia="zh-CN"/>
        </w:rPr>
        <w:t>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480" w:lineRule="exact"/>
        <w:ind w:firstLine="643" w:firstLineChars="200"/>
        <w:jc w:val="both"/>
        <w:rPr>
          <w:rFonts w:hint="default" w:ascii="仿宋" w:hAnsi="仿宋" w:eastAsia="仿宋" w:cs="仿宋"/>
          <w:b/>
          <w:bCs/>
          <w:color w:val="auto"/>
          <w:sz w:val="32"/>
          <w:szCs w:val="32"/>
          <w:lang w:val="en-US"/>
        </w:rPr>
      </w:pPr>
      <w:bookmarkStart w:id="0" w:name="_Toc14440"/>
      <w:bookmarkStart w:id="1" w:name="_Toc4593"/>
      <w:bookmarkStart w:id="2" w:name="_Toc20230"/>
      <w:bookmarkStart w:id="3" w:name="_Toc33795775"/>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48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7037"/>
      <w:bookmarkStart w:id="5" w:name="_Toc11471"/>
      <w:bookmarkStart w:id="6" w:name="_Toc33795776"/>
      <w:bookmarkStart w:id="7" w:name="_Toc14565"/>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9月份生产计划压滤板、压滤机油泵采购项目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pageBreakBefore w:val="0"/>
        <w:kinsoku/>
        <w:wordWrap/>
        <w:topLinePunct w:val="0"/>
        <w:autoSpaceDE/>
        <w:autoSpaceDN/>
        <w:bidi w:val="0"/>
        <w:snapToGrid/>
        <w:spacing w:line="48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9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48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727"/>
        <w:gridCol w:w="2858"/>
        <w:gridCol w:w="556"/>
        <w:gridCol w:w="659"/>
        <w:gridCol w:w="969"/>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727"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4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858"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56"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59"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9"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1BC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5554992">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1727" w:type="dxa"/>
            <w:vAlign w:val="center"/>
          </w:tcPr>
          <w:p w14:paraId="11FB64D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压滤机板</w:t>
            </w:r>
          </w:p>
        </w:tc>
        <w:tc>
          <w:tcPr>
            <w:tcW w:w="2858" w:type="dxa"/>
            <w:vAlign w:val="center"/>
          </w:tcPr>
          <w:p w14:paraId="2C717B6C">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1000*1000*65    材质：聚丙烯  压块中心距：420*420mm 中心孔125mm   手把滚轮下沿至板顶高度350mm  安装位置：电解除钙镁浓槽  要求：现场测绘</w:t>
            </w:r>
          </w:p>
        </w:tc>
        <w:tc>
          <w:tcPr>
            <w:tcW w:w="556" w:type="dxa"/>
            <w:vAlign w:val="center"/>
          </w:tcPr>
          <w:p w14:paraId="5A6AD4C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150</w:t>
            </w:r>
          </w:p>
        </w:tc>
        <w:tc>
          <w:tcPr>
            <w:tcW w:w="659" w:type="dxa"/>
            <w:vAlign w:val="center"/>
          </w:tcPr>
          <w:p w14:paraId="0CC0BE9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块</w:t>
            </w:r>
          </w:p>
        </w:tc>
        <w:tc>
          <w:tcPr>
            <w:tcW w:w="969"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6D96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59" w:type="dxa"/>
            <w:vAlign w:val="center"/>
          </w:tcPr>
          <w:p w14:paraId="12080644">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1727" w:type="dxa"/>
            <w:vAlign w:val="center"/>
          </w:tcPr>
          <w:p w14:paraId="78F911D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油泵</w:t>
            </w:r>
          </w:p>
        </w:tc>
        <w:tc>
          <w:tcPr>
            <w:tcW w:w="2858" w:type="dxa"/>
            <w:vAlign w:val="center"/>
          </w:tcPr>
          <w:p w14:paraId="56EED8BF">
            <w:pPr>
              <w:keepNext w:val="0"/>
              <w:keepLines w:val="0"/>
              <w:widowControl/>
              <w:suppressLineNumbers w:val="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4"/>
                <w:szCs w:val="24"/>
                <w:u w:val="none"/>
                <w:lang w:val="en-US" w:eastAsia="zh-CN" w:bidi="ar"/>
              </w:rPr>
              <w:t>25YCY14-1B</w:t>
            </w:r>
          </w:p>
        </w:tc>
        <w:tc>
          <w:tcPr>
            <w:tcW w:w="556" w:type="dxa"/>
            <w:vAlign w:val="center"/>
          </w:tcPr>
          <w:p w14:paraId="7D6244D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59" w:type="dxa"/>
            <w:vAlign w:val="center"/>
          </w:tcPr>
          <w:p w14:paraId="3ACAA89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969" w:type="dxa"/>
            <w:vAlign w:val="center"/>
          </w:tcPr>
          <w:p w14:paraId="1F5B9E1D">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36203AB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817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59" w:type="dxa"/>
            <w:vAlign w:val="center"/>
          </w:tcPr>
          <w:p w14:paraId="009A006A">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1727" w:type="dxa"/>
            <w:vAlign w:val="center"/>
          </w:tcPr>
          <w:p w14:paraId="1693450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油泵</w:t>
            </w:r>
          </w:p>
        </w:tc>
        <w:tc>
          <w:tcPr>
            <w:tcW w:w="2858" w:type="dxa"/>
            <w:vAlign w:val="center"/>
          </w:tcPr>
          <w:p w14:paraId="67377533">
            <w:pPr>
              <w:keepNext w:val="0"/>
              <w:keepLines w:val="0"/>
              <w:widowControl/>
              <w:suppressLineNumbers w:val="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4"/>
                <w:szCs w:val="24"/>
                <w:u w:val="none"/>
                <w:lang w:val="en-US" w:eastAsia="zh-CN" w:bidi="ar"/>
              </w:rPr>
              <w:t>CBT-F310 右旋</w:t>
            </w:r>
          </w:p>
        </w:tc>
        <w:tc>
          <w:tcPr>
            <w:tcW w:w="556" w:type="dxa"/>
            <w:vAlign w:val="center"/>
          </w:tcPr>
          <w:p w14:paraId="19987CC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59" w:type="dxa"/>
            <w:vAlign w:val="center"/>
          </w:tcPr>
          <w:p w14:paraId="117CCE4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969" w:type="dxa"/>
            <w:vAlign w:val="center"/>
          </w:tcPr>
          <w:p w14:paraId="129832F2">
            <w:pPr>
              <w:keepNext w:val="0"/>
              <w:keepLines w:val="0"/>
              <w:pageBreakBefore w:val="0"/>
              <w:widowControl w:val="0"/>
              <w:tabs>
                <w:tab w:val="left" w:pos="592"/>
              </w:tabs>
              <w:kinsoku/>
              <w:wordWrap/>
              <w:overflowPunct w:val="0"/>
              <w:topLinePunct w:val="0"/>
              <w:autoSpaceDE/>
              <w:autoSpaceDN/>
              <w:bidi w:val="0"/>
              <w:adjustRightInd w:val="0"/>
              <w:snapToGrid/>
              <w:spacing w:line="480" w:lineRule="exact"/>
              <w:jc w:val="left"/>
              <w:textAlignment w:val="baseline"/>
              <w:rPr>
                <w:rFonts w:hint="eastAsia" w:ascii="宋体" w:hAnsi="宋体" w:eastAsia="宋体" w:cs="宋体"/>
                <w:color w:val="auto"/>
                <w:sz w:val="21"/>
                <w:szCs w:val="21"/>
                <w:highlight w:val="none"/>
                <w:lang w:eastAsia="zh-CN"/>
              </w:rPr>
            </w:pPr>
          </w:p>
        </w:tc>
        <w:tc>
          <w:tcPr>
            <w:tcW w:w="1094" w:type="dxa"/>
            <w:vAlign w:val="center"/>
          </w:tcPr>
          <w:p w14:paraId="64996DC3">
            <w:pPr>
              <w:keepNext w:val="0"/>
              <w:keepLines w:val="0"/>
              <w:pageBreakBefore w:val="0"/>
              <w:widowControl w:val="0"/>
              <w:kinsoku/>
              <w:wordWrap/>
              <w:overflowPunct w:val="0"/>
              <w:topLinePunct w:val="0"/>
              <w:autoSpaceDE/>
              <w:autoSpaceDN/>
              <w:bidi w:val="0"/>
              <w:adjustRightInd w:val="0"/>
              <w:snapToGrid/>
              <w:spacing w:line="480" w:lineRule="exact"/>
              <w:jc w:val="both"/>
              <w:textAlignment w:val="baseline"/>
              <w:rPr>
                <w:rFonts w:hint="eastAsia" w:ascii="宋体" w:hAnsi="宋体" w:eastAsia="宋体" w:cs="宋体"/>
                <w:color w:val="auto"/>
                <w:sz w:val="21"/>
                <w:szCs w:val="21"/>
                <w:highlight w:val="none"/>
                <w:lang w:val="en-US"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59" w:type="dxa"/>
            <w:vAlign w:val="center"/>
          </w:tcPr>
          <w:p w14:paraId="3084C4BC">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727" w:type="dxa"/>
            <w:vAlign w:val="center"/>
          </w:tcPr>
          <w:p w14:paraId="2029D259">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58" w:type="dxa"/>
            <w:vAlign w:val="top"/>
          </w:tcPr>
          <w:p w14:paraId="6215BA57">
            <w:pPr>
              <w:keepNext w:val="0"/>
              <w:keepLines w:val="0"/>
              <w:pageBreakBefore w:val="0"/>
              <w:widowControl/>
              <w:suppressLineNumbers w:val="0"/>
              <w:kinsoku/>
              <w:wordWrap/>
              <w:topLinePunct w:val="0"/>
              <w:autoSpaceDE/>
              <w:autoSpaceDN/>
              <w:bidi w:val="0"/>
              <w:snapToGrid/>
              <w:spacing w:line="48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556" w:type="dxa"/>
            <w:vAlign w:val="center"/>
          </w:tcPr>
          <w:p w14:paraId="5A24EBB6">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659" w:type="dxa"/>
            <w:vAlign w:val="center"/>
          </w:tcPr>
          <w:p w14:paraId="6D692CA7">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9"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p>
        </w:tc>
      </w:tr>
      <w:tr w14:paraId="5923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03303D8E">
            <w:pPr>
              <w:keepNext w:val="0"/>
              <w:keepLines w:val="0"/>
              <w:pageBreakBefore w:val="0"/>
              <w:widowControl w:val="0"/>
              <w:kinsoku/>
              <w:wordWrap/>
              <w:overflowPunct w:val="0"/>
              <w:topLinePunct w:val="0"/>
              <w:autoSpaceDE/>
              <w:autoSpaceDN/>
              <w:bidi w:val="0"/>
              <w:adjustRightInd w:val="0"/>
              <w:snapToGrid/>
              <w:spacing w:line="480" w:lineRule="exact"/>
              <w:jc w:val="left"/>
              <w:textAlignment w:val="baseline"/>
              <w:rPr>
                <w:rFonts w:hint="default" w:ascii="仿宋" w:hAnsi="仿宋" w:eastAsia="仿宋" w:cs="仿宋"/>
                <w:color w:val="auto"/>
                <w:sz w:val="32"/>
                <w:szCs w:val="32"/>
                <w:vertAlign w:val="baseline"/>
                <w:lang w:val="en-US" w:eastAsia="zh-CN"/>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auto"/>
        <w:rPr>
          <w:rFonts w:hint="eastAsia" w:ascii="仿宋" w:hAnsi="仿宋" w:eastAsia="仿宋" w:cs="仿宋"/>
          <w:bCs/>
          <w:color w:val="auto"/>
          <w:sz w:val="32"/>
          <w:szCs w:val="32"/>
          <w:lang w:eastAsia="zh-CN"/>
        </w:rPr>
      </w:pPr>
      <w:bookmarkStart w:id="8" w:name="_Toc14196"/>
      <w:bookmarkStart w:id="9" w:name="_Toc29895"/>
      <w:bookmarkStart w:id="10" w:name="_Toc14688"/>
      <w:bookmarkStart w:id="11" w:name="_Toc3379577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beforeAutospacing="0" w:afterAutospacing="0" w:line="460" w:lineRule="exact"/>
        <w:ind w:firstLine="321"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1" w:firstLineChars="100"/>
        <w:jc w:val="both"/>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247513966"/>
      <w:bookmarkStart w:id="13" w:name="_Toc152042318"/>
      <w:bookmarkStart w:id="14" w:name="_Toc300834963"/>
      <w:bookmarkStart w:id="15" w:name="_Toc361508598"/>
      <w:bookmarkStart w:id="16" w:name="_Toc384308223"/>
      <w:bookmarkStart w:id="17" w:name="_Toc247527567"/>
      <w:bookmarkStart w:id="18" w:name="_Toc152045542"/>
      <w:bookmarkStart w:id="19" w:name="_Toc25772"/>
      <w:bookmarkStart w:id="20" w:name="_Toc144974510"/>
      <w:bookmarkStart w:id="21" w:name="_Toc352691486"/>
      <w:bookmarkStart w:id="22" w:name="_Toc369531529"/>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69531530"/>
      <w:bookmarkStart w:id="24" w:name="_Toc247513967"/>
      <w:bookmarkStart w:id="25" w:name="_Toc384308224"/>
      <w:bookmarkStart w:id="26" w:name="_Toc352691487"/>
      <w:bookmarkStart w:id="27" w:name="_Toc144974511"/>
      <w:bookmarkStart w:id="28" w:name="_Toc247527568"/>
      <w:bookmarkStart w:id="29" w:name="_Toc152042319"/>
      <w:bookmarkStart w:id="30" w:name="_Toc152045543"/>
      <w:bookmarkStart w:id="31" w:name="_Toc361508599"/>
      <w:bookmarkStart w:id="32" w:name="_Toc300834964"/>
      <w:bookmarkStart w:id="33" w:name="_Toc15242"/>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壹仟元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29025"/>
      <w:bookmarkStart w:id="35" w:name="_Toc369531533"/>
      <w:bookmarkStart w:id="36" w:name="_Toc384308227"/>
      <w:bookmarkStart w:id="37" w:name="_Toc352691490"/>
      <w:bookmarkStart w:id="38" w:name="_Toc361508602"/>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247527571"/>
      <w:bookmarkStart w:id="40" w:name="_Toc361508603"/>
      <w:bookmarkStart w:id="41" w:name="_Toc14751"/>
      <w:bookmarkStart w:id="42" w:name="_Toc352691491"/>
      <w:bookmarkStart w:id="43" w:name="_Toc152042322"/>
      <w:bookmarkStart w:id="44" w:name="_Toc300834967"/>
      <w:bookmarkStart w:id="45" w:name="_Toc144974514"/>
      <w:bookmarkStart w:id="46" w:name="_Toc152045546"/>
      <w:bookmarkStart w:id="47" w:name="_Toc247513970"/>
      <w:bookmarkStart w:id="48" w:name="_Toc384308228"/>
      <w:bookmarkStart w:id="49" w:name="_Toc369531534"/>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00834968"/>
      <w:bookmarkStart w:id="51" w:name="_Toc352691492"/>
      <w:bookmarkStart w:id="52" w:name="_Toc369531535"/>
      <w:bookmarkStart w:id="53" w:name="_Toc152045547"/>
      <w:bookmarkStart w:id="54" w:name="_Toc17952"/>
      <w:bookmarkStart w:id="55" w:name="_Toc247527572"/>
      <w:bookmarkStart w:id="56" w:name="_Toc144974515"/>
      <w:bookmarkStart w:id="57" w:name="_Toc152042323"/>
      <w:bookmarkStart w:id="58" w:name="_Toc361508604"/>
      <w:bookmarkStart w:id="59" w:name="_Toc384308229"/>
      <w:bookmarkStart w:id="60" w:name="_Toc247513971"/>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320" w:firstLineChars="100"/>
        <w:jc w:val="both"/>
        <w:textAlignment w:val="auto"/>
        <w:rPr>
          <w:rFonts w:hint="eastAsia" w:ascii="仿宋" w:hAnsi="仿宋" w:eastAsia="仿宋" w:cs="仿宋"/>
          <w:color w:val="auto"/>
          <w:sz w:val="32"/>
          <w:szCs w:val="32"/>
        </w:rPr>
      </w:pPr>
      <w:bookmarkStart w:id="61" w:name="_Toc21871"/>
      <w:bookmarkStart w:id="62" w:name="_Toc33795794"/>
      <w:bookmarkStart w:id="63" w:name="_Toc28216"/>
      <w:bookmarkStart w:id="64" w:name="_Toc2451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4"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9月22日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pageBreakBefore w:val="0"/>
        <w:widowControl/>
        <w:suppressLineNumbers w:val="0"/>
        <w:kinsoku/>
        <w:wordWrap/>
        <w:topLinePunct w:val="0"/>
        <w:autoSpaceDE/>
        <w:autoSpaceDN/>
        <w:bidi w:val="0"/>
        <w:adjustRightInd/>
        <w:snapToGrid/>
        <w:spacing w:beforeAutospacing="0" w:afterAutospacing="0" w:line="460" w:lineRule="exact"/>
        <w:ind w:left="0" w:firstLine="645"/>
        <w:jc w:val="both"/>
        <w:textAlignment w:val="auto"/>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beforeAutospacing="0" w:afterAutospacing="0" w:line="46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2025年9月 22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60" w:lineRule="exact"/>
        <w:ind w:firstLine="960" w:firstLineChars="3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47527628"/>
      <w:bookmarkStart w:id="66" w:name="_Toc352691538"/>
      <w:bookmarkStart w:id="67" w:name="_Toc247514027"/>
      <w:bookmarkStart w:id="68" w:name="_Toc152042380"/>
      <w:bookmarkStart w:id="69" w:name="_Toc361508651"/>
      <w:bookmarkStart w:id="70" w:name="_Toc369531582"/>
      <w:bookmarkStart w:id="71" w:name="_Toc144974570"/>
      <w:bookmarkStart w:id="72" w:name="_Toc2907"/>
      <w:bookmarkStart w:id="73" w:name="_Toc152045603"/>
      <w:bookmarkStart w:id="74" w:name="_Toc300835013"/>
      <w:bookmarkStart w:id="75" w:name="_Toc384308277"/>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33795835"/>
      <w:bookmarkStart w:id="77" w:name="_Toc13563"/>
      <w:bookmarkStart w:id="78" w:name="_Toc29291"/>
      <w:bookmarkStart w:id="79" w:name="_Toc16955"/>
    </w:p>
    <w:p w14:paraId="19D1A02C">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80" w:name="_Toc3366"/>
      <w:bookmarkStart w:id="81" w:name="_Toc32669"/>
      <w:bookmarkStart w:id="82" w:name="_Toc15253"/>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643" w:firstLineChars="200"/>
        <w:jc w:val="both"/>
        <w:textAlignment w:val="auto"/>
        <w:rPr>
          <w:rFonts w:hint="eastAsia" w:ascii="仿宋" w:hAnsi="仿宋" w:eastAsia="仿宋" w:cs="仿宋"/>
          <w:color w:val="auto"/>
          <w:sz w:val="32"/>
          <w:szCs w:val="32"/>
        </w:rPr>
      </w:pPr>
      <w:bookmarkStart w:id="84" w:name="_Toc33795807"/>
      <w:bookmarkStart w:id="85" w:name="_Toc9481"/>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87" w:name="_Toc21093"/>
      <w:bookmarkStart w:id="88" w:name="_Toc30852"/>
      <w:bookmarkStart w:id="89" w:name="_Toc16094"/>
      <w:bookmarkStart w:id="90" w:name="_Toc3379580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91" w:name="_Toc7018"/>
      <w:bookmarkStart w:id="92" w:name="_Toc33795809"/>
      <w:bookmarkStart w:id="93" w:name="_Toc10372"/>
      <w:bookmarkStart w:id="94" w:name="_Toc1907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144974529"/>
      <w:bookmarkStart w:id="96" w:name="_Toc30095"/>
      <w:bookmarkStart w:id="97" w:name="_Toc247513985"/>
      <w:bookmarkStart w:id="98" w:name="_Toc152045561"/>
      <w:bookmarkStart w:id="99" w:name="_Toc361508618"/>
      <w:bookmarkStart w:id="100" w:name="_Toc384308243"/>
      <w:bookmarkStart w:id="101" w:name="_Toc300834982"/>
      <w:bookmarkStart w:id="102" w:name="_Toc352691505"/>
      <w:bookmarkStart w:id="103" w:name="_Toc247527586"/>
      <w:bookmarkStart w:id="104" w:name="_Toc369531549"/>
      <w:bookmarkStart w:id="105" w:name="_Toc152042337"/>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106" w:name="_Toc21648"/>
      <w:bookmarkStart w:id="107" w:name="_Toc25590"/>
      <w:bookmarkStart w:id="108" w:name="_Toc28756"/>
      <w:bookmarkStart w:id="109" w:name="_Toc3379581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lang w:val="en-US"/>
        </w:rPr>
      </w:pPr>
      <w:bookmarkStart w:id="110" w:name="_Toc2191"/>
      <w:bookmarkStart w:id="111" w:name="_Toc33795811"/>
      <w:bookmarkStart w:id="112" w:name="_Toc19470"/>
      <w:bookmarkStart w:id="113" w:name="_Toc2466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114" w:name="_Toc33795812"/>
      <w:bookmarkStart w:id="115" w:name="_Toc31681"/>
      <w:bookmarkStart w:id="116" w:name="_Toc10813"/>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61508619"/>
      <w:bookmarkStart w:id="119" w:name="_Toc352691506"/>
      <w:bookmarkStart w:id="120" w:name="_Toc5668"/>
      <w:bookmarkStart w:id="121" w:name="_Toc384308244"/>
      <w:bookmarkStart w:id="122" w:name="_Toc369531550"/>
      <w:bookmarkStart w:id="123" w:name="_Toc300834983"/>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124" w:name="_Toc33795813"/>
      <w:bookmarkStart w:id="125" w:name="_Toc21613"/>
      <w:bookmarkStart w:id="126" w:name="_Toc30705"/>
      <w:bookmarkStart w:id="127" w:name="_Toc434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bookmarkStart w:id="128" w:name="_Toc33795814"/>
      <w:bookmarkStart w:id="129" w:name="_Toc14362"/>
      <w:bookmarkStart w:id="130" w:name="_Toc3671"/>
      <w:bookmarkStart w:id="131" w:name="_Toc11183"/>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247527589"/>
      <w:bookmarkStart w:id="133" w:name="_Toc152042340"/>
      <w:bookmarkStart w:id="134" w:name="_Toc384308247"/>
      <w:bookmarkStart w:id="135" w:name="_Toc300834986"/>
      <w:bookmarkStart w:id="136" w:name="_Toc144974532"/>
      <w:bookmarkStart w:id="137" w:name="_Toc361508622"/>
      <w:bookmarkStart w:id="138" w:name="_Toc352691509"/>
      <w:bookmarkStart w:id="139" w:name="_Toc247513988"/>
      <w:bookmarkStart w:id="140" w:name="_Toc152045564"/>
      <w:bookmarkStart w:id="141" w:name="_Toc4656"/>
      <w:bookmarkStart w:id="142" w:name="_Toc369531553"/>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61508623"/>
      <w:bookmarkStart w:id="144" w:name="_Toc384308248"/>
      <w:bookmarkStart w:id="145" w:name="_Toc247513989"/>
      <w:bookmarkStart w:id="146" w:name="_Toc152045565"/>
      <w:bookmarkStart w:id="147" w:name="_Toc18247"/>
      <w:bookmarkStart w:id="148" w:name="_Toc247527590"/>
      <w:bookmarkStart w:id="149" w:name="_Toc369531554"/>
      <w:bookmarkStart w:id="150" w:name="_Toc300834987"/>
      <w:bookmarkStart w:id="151" w:name="_Toc152042341"/>
      <w:bookmarkStart w:id="152" w:name="_Toc144974533"/>
      <w:bookmarkStart w:id="153" w:name="_Toc352691510"/>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24067"/>
      <w:bookmarkStart w:id="156" w:name="_Toc361508627"/>
      <w:bookmarkStart w:id="157" w:name="_Toc247513992"/>
      <w:bookmarkStart w:id="158" w:name="_Toc144974536"/>
      <w:bookmarkStart w:id="159" w:name="_Toc300834991"/>
      <w:bookmarkStart w:id="160" w:name="_Toc152042344"/>
      <w:bookmarkStart w:id="161" w:name="_Toc247527593"/>
      <w:bookmarkStart w:id="162" w:name="_Toc152045568"/>
    </w:p>
    <w:bookmarkEnd w:id="154"/>
    <w:bookmarkEnd w:id="155"/>
    <w:bookmarkEnd w:id="156"/>
    <w:p w14:paraId="14AA1C27">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643" w:firstLineChars="200"/>
        <w:jc w:val="both"/>
        <w:textAlignment w:val="auto"/>
        <w:rPr>
          <w:rFonts w:hint="eastAsia" w:ascii="仿宋" w:hAnsi="仿宋" w:eastAsia="仿宋" w:cs="仿宋"/>
          <w:color w:val="auto"/>
          <w:sz w:val="32"/>
          <w:szCs w:val="32"/>
        </w:rPr>
      </w:pPr>
      <w:bookmarkStart w:id="163" w:name="_Toc14752"/>
      <w:bookmarkStart w:id="164" w:name="_Toc25347"/>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9531559"/>
      <w:bookmarkStart w:id="167" w:name="_Toc384308253"/>
      <w:bookmarkStart w:id="168" w:name="_Toc352691515"/>
      <w:bookmarkStart w:id="169" w:name="_Toc13644"/>
      <w:bookmarkStart w:id="170" w:name="_Toc361508628"/>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460" w:lineRule="exact"/>
        <w:ind w:left="0" w:firstLine="640" w:firstLineChars="200"/>
        <w:jc w:val="both"/>
        <w:textAlignment w:val="auto"/>
        <w:rPr>
          <w:rFonts w:hint="eastAsia" w:ascii="仿宋" w:hAnsi="仿宋" w:eastAsia="仿宋" w:cs="仿宋"/>
          <w:color w:val="auto"/>
          <w:sz w:val="32"/>
          <w:szCs w:val="32"/>
        </w:rPr>
      </w:pPr>
      <w:bookmarkStart w:id="171" w:name="_Toc24957"/>
      <w:bookmarkStart w:id="172" w:name="_Toc18070"/>
      <w:bookmarkStart w:id="173" w:name="_Toc22294"/>
      <w:bookmarkStart w:id="174" w:name="_Toc3379582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0EDEE1BB">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02CFC51A">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p>
    <w:p w14:paraId="11B6B33F">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p>
    <w:p w14:paraId="487753DD">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160" w:firstLineChars="13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2025年09月18日</w:t>
      </w:r>
    </w:p>
    <w:p w14:paraId="1A7032E8">
      <w:pPr>
        <w:keepNext w:val="0"/>
        <w:keepLines w:val="0"/>
        <w:pageBreakBefore w:val="0"/>
        <w:widowControl w:val="0"/>
        <w:kinsoku/>
        <w:wordWrap/>
        <w:overflowPunct w:val="0"/>
        <w:topLinePunct w:val="0"/>
        <w:autoSpaceDE/>
        <w:autoSpaceDN/>
        <w:bidi w:val="0"/>
        <w:snapToGrid/>
        <w:spacing w:line="520" w:lineRule="exact"/>
        <w:ind w:firstLine="4160" w:firstLineChars="1300"/>
        <w:jc w:val="both"/>
        <w:rPr>
          <w:rFonts w:hint="eastAsia" w:ascii="仿宋" w:hAnsi="仿宋" w:eastAsia="仿宋" w:cs="仿宋"/>
          <w:b w:val="0"/>
          <w:bCs w:val="0"/>
          <w:color w:val="auto"/>
          <w:sz w:val="32"/>
          <w:szCs w:val="32"/>
          <w:lang w:val="en-US" w:eastAsia="zh-CN"/>
        </w:rPr>
      </w:pPr>
    </w:p>
    <w:p w14:paraId="3B568C03">
      <w:pPr>
        <w:keepNext w:val="0"/>
        <w:keepLines w:val="0"/>
        <w:pageBreakBefore w:val="0"/>
        <w:widowControl w:val="0"/>
        <w:kinsoku/>
        <w:wordWrap/>
        <w:overflowPunct w:val="0"/>
        <w:topLinePunct w:val="0"/>
        <w:autoSpaceDE/>
        <w:autoSpaceDN/>
        <w:bidi w:val="0"/>
        <w:snapToGrid/>
        <w:spacing w:line="520" w:lineRule="exact"/>
        <w:ind w:firstLine="4160" w:firstLineChars="1300"/>
        <w:jc w:val="both"/>
        <w:rPr>
          <w:rFonts w:hint="eastAsia" w:ascii="仿宋" w:hAnsi="仿宋" w:eastAsia="仿宋" w:cs="仿宋"/>
          <w:b w:val="0"/>
          <w:bCs w:val="0"/>
          <w:color w:val="auto"/>
          <w:sz w:val="32"/>
          <w:szCs w:val="32"/>
          <w:lang w:val="en-US" w:eastAsia="zh-CN"/>
        </w:rPr>
      </w:pPr>
    </w:p>
    <w:p w14:paraId="1E3F668A">
      <w:pPr>
        <w:keepNext w:val="0"/>
        <w:keepLines w:val="0"/>
        <w:pageBreakBefore w:val="0"/>
        <w:widowControl w:val="0"/>
        <w:kinsoku/>
        <w:wordWrap/>
        <w:overflowPunct w:val="0"/>
        <w:topLinePunct w:val="0"/>
        <w:autoSpaceDE/>
        <w:autoSpaceDN/>
        <w:bidi w:val="0"/>
        <w:snapToGrid/>
        <w:spacing w:line="520" w:lineRule="exact"/>
        <w:ind w:firstLine="4160" w:firstLineChars="1300"/>
        <w:jc w:val="both"/>
        <w:rPr>
          <w:rFonts w:hint="eastAsia" w:ascii="仿宋" w:hAnsi="仿宋" w:eastAsia="仿宋" w:cs="仿宋"/>
          <w:b w:val="0"/>
          <w:bCs w:val="0"/>
          <w:color w:val="auto"/>
          <w:sz w:val="32"/>
          <w:szCs w:val="32"/>
          <w:lang w:val="en-US" w:eastAsia="zh-CN"/>
        </w:rPr>
      </w:pPr>
    </w:p>
    <w:p w14:paraId="1CDA6650">
      <w:pPr>
        <w:keepNext w:val="0"/>
        <w:keepLines w:val="0"/>
        <w:pageBreakBefore w:val="0"/>
        <w:widowControl w:val="0"/>
        <w:kinsoku/>
        <w:wordWrap/>
        <w:overflowPunct w:val="0"/>
        <w:topLinePunct w:val="0"/>
        <w:autoSpaceDE/>
        <w:autoSpaceDN/>
        <w:bidi w:val="0"/>
        <w:snapToGrid/>
        <w:spacing w:line="520" w:lineRule="exact"/>
        <w:ind w:firstLine="4160" w:firstLineChars="1300"/>
        <w:jc w:val="both"/>
        <w:rPr>
          <w:rFonts w:hint="eastAsia" w:ascii="仿宋" w:hAnsi="仿宋" w:eastAsia="仿宋" w:cs="仿宋"/>
          <w:b w:val="0"/>
          <w:bCs w:val="0"/>
          <w:color w:val="auto"/>
          <w:sz w:val="32"/>
          <w:szCs w:val="32"/>
          <w:lang w:val="en-US" w:eastAsia="zh-CN"/>
        </w:rPr>
      </w:pPr>
    </w:p>
    <w:p w14:paraId="5BC54028">
      <w:pPr>
        <w:keepNext w:val="0"/>
        <w:keepLines w:val="0"/>
        <w:pageBreakBefore w:val="0"/>
        <w:widowControl w:val="0"/>
        <w:kinsoku/>
        <w:wordWrap/>
        <w:overflowPunct w:val="0"/>
        <w:topLinePunct w:val="0"/>
        <w:autoSpaceDE/>
        <w:autoSpaceDN/>
        <w:bidi w:val="0"/>
        <w:snapToGrid/>
        <w:spacing w:line="520" w:lineRule="exact"/>
        <w:ind w:firstLine="4160" w:firstLineChars="1300"/>
        <w:jc w:val="both"/>
        <w:rPr>
          <w:rFonts w:hint="eastAsia" w:ascii="仿宋" w:hAnsi="仿宋" w:eastAsia="仿宋" w:cs="仿宋"/>
          <w:b w:val="0"/>
          <w:bCs w:val="0"/>
          <w:color w:val="auto"/>
          <w:sz w:val="32"/>
          <w:szCs w:val="32"/>
          <w:lang w:val="en-US" w:eastAsia="zh-CN"/>
        </w:rPr>
      </w:pPr>
    </w:p>
    <w:p w14:paraId="72A12F52">
      <w:pPr>
        <w:keepNext w:val="0"/>
        <w:keepLines w:val="0"/>
        <w:pageBreakBefore w:val="0"/>
        <w:widowControl w:val="0"/>
        <w:kinsoku/>
        <w:wordWrap/>
        <w:overflowPunct w:val="0"/>
        <w:topLinePunct w:val="0"/>
        <w:autoSpaceDE/>
        <w:autoSpaceDN/>
        <w:bidi w:val="0"/>
        <w:snapToGrid/>
        <w:spacing w:line="520" w:lineRule="exact"/>
        <w:ind w:firstLine="4160" w:firstLineChars="1300"/>
        <w:jc w:val="both"/>
        <w:rPr>
          <w:rFonts w:hint="eastAsia" w:ascii="仿宋" w:hAnsi="仿宋" w:eastAsia="仿宋" w:cs="仿宋"/>
          <w:b w:val="0"/>
          <w:bCs w:val="0"/>
          <w:color w:val="auto"/>
          <w:sz w:val="32"/>
          <w:szCs w:val="32"/>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XB20250918-01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5FDEB95C">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2025年9月份生产计划压滤板、压滤机油泵采购项目</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52691662"/>
      <w:bookmarkStart w:id="184"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15573"/>
      <w:bookmarkStart w:id="186" w:name="_Toc361508754"/>
      <w:bookmarkStart w:id="187" w:name="_Toc384308377"/>
      <w:bookmarkStart w:id="188" w:name="_Toc247514248"/>
      <w:bookmarkStart w:id="189" w:name="_Toc300835211"/>
      <w:bookmarkStart w:id="190" w:name="_Toc247527829"/>
      <w:bookmarkStart w:id="191" w:name="_Toc144974858"/>
      <w:bookmarkStart w:id="192" w:name="_Toc352691663"/>
      <w:bookmarkStart w:id="193" w:name="_Toc369531699"/>
      <w:bookmarkStart w:id="194" w:name="_Toc152045789"/>
      <w:bookmarkStart w:id="195" w:name="_Toc152042578"/>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FCE3515">
      <w:pP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w:t>
      </w:r>
      <w:r>
        <w:rPr>
          <w:rFonts w:hint="eastAsia" w:ascii="仿宋" w:hAnsi="仿宋" w:eastAsia="仿宋" w:cs="仿宋"/>
          <w:b/>
          <w:bCs/>
          <w:color w:val="auto"/>
          <w:sz w:val="32"/>
          <w:szCs w:val="32"/>
          <w:lang w:val="en-US" w:eastAsia="zh-CN"/>
        </w:rPr>
        <w:t>9月份生产计划压滤板、压滤机油泵</w:t>
      </w:r>
      <w:r>
        <w:rPr>
          <w:rFonts w:hint="eastAsia" w:ascii="宋体" w:hAnsi="宋体" w:eastAsia="宋体" w:cs="宋体"/>
          <w:b/>
          <w:bCs/>
          <w:color w:val="auto"/>
          <w:kern w:val="2"/>
          <w:sz w:val="24"/>
          <w:szCs w:val="24"/>
          <w:lang w:val="en-US" w:eastAsia="zh-CN" w:bidi="ar-SA"/>
        </w:rPr>
        <w:t>）</w:t>
      </w:r>
    </w:p>
    <w:p w14:paraId="530A4FA8">
      <w:pPr>
        <w:rPr>
          <w:rFonts w:hint="eastAsia" w:ascii="宋体" w:hAnsi="宋体" w:eastAsia="宋体" w:cs="宋体"/>
          <w:b/>
          <w:bCs/>
          <w:color w:val="auto"/>
          <w:kern w:val="2"/>
          <w:sz w:val="24"/>
          <w:szCs w:val="24"/>
          <w:lang w:val="en-US" w:eastAsia="zh-CN" w:bidi="ar-SA"/>
        </w:rPr>
      </w:pPr>
    </w:p>
    <w:tbl>
      <w:tblPr>
        <w:tblStyle w:val="10"/>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307"/>
        <w:gridCol w:w="2850"/>
        <w:gridCol w:w="698"/>
        <w:gridCol w:w="412"/>
        <w:gridCol w:w="945"/>
        <w:gridCol w:w="1110"/>
        <w:gridCol w:w="870"/>
      </w:tblGrid>
      <w:tr w14:paraId="7E73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4DF4C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307" w:type="dxa"/>
            <w:vAlign w:val="center"/>
          </w:tcPr>
          <w:p w14:paraId="53C76F35">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850" w:type="dxa"/>
            <w:vAlign w:val="center"/>
          </w:tcPr>
          <w:p w14:paraId="3A330E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698" w:type="dxa"/>
            <w:vAlign w:val="center"/>
          </w:tcPr>
          <w:p w14:paraId="2451F3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412" w:type="dxa"/>
            <w:vAlign w:val="center"/>
          </w:tcPr>
          <w:p w14:paraId="5DBB7A4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45" w:type="dxa"/>
            <w:vAlign w:val="center"/>
          </w:tcPr>
          <w:p w14:paraId="041A13B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110" w:type="dxa"/>
            <w:vAlign w:val="center"/>
          </w:tcPr>
          <w:p w14:paraId="792081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c>
          <w:tcPr>
            <w:tcW w:w="870" w:type="dxa"/>
            <w:vAlign w:val="center"/>
          </w:tcPr>
          <w:p w14:paraId="79A8044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7CE6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C187A71">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1</w:t>
            </w:r>
          </w:p>
        </w:tc>
        <w:tc>
          <w:tcPr>
            <w:tcW w:w="1307" w:type="dxa"/>
            <w:vAlign w:val="center"/>
          </w:tcPr>
          <w:p w14:paraId="66683512">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压滤机板</w:t>
            </w:r>
          </w:p>
        </w:tc>
        <w:tc>
          <w:tcPr>
            <w:tcW w:w="2850" w:type="dxa"/>
            <w:vAlign w:val="center"/>
          </w:tcPr>
          <w:p w14:paraId="45C3380E">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1000*1000*65    材质：聚丙烯  压块中心距：420*420mm 中心孔125mm   手把滚轮下沿至板顶高度350mm  安装位置：电解除钙镁浓槽  要求：现场测绘</w:t>
            </w:r>
          </w:p>
        </w:tc>
        <w:tc>
          <w:tcPr>
            <w:tcW w:w="698" w:type="dxa"/>
            <w:vAlign w:val="center"/>
          </w:tcPr>
          <w:p w14:paraId="41D9B38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150</w:t>
            </w:r>
          </w:p>
        </w:tc>
        <w:tc>
          <w:tcPr>
            <w:tcW w:w="412" w:type="dxa"/>
            <w:vAlign w:val="center"/>
          </w:tcPr>
          <w:p w14:paraId="6EEC72F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块</w:t>
            </w:r>
          </w:p>
        </w:tc>
        <w:tc>
          <w:tcPr>
            <w:tcW w:w="945" w:type="dxa"/>
            <w:vAlign w:val="center"/>
          </w:tcPr>
          <w:p w14:paraId="214BB5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22B170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33ABD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24C5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2BE539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2</w:t>
            </w:r>
          </w:p>
        </w:tc>
        <w:tc>
          <w:tcPr>
            <w:tcW w:w="1307" w:type="dxa"/>
            <w:vAlign w:val="center"/>
          </w:tcPr>
          <w:p w14:paraId="158F8294">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油泵</w:t>
            </w:r>
          </w:p>
        </w:tc>
        <w:tc>
          <w:tcPr>
            <w:tcW w:w="2850" w:type="dxa"/>
            <w:vAlign w:val="center"/>
          </w:tcPr>
          <w:p w14:paraId="4926E27D">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25YCY14-1B</w:t>
            </w:r>
          </w:p>
        </w:tc>
        <w:tc>
          <w:tcPr>
            <w:tcW w:w="698" w:type="dxa"/>
            <w:vAlign w:val="center"/>
          </w:tcPr>
          <w:p w14:paraId="6BEA48A8">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3</w:t>
            </w:r>
          </w:p>
        </w:tc>
        <w:tc>
          <w:tcPr>
            <w:tcW w:w="412" w:type="dxa"/>
            <w:vAlign w:val="center"/>
          </w:tcPr>
          <w:p w14:paraId="2C6A0FC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945" w:type="dxa"/>
            <w:vAlign w:val="center"/>
          </w:tcPr>
          <w:p w14:paraId="26CAE28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54C206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36697A1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1588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338AC78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3</w:t>
            </w:r>
          </w:p>
        </w:tc>
        <w:tc>
          <w:tcPr>
            <w:tcW w:w="1307" w:type="dxa"/>
            <w:vAlign w:val="center"/>
          </w:tcPr>
          <w:p w14:paraId="40FE544C">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油泵</w:t>
            </w:r>
          </w:p>
        </w:tc>
        <w:tc>
          <w:tcPr>
            <w:tcW w:w="2850" w:type="dxa"/>
            <w:vAlign w:val="center"/>
          </w:tcPr>
          <w:p w14:paraId="75C8DB8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CBT-F310 右旋</w:t>
            </w:r>
          </w:p>
        </w:tc>
        <w:tc>
          <w:tcPr>
            <w:tcW w:w="698" w:type="dxa"/>
            <w:vAlign w:val="center"/>
          </w:tcPr>
          <w:p w14:paraId="0ADDE59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3</w:t>
            </w:r>
          </w:p>
        </w:tc>
        <w:tc>
          <w:tcPr>
            <w:tcW w:w="412" w:type="dxa"/>
            <w:vAlign w:val="center"/>
          </w:tcPr>
          <w:p w14:paraId="146508A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945" w:type="dxa"/>
            <w:vAlign w:val="center"/>
          </w:tcPr>
          <w:p w14:paraId="0302132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65A006D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7FEC23C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63FE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9" w:type="dxa"/>
            <w:vAlign w:val="center"/>
          </w:tcPr>
          <w:p w14:paraId="4AE6AA9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307" w:type="dxa"/>
            <w:vAlign w:val="center"/>
          </w:tcPr>
          <w:p w14:paraId="02B476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50" w:type="dxa"/>
            <w:vAlign w:val="top"/>
          </w:tcPr>
          <w:p w14:paraId="4FC54765">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98" w:type="dxa"/>
            <w:vAlign w:val="center"/>
          </w:tcPr>
          <w:p w14:paraId="2ACCBC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12" w:type="dxa"/>
            <w:vAlign w:val="center"/>
          </w:tcPr>
          <w:p w14:paraId="45D5CF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45" w:type="dxa"/>
            <w:vAlign w:val="center"/>
          </w:tcPr>
          <w:p w14:paraId="4749EC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10" w:type="dxa"/>
            <w:vAlign w:val="center"/>
          </w:tcPr>
          <w:p w14:paraId="2A6D42C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49916D3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C10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851" w:type="dxa"/>
            <w:gridSpan w:val="8"/>
            <w:vAlign w:val="center"/>
          </w:tcPr>
          <w:p w14:paraId="2B0599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lang w:val="en-US" w:eastAsia="zh-CN"/>
              </w:rPr>
              <w:t>报价时除原有的PDF报价单还必须同时上传一份电子文档报价单。</w:t>
            </w:r>
          </w:p>
        </w:tc>
      </w:tr>
    </w:tbl>
    <w:p w14:paraId="7652884A">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66003217">
      <w:pPr>
        <w:pStyle w:val="3"/>
        <w:spacing w:after="0"/>
        <w:ind w:firstLine="3313" w:firstLineChars="1100"/>
        <w:jc w:val="both"/>
        <w:rPr>
          <w:rFonts w:hint="eastAsia" w:ascii="Times New Roman" w:hAnsi="Times New Roman"/>
          <w:color w:val="auto"/>
          <w:kern w:val="0"/>
          <w:lang w:val="en-US" w:eastAsia="zh-CN"/>
        </w:rPr>
      </w:pPr>
      <w:r>
        <w:rPr>
          <w:rFonts w:hint="eastAsia" w:ascii="宋体" w:hAnsi="宋体" w:eastAsia="宋体" w:cs="宋体"/>
          <w:b/>
          <w:bCs w:val="0"/>
          <w:color w:val="auto"/>
          <w:kern w:val="0"/>
          <w:sz w:val="30"/>
          <w:szCs w:val="30"/>
          <w:lang w:val="en-US" w:eastAsia="zh-CN"/>
        </w:rPr>
        <w:t>报价日期：   年   月   日</w:t>
      </w:r>
    </w:p>
    <w:p w14:paraId="0FB2FF7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14:paraId="2D38C349">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default" w:ascii="仿宋" w:hAnsi="仿宋" w:eastAsia="仿宋" w:cs="仿宋"/>
          <w:color w:val="auto"/>
          <w:sz w:val="32"/>
          <w:szCs w:val="32"/>
          <w:lang w:val="en-US" w:eastAsia="zh-CN"/>
        </w:rPr>
      </w:pPr>
    </w:p>
    <w:p w14:paraId="35004EE6">
      <w:pPr>
        <w:pStyle w:val="3"/>
        <w:spacing w:after="0"/>
        <w:jc w:val="both"/>
        <w:rPr>
          <w:rFonts w:hint="eastAsia" w:ascii="Times New Roman" w:hAnsi="Times New Roman"/>
          <w:color w:val="auto"/>
          <w:kern w:val="0"/>
          <w:lang w:val="en-US" w:eastAsia="zh-CN"/>
        </w:rPr>
      </w:pPr>
      <w:r>
        <w:rPr>
          <w:rFonts w:hint="eastAsia" w:ascii="Times New Roman" w:hAnsi="Times New Roman"/>
          <w:color w:val="auto"/>
          <w:kern w:val="0"/>
          <w:lang w:val="en-US" w:eastAsia="zh-CN"/>
        </w:rPr>
        <w:t xml:space="preserve">  </w:t>
      </w:r>
    </w:p>
    <w:p w14:paraId="08BEDBC5">
      <w:pPr>
        <w:rPr>
          <w:rFonts w:hint="eastAsia" w:ascii="Times New Roman" w:hAnsi="Times New Roman"/>
          <w:color w:val="auto"/>
          <w:kern w:val="0"/>
          <w:lang w:val="en-US" w:eastAsia="zh-CN"/>
        </w:rPr>
      </w:pPr>
    </w:p>
    <w:p w14:paraId="03134134">
      <w:pPr>
        <w:rPr>
          <w:rFonts w:hint="eastAsia" w:ascii="Times New Roman" w:hAnsi="Times New Roman"/>
          <w:color w:val="auto"/>
          <w:kern w:val="0"/>
          <w:lang w:val="en-US" w:eastAsia="zh-CN"/>
        </w:rPr>
      </w:pPr>
    </w:p>
    <w:p w14:paraId="19BFAC5D">
      <w:pPr>
        <w:rPr>
          <w:rFonts w:hint="eastAsia" w:ascii="Times New Roman" w:hAnsi="Times New Roman"/>
          <w:color w:val="auto"/>
          <w:kern w:val="0"/>
          <w:lang w:val="en-US" w:eastAsia="zh-CN"/>
        </w:rPr>
      </w:pPr>
      <w:bookmarkStart w:id="207" w:name="_GoBack"/>
      <w:bookmarkEnd w:id="207"/>
    </w:p>
    <w:p w14:paraId="69FFC094">
      <w:pPr>
        <w:rPr>
          <w:rFonts w:hint="eastAsia" w:ascii="Times New Roman" w:hAnsi="Times New Roman"/>
          <w:color w:val="auto"/>
          <w:kern w:val="0"/>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0EB359-C443-423D-A323-C80FC5660A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B4531A04-4CFB-4405-A36A-F8BEFA3412B0}"/>
  </w:font>
  <w:font w:name="方正小标宋简体">
    <w:panose1 w:val="02000000000000000000"/>
    <w:charset w:val="86"/>
    <w:family w:val="auto"/>
    <w:pitch w:val="default"/>
    <w:sig w:usb0="00000001" w:usb1="08000000" w:usb2="00000000" w:usb3="00000000" w:csb0="00040000" w:csb1="00000000"/>
    <w:embedRegular r:id="rId3" w:fontKey="{EA29625F-C01F-493F-AA33-32FC8F36FC7E}"/>
  </w:font>
  <w:font w:name="微软雅黑">
    <w:panose1 w:val="020B0503020204020204"/>
    <w:charset w:val="86"/>
    <w:family w:val="auto"/>
    <w:pitch w:val="default"/>
    <w:sig w:usb0="80000287" w:usb1="2ACF3C50" w:usb2="00000016" w:usb3="00000000" w:csb0="0004001F" w:csb1="00000000"/>
    <w:embedRegular r:id="rId4" w:fontKey="{DED2A09B-07C1-4AFD-86B2-BDBD22D80D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A77DC2"/>
    <w:rsid w:val="00CB6297"/>
    <w:rsid w:val="01251650"/>
    <w:rsid w:val="01A67659"/>
    <w:rsid w:val="023E2922"/>
    <w:rsid w:val="026A1189"/>
    <w:rsid w:val="02C4662B"/>
    <w:rsid w:val="03522A58"/>
    <w:rsid w:val="03C74658"/>
    <w:rsid w:val="051379D8"/>
    <w:rsid w:val="05BE40FB"/>
    <w:rsid w:val="06141C07"/>
    <w:rsid w:val="06BB2083"/>
    <w:rsid w:val="0765096C"/>
    <w:rsid w:val="076A5F83"/>
    <w:rsid w:val="07720B9B"/>
    <w:rsid w:val="079E79DA"/>
    <w:rsid w:val="07C17B6D"/>
    <w:rsid w:val="08D00E36"/>
    <w:rsid w:val="0A834711"/>
    <w:rsid w:val="0AA3355A"/>
    <w:rsid w:val="0B597A11"/>
    <w:rsid w:val="0BC114DF"/>
    <w:rsid w:val="0C6E02C3"/>
    <w:rsid w:val="0CAF4DC4"/>
    <w:rsid w:val="0CDF4D1D"/>
    <w:rsid w:val="0D1C7D25"/>
    <w:rsid w:val="0D72066F"/>
    <w:rsid w:val="0DBA6674"/>
    <w:rsid w:val="0DC814D4"/>
    <w:rsid w:val="0F4345F5"/>
    <w:rsid w:val="102F1EF5"/>
    <w:rsid w:val="114161E7"/>
    <w:rsid w:val="114715EE"/>
    <w:rsid w:val="120D40DA"/>
    <w:rsid w:val="124B075F"/>
    <w:rsid w:val="130628D8"/>
    <w:rsid w:val="14DE58BA"/>
    <w:rsid w:val="14F74BCE"/>
    <w:rsid w:val="14F90946"/>
    <w:rsid w:val="14FD19B0"/>
    <w:rsid w:val="15350822"/>
    <w:rsid w:val="15885D81"/>
    <w:rsid w:val="16B5089D"/>
    <w:rsid w:val="17725CE9"/>
    <w:rsid w:val="18493992"/>
    <w:rsid w:val="18C63235"/>
    <w:rsid w:val="19B65298"/>
    <w:rsid w:val="19BF0744"/>
    <w:rsid w:val="19BF485E"/>
    <w:rsid w:val="19EF056A"/>
    <w:rsid w:val="1AEC4493"/>
    <w:rsid w:val="1B177D78"/>
    <w:rsid w:val="1BE41FFF"/>
    <w:rsid w:val="1BF849AC"/>
    <w:rsid w:val="1D13631D"/>
    <w:rsid w:val="1D774AFE"/>
    <w:rsid w:val="1DA8115B"/>
    <w:rsid w:val="1DB27CC5"/>
    <w:rsid w:val="1DD30B53"/>
    <w:rsid w:val="1E0E568F"/>
    <w:rsid w:val="1E1E31CB"/>
    <w:rsid w:val="1E34479D"/>
    <w:rsid w:val="1E535EBD"/>
    <w:rsid w:val="207A66C7"/>
    <w:rsid w:val="207E073E"/>
    <w:rsid w:val="213078D8"/>
    <w:rsid w:val="21834158"/>
    <w:rsid w:val="21C72A3E"/>
    <w:rsid w:val="220426D8"/>
    <w:rsid w:val="22280ABD"/>
    <w:rsid w:val="22340084"/>
    <w:rsid w:val="22DC7770"/>
    <w:rsid w:val="22F5715A"/>
    <w:rsid w:val="23030452"/>
    <w:rsid w:val="23681EC9"/>
    <w:rsid w:val="241430A6"/>
    <w:rsid w:val="2452597D"/>
    <w:rsid w:val="257B5469"/>
    <w:rsid w:val="25A91F14"/>
    <w:rsid w:val="26A86F43"/>
    <w:rsid w:val="26AC5D22"/>
    <w:rsid w:val="27CC3C98"/>
    <w:rsid w:val="297D7484"/>
    <w:rsid w:val="2A04596B"/>
    <w:rsid w:val="2A1A0CEB"/>
    <w:rsid w:val="2A2E0C3A"/>
    <w:rsid w:val="2A4B3DED"/>
    <w:rsid w:val="2B400C25"/>
    <w:rsid w:val="2B944603"/>
    <w:rsid w:val="2BF61145"/>
    <w:rsid w:val="2D331C6F"/>
    <w:rsid w:val="2D8469EC"/>
    <w:rsid w:val="2DE05E9B"/>
    <w:rsid w:val="2DEE2BBA"/>
    <w:rsid w:val="2E033918"/>
    <w:rsid w:val="2EA4771D"/>
    <w:rsid w:val="2EF04710"/>
    <w:rsid w:val="312B32C2"/>
    <w:rsid w:val="31832E12"/>
    <w:rsid w:val="3243100D"/>
    <w:rsid w:val="32A1627D"/>
    <w:rsid w:val="33260700"/>
    <w:rsid w:val="33296443"/>
    <w:rsid w:val="333C7F24"/>
    <w:rsid w:val="333D3C9C"/>
    <w:rsid w:val="339B5162"/>
    <w:rsid w:val="34DF16EF"/>
    <w:rsid w:val="354E1250"/>
    <w:rsid w:val="358E6037"/>
    <w:rsid w:val="36AC716F"/>
    <w:rsid w:val="37991DE9"/>
    <w:rsid w:val="38C369F1"/>
    <w:rsid w:val="39403E42"/>
    <w:rsid w:val="39974106"/>
    <w:rsid w:val="39A607ED"/>
    <w:rsid w:val="3A3A65D2"/>
    <w:rsid w:val="3A43603C"/>
    <w:rsid w:val="3A561988"/>
    <w:rsid w:val="3BF30865"/>
    <w:rsid w:val="3BFF184D"/>
    <w:rsid w:val="3CB63F34"/>
    <w:rsid w:val="3CDB70DB"/>
    <w:rsid w:val="3CEB6517"/>
    <w:rsid w:val="3CFB6595"/>
    <w:rsid w:val="3CFD6BB7"/>
    <w:rsid w:val="3D34475C"/>
    <w:rsid w:val="3DCB6742"/>
    <w:rsid w:val="3E38578C"/>
    <w:rsid w:val="3E3C01FF"/>
    <w:rsid w:val="3FE9293F"/>
    <w:rsid w:val="405A4224"/>
    <w:rsid w:val="41CD6CF7"/>
    <w:rsid w:val="427A5715"/>
    <w:rsid w:val="433C5D1E"/>
    <w:rsid w:val="44093E52"/>
    <w:rsid w:val="44107006"/>
    <w:rsid w:val="44226CC2"/>
    <w:rsid w:val="44920CB0"/>
    <w:rsid w:val="44B3209C"/>
    <w:rsid w:val="45726E52"/>
    <w:rsid w:val="45A00D58"/>
    <w:rsid w:val="45B61DB8"/>
    <w:rsid w:val="460E1AB7"/>
    <w:rsid w:val="460F14C8"/>
    <w:rsid w:val="46637C62"/>
    <w:rsid w:val="46933C70"/>
    <w:rsid w:val="46C40504"/>
    <w:rsid w:val="46EE5581"/>
    <w:rsid w:val="48F86DE0"/>
    <w:rsid w:val="4B0B57E5"/>
    <w:rsid w:val="4B896DF6"/>
    <w:rsid w:val="4BC15012"/>
    <w:rsid w:val="4CAF130F"/>
    <w:rsid w:val="4CB27A82"/>
    <w:rsid w:val="4D2407F9"/>
    <w:rsid w:val="4D66647C"/>
    <w:rsid w:val="4DD94895"/>
    <w:rsid w:val="4E6B74B7"/>
    <w:rsid w:val="4F18763F"/>
    <w:rsid w:val="4F2D1733"/>
    <w:rsid w:val="4F4A53A9"/>
    <w:rsid w:val="4FA233AD"/>
    <w:rsid w:val="500261D8"/>
    <w:rsid w:val="50041972"/>
    <w:rsid w:val="50610B72"/>
    <w:rsid w:val="509B2FD7"/>
    <w:rsid w:val="51D376E3"/>
    <w:rsid w:val="51E67581"/>
    <w:rsid w:val="520D1904"/>
    <w:rsid w:val="523676EA"/>
    <w:rsid w:val="524F1A19"/>
    <w:rsid w:val="53E915AA"/>
    <w:rsid w:val="54273E81"/>
    <w:rsid w:val="54EB7CA8"/>
    <w:rsid w:val="55EF7BB3"/>
    <w:rsid w:val="55F20E2B"/>
    <w:rsid w:val="56737851"/>
    <w:rsid w:val="5680683F"/>
    <w:rsid w:val="56D16FAA"/>
    <w:rsid w:val="56F815DC"/>
    <w:rsid w:val="57711FE2"/>
    <w:rsid w:val="58647451"/>
    <w:rsid w:val="59907EED"/>
    <w:rsid w:val="5A715E56"/>
    <w:rsid w:val="5AB53F94"/>
    <w:rsid w:val="5B4377F2"/>
    <w:rsid w:val="5B60755C"/>
    <w:rsid w:val="5B6F6839"/>
    <w:rsid w:val="5B97061C"/>
    <w:rsid w:val="5C02145B"/>
    <w:rsid w:val="5C2B04AE"/>
    <w:rsid w:val="5C594DF3"/>
    <w:rsid w:val="5D042FB1"/>
    <w:rsid w:val="5D6808B8"/>
    <w:rsid w:val="5DA36C6E"/>
    <w:rsid w:val="5DA87DE0"/>
    <w:rsid w:val="5DCA09A3"/>
    <w:rsid w:val="5E167440"/>
    <w:rsid w:val="5E253E84"/>
    <w:rsid w:val="5E8D407E"/>
    <w:rsid w:val="5E983354"/>
    <w:rsid w:val="5EDD305D"/>
    <w:rsid w:val="5F213A10"/>
    <w:rsid w:val="5F8C5DB5"/>
    <w:rsid w:val="60257A98"/>
    <w:rsid w:val="602C2F4B"/>
    <w:rsid w:val="60675D3C"/>
    <w:rsid w:val="6077565B"/>
    <w:rsid w:val="60C97FB7"/>
    <w:rsid w:val="61137C66"/>
    <w:rsid w:val="612B54E0"/>
    <w:rsid w:val="61483E9A"/>
    <w:rsid w:val="61D92AF5"/>
    <w:rsid w:val="62B45479"/>
    <w:rsid w:val="64B22605"/>
    <w:rsid w:val="661E50E3"/>
    <w:rsid w:val="66452F0C"/>
    <w:rsid w:val="6667362D"/>
    <w:rsid w:val="671D4BFD"/>
    <w:rsid w:val="672C3830"/>
    <w:rsid w:val="68365066"/>
    <w:rsid w:val="68B74363"/>
    <w:rsid w:val="69E314DA"/>
    <w:rsid w:val="69F446AA"/>
    <w:rsid w:val="6A445335"/>
    <w:rsid w:val="6AF503DD"/>
    <w:rsid w:val="6B7E6624"/>
    <w:rsid w:val="6BD87931"/>
    <w:rsid w:val="6C2347F8"/>
    <w:rsid w:val="6C950C9E"/>
    <w:rsid w:val="6CAF118B"/>
    <w:rsid w:val="6CCD1611"/>
    <w:rsid w:val="6CE26D5D"/>
    <w:rsid w:val="6DB30807"/>
    <w:rsid w:val="6F4D07E7"/>
    <w:rsid w:val="701632CF"/>
    <w:rsid w:val="703561B0"/>
    <w:rsid w:val="70626755"/>
    <w:rsid w:val="707458D8"/>
    <w:rsid w:val="712D08D1"/>
    <w:rsid w:val="72D51220"/>
    <w:rsid w:val="72E3289C"/>
    <w:rsid w:val="731D6723"/>
    <w:rsid w:val="736305DA"/>
    <w:rsid w:val="740D31CD"/>
    <w:rsid w:val="74C1539A"/>
    <w:rsid w:val="74F87447"/>
    <w:rsid w:val="75260EE2"/>
    <w:rsid w:val="7530098F"/>
    <w:rsid w:val="764C0EA4"/>
    <w:rsid w:val="765B7C8E"/>
    <w:rsid w:val="76622B15"/>
    <w:rsid w:val="76987E92"/>
    <w:rsid w:val="774464EA"/>
    <w:rsid w:val="77832D86"/>
    <w:rsid w:val="78511348"/>
    <w:rsid w:val="78632E2A"/>
    <w:rsid w:val="7B04782F"/>
    <w:rsid w:val="7B0B749C"/>
    <w:rsid w:val="7B5A49B8"/>
    <w:rsid w:val="7D8E0949"/>
    <w:rsid w:val="7EA1262B"/>
    <w:rsid w:val="7F06435D"/>
    <w:rsid w:val="7F0D7F93"/>
    <w:rsid w:val="7F44284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7551</Words>
  <Characters>8325</Characters>
  <Lines>0</Lines>
  <Paragraphs>0</Paragraphs>
  <TotalTime>1</TotalTime>
  <ScaleCrop>false</ScaleCrop>
  <LinksUpToDate>false</LinksUpToDate>
  <CharactersWithSpaces>8774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2025-09-18T06:29:11Z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