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XB20250919-01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2025年9月回转窑耐火砖采购项目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6"/>
        <w:spacing w:before="24" w:after="24"/>
        <w:ind w:firstLine="480"/>
        <w:rPr>
          <w:color w:val="auto"/>
        </w:rPr>
      </w:pPr>
    </w:p>
    <w:p w14:paraId="58492F9C">
      <w:pPr>
        <w:pStyle w:val="6"/>
        <w:spacing w:before="24" w:after="24"/>
        <w:ind w:firstLine="480"/>
        <w:rPr>
          <w:color w:val="auto"/>
        </w:rPr>
      </w:pPr>
    </w:p>
    <w:p w14:paraId="4C6A2508">
      <w:pPr>
        <w:pStyle w:val="6"/>
        <w:spacing w:before="24" w:after="24"/>
        <w:ind w:left="0" w:leftChars="0" w:firstLine="0" w:firstLineChars="0"/>
        <w:rPr>
          <w:color w:val="auto"/>
        </w:rPr>
      </w:pPr>
    </w:p>
    <w:p w14:paraId="34DD02DF">
      <w:pPr>
        <w:pStyle w:val="6"/>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61F4A9A3">
      <w:pPr>
        <w:spacing w:line="360" w:lineRule="auto"/>
        <w:ind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九月十九日</w:t>
      </w:r>
    </w:p>
    <w:p w14:paraId="4C8CBBA7">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A2F84EC">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668FB05">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F7EE6">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8C89443">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F242424">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ADE7FE1">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98EE43">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E9C6955">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E418F2A">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6CD42DA">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BB26C84">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15A5C7A">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85D04">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A804C1">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BED0FD1">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9D79E40">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22AE246">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5170E51">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1277A4A">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A821676">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DA747C6">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7C63D09">
      <w:pPr>
        <w:pStyle w:val="9"/>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2025年9月回转窑耐火砖采购项目</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2D8A1DDB">
      <w:pPr>
        <w:keepNext w:val="0"/>
        <w:keepLines w:val="0"/>
        <w:pageBreakBefore w:val="0"/>
        <w:shd w:val="clear" w:color="auto" w:fill="auto"/>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XB20250919-01</w:t>
      </w:r>
      <w:r>
        <w:rPr>
          <w:rFonts w:hint="eastAsia" w:ascii="仿宋" w:hAnsi="仿宋" w:eastAsia="仿宋" w:cs="仿宋"/>
          <w:b/>
          <w:bCs/>
          <w:color w:val="auto"/>
          <w:sz w:val="32"/>
          <w:szCs w:val="32"/>
          <w:highlight w:val="none"/>
        </w:rPr>
        <w:t>）</w:t>
      </w:r>
    </w:p>
    <w:p w14:paraId="36B74E8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采购回转窑耐火砖1批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adjustRightInd/>
        <w:snapToGrid/>
        <w:spacing w:before="0" w:after="0" w:line="640" w:lineRule="exact"/>
        <w:ind w:firstLine="643" w:firstLineChars="200"/>
        <w:jc w:val="both"/>
        <w:textAlignment w:val="auto"/>
        <w:rPr>
          <w:rFonts w:hint="eastAsia"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adjustRightInd/>
        <w:snapToGrid/>
        <w:spacing w:before="0" w:after="0" w:line="640" w:lineRule="exact"/>
        <w:ind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640" w:lineRule="exact"/>
        <w:ind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2025年9月回转窑耐火砖供货及砌筑采购项目</w:t>
      </w:r>
    </w:p>
    <w:p w14:paraId="720AA228">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9月26日前，砌筑2天。</w:t>
      </w:r>
      <w:r>
        <w:rPr>
          <w:rFonts w:hint="eastAsia" w:ascii="仿宋" w:hAnsi="仿宋" w:eastAsia="仿宋" w:cs="仿宋"/>
          <w:color w:val="auto"/>
          <w:sz w:val="32"/>
          <w:szCs w:val="32"/>
        </w:rPr>
        <w:t>不能按期交货的，</w:t>
      </w:r>
      <w:r>
        <w:rPr>
          <w:rFonts w:hint="eastAsia" w:ascii="仿宋" w:hAnsi="仿宋" w:eastAsia="仿宋" w:cs="仿宋"/>
          <w:color w:val="auto"/>
          <w:sz w:val="32"/>
          <w:szCs w:val="32"/>
          <w:lang w:val="en-US" w:eastAsia="zh-CN"/>
        </w:rPr>
        <w:t>否决其响应文件</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555CD9B0">
      <w:pPr>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04"/>
        <w:gridCol w:w="2043"/>
        <w:gridCol w:w="909"/>
        <w:gridCol w:w="1146"/>
        <w:gridCol w:w="1287"/>
        <w:gridCol w:w="982"/>
      </w:tblGrid>
      <w:tr w14:paraId="1320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388BF81">
            <w:pPr>
              <w:spacing w:line="520" w:lineRule="exact"/>
              <w:jc w:val="center"/>
              <w:rPr>
                <w:rFonts w:ascii="宋体" w:hAnsi="宋体"/>
                <w:szCs w:val="21"/>
              </w:rPr>
            </w:pPr>
            <w:r>
              <w:rPr>
                <w:rFonts w:hint="eastAsia" w:ascii="宋体" w:hAnsi="宋体"/>
                <w:szCs w:val="21"/>
              </w:rPr>
              <w:t>序号</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C4FCF0E">
            <w:pPr>
              <w:spacing w:line="520" w:lineRule="exact"/>
              <w:jc w:val="center"/>
              <w:rPr>
                <w:rFonts w:ascii="宋体" w:hAnsi="宋体"/>
                <w:szCs w:val="21"/>
              </w:rPr>
            </w:pPr>
            <w:r>
              <w:rPr>
                <w:rFonts w:hint="eastAsia" w:ascii="宋体" w:hAnsi="宋体"/>
                <w:szCs w:val="21"/>
              </w:rPr>
              <w:t>设备名称</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0487491">
            <w:pPr>
              <w:spacing w:line="520" w:lineRule="exact"/>
              <w:jc w:val="center"/>
              <w:rPr>
                <w:rFonts w:ascii="宋体" w:hAnsi="宋体"/>
                <w:szCs w:val="21"/>
              </w:rPr>
            </w:pPr>
            <w:r>
              <w:rPr>
                <w:rFonts w:hint="eastAsia" w:ascii="宋体" w:hAnsi="宋体"/>
                <w:szCs w:val="21"/>
              </w:rPr>
              <w:t>规格型号</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601AD77E">
            <w:pPr>
              <w:spacing w:line="520" w:lineRule="exact"/>
              <w:jc w:val="cente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6D06727">
            <w:pPr>
              <w:spacing w:line="520" w:lineRule="exact"/>
              <w:jc w:val="center"/>
              <w:rPr>
                <w:rFonts w:hint="eastAsia" w:ascii="宋体" w:hAnsi="宋体" w:eastAsiaTheme="minorEastAsia"/>
                <w:szCs w:val="21"/>
                <w:lang w:val="en-US" w:eastAsia="zh-CN"/>
              </w:rPr>
            </w:pPr>
            <w:r>
              <w:rPr>
                <w:rFonts w:hint="eastAsia" w:ascii="宋体" w:hAnsi="宋体"/>
                <w:szCs w:val="21"/>
                <w:lang w:val="en-US" w:eastAsia="zh-CN"/>
              </w:rPr>
              <w:t>单价（元）</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710CC94">
            <w:pPr>
              <w:spacing w:line="520" w:lineRule="exact"/>
              <w:jc w:val="center"/>
              <w:rPr>
                <w:rFonts w:hint="eastAsia" w:ascii="宋体" w:hAnsi="宋体" w:eastAsiaTheme="minorEastAsia"/>
                <w:szCs w:val="21"/>
                <w:lang w:val="en-US" w:eastAsia="zh-CN"/>
              </w:rPr>
            </w:pPr>
            <w:r>
              <w:rPr>
                <w:rFonts w:hint="eastAsia" w:ascii="宋体" w:hAnsi="宋体"/>
                <w:szCs w:val="21"/>
                <w:lang w:val="en-US" w:eastAsia="zh-CN"/>
              </w:rPr>
              <w:t>合计（元）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D12C99">
            <w:pPr>
              <w:spacing w:line="520" w:lineRule="exact"/>
              <w:jc w:val="center"/>
              <w:rPr>
                <w:rFonts w:hint="default" w:ascii="宋体" w:hAnsi="宋体"/>
                <w:szCs w:val="21"/>
                <w:lang w:val="en-US" w:eastAsia="zh-CN"/>
              </w:rPr>
            </w:pPr>
            <w:r>
              <w:rPr>
                <w:rFonts w:hint="eastAsia" w:ascii="宋体" w:hAnsi="宋体"/>
                <w:szCs w:val="21"/>
                <w:lang w:val="en-US" w:eastAsia="zh-CN"/>
              </w:rPr>
              <w:t>备注</w:t>
            </w:r>
          </w:p>
        </w:tc>
      </w:tr>
      <w:tr w14:paraId="265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DD9DE7A">
            <w:pPr>
              <w:spacing w:line="400" w:lineRule="exact"/>
              <w:jc w:val="center"/>
              <w:rPr>
                <w:rFonts w:ascii="宋体" w:hAnsi="宋体"/>
                <w:szCs w:val="21"/>
              </w:rPr>
            </w:pPr>
            <w:r>
              <w:rPr>
                <w:rFonts w:hint="eastAsia" w:ascii="宋体" w:hAnsi="宋体"/>
                <w:szCs w:val="21"/>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EE7D960">
            <w:pPr>
              <w:spacing w:line="400" w:lineRule="exact"/>
              <w:jc w:val="center"/>
              <w:rPr>
                <w:rFonts w:ascii="宋体" w:hAnsi="宋体" w:cs="宋体"/>
                <w:szCs w:val="21"/>
              </w:rPr>
            </w:pPr>
            <w:r>
              <w:rPr>
                <w:rFonts w:hint="eastAsia" w:ascii="宋体" w:hAnsi="宋体"/>
                <w:szCs w:val="21"/>
              </w:rPr>
              <w:t xml:space="preserve">特种镁铝铬复合尖晶石砖  </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86A7DA0">
            <w:pPr>
              <w:spacing w:line="400" w:lineRule="exact"/>
              <w:jc w:val="center"/>
              <w:rPr>
                <w:rFonts w:hint="default" w:ascii="宋体" w:hAnsi="宋体" w:eastAsiaTheme="minorEastAsia"/>
                <w:szCs w:val="21"/>
                <w:lang w:val="en-US" w:eastAsia="zh-CN"/>
              </w:rPr>
            </w:pPr>
            <w:r>
              <w:rPr>
                <w:rFonts w:hint="eastAsia" w:ascii="宋体" w:hAnsi="宋体"/>
                <w:szCs w:val="21"/>
              </w:rPr>
              <w:t>275*200*90/7</w:t>
            </w:r>
            <w:r>
              <w:rPr>
                <w:rFonts w:hint="eastAsia" w:ascii="宋体" w:hAnsi="宋体"/>
                <w:szCs w:val="21"/>
                <w:lang w:val="en-US" w:eastAsia="zh-CN"/>
              </w:rPr>
              <w:t>5.5</w:t>
            </w:r>
          </w:p>
          <w:p w14:paraId="3FA2C808">
            <w:pPr>
              <w:spacing w:line="400" w:lineRule="exact"/>
              <w:jc w:val="center"/>
              <w:rPr>
                <w:rFonts w:hint="default" w:ascii="宋体" w:hAnsi="宋体" w:cs="宋体" w:eastAsiaTheme="minorEastAsia"/>
                <w:szCs w:val="21"/>
                <w:lang w:val="en-US" w:eastAsia="zh-CN"/>
              </w:rPr>
            </w:pPr>
            <w:r>
              <w:rPr>
                <w:rFonts w:hint="eastAsia" w:ascii="宋体" w:hAnsi="宋体"/>
                <w:szCs w:val="21"/>
              </w:rPr>
              <w:t>含配套调整砖</w:t>
            </w:r>
            <w:r>
              <w:rPr>
                <w:rFonts w:hint="eastAsia" w:ascii="宋体" w:hAnsi="宋体"/>
                <w:szCs w:val="21"/>
                <w:lang w:eastAsia="zh-CN"/>
              </w:rPr>
              <w:t>、</w:t>
            </w:r>
            <w:r>
              <w:rPr>
                <w:rFonts w:hint="eastAsia" w:ascii="宋体" w:hAnsi="宋体"/>
                <w:szCs w:val="21"/>
                <w:lang w:val="en-US" w:eastAsia="zh-CN"/>
              </w:rPr>
              <w:t>耐火水泥</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6601BC01">
            <w:pPr>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35T</w:t>
            </w:r>
          </w:p>
        </w:tc>
        <w:tc>
          <w:tcPr>
            <w:tcW w:w="1146" w:type="dxa"/>
            <w:tcBorders>
              <w:left w:val="single" w:color="auto" w:sz="4" w:space="0"/>
              <w:right w:val="single" w:color="auto" w:sz="4" w:space="0"/>
            </w:tcBorders>
            <w:noWrap w:val="0"/>
            <w:vAlign w:val="center"/>
          </w:tcPr>
          <w:p w14:paraId="14ECD06C">
            <w:pPr>
              <w:spacing w:line="520" w:lineRule="exact"/>
              <w:jc w:val="left"/>
              <w:rPr>
                <w:rFonts w:hint="eastAsia" w:ascii="宋体" w:hAnsi="宋体"/>
                <w:szCs w:val="21"/>
              </w:rPr>
            </w:pPr>
          </w:p>
        </w:tc>
        <w:tc>
          <w:tcPr>
            <w:tcW w:w="1287" w:type="dxa"/>
            <w:tcBorders>
              <w:left w:val="single" w:color="auto" w:sz="4" w:space="0"/>
              <w:right w:val="single" w:color="auto" w:sz="4" w:space="0"/>
            </w:tcBorders>
            <w:noWrap w:val="0"/>
            <w:vAlign w:val="center"/>
          </w:tcPr>
          <w:p w14:paraId="76C5CA43">
            <w:pPr>
              <w:spacing w:line="520" w:lineRule="exact"/>
              <w:jc w:val="left"/>
              <w:rPr>
                <w:rFonts w:hint="eastAsia" w:ascii="宋体" w:hAnsi="宋体"/>
                <w:szCs w:val="21"/>
                <w:lang w:val="en-US" w:eastAsia="zh-CN"/>
              </w:rPr>
            </w:pPr>
          </w:p>
        </w:tc>
        <w:tc>
          <w:tcPr>
            <w:tcW w:w="982" w:type="dxa"/>
            <w:tcBorders>
              <w:left w:val="single" w:color="auto" w:sz="4" w:space="0"/>
              <w:right w:val="single" w:color="auto" w:sz="4" w:space="0"/>
            </w:tcBorders>
            <w:noWrap w:val="0"/>
            <w:vAlign w:val="center"/>
          </w:tcPr>
          <w:p w14:paraId="7A14D29E">
            <w:pPr>
              <w:spacing w:line="520" w:lineRule="exact"/>
              <w:jc w:val="left"/>
              <w:rPr>
                <w:rFonts w:hint="default" w:ascii="宋体" w:hAnsi="宋体"/>
                <w:szCs w:val="21"/>
                <w:lang w:val="en-US" w:eastAsia="zh-CN"/>
              </w:rPr>
            </w:pPr>
            <w:r>
              <w:rPr>
                <w:rFonts w:hint="eastAsia" w:ascii="宋体" w:hAnsi="宋体"/>
                <w:szCs w:val="21"/>
                <w:lang w:val="en-US" w:eastAsia="zh-CN"/>
              </w:rPr>
              <w:t>13%税率</w:t>
            </w:r>
          </w:p>
        </w:tc>
      </w:tr>
      <w:tr w14:paraId="40D5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F1E9F7C">
            <w:pPr>
              <w:spacing w:line="520" w:lineRule="exact"/>
              <w:jc w:val="center"/>
              <w:rPr>
                <w:rFonts w:hint="eastAsia" w:ascii="宋体" w:hAnsi="宋体" w:eastAsiaTheme="minorEastAsia"/>
                <w:szCs w:val="21"/>
                <w:lang w:eastAsia="zh-CN"/>
              </w:rPr>
            </w:pPr>
            <w:r>
              <w:rPr>
                <w:rFonts w:hint="eastAsia" w:ascii="宋体" w:hAnsi="宋体"/>
                <w:szCs w:val="21"/>
                <w:lang w:val="en-US" w:eastAsia="zh-CN"/>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681A8F3">
            <w:pPr>
              <w:tabs>
                <w:tab w:val="left" w:pos="2146"/>
              </w:tabs>
              <w:autoSpaceDE w:val="0"/>
              <w:autoSpaceDN w:val="0"/>
              <w:adjustRightInd w:val="0"/>
              <w:spacing w:line="520" w:lineRule="exact"/>
              <w:jc w:val="center"/>
              <w:rPr>
                <w:rFonts w:hint="eastAsia" w:ascii="宋体" w:hAnsi="宋体" w:cs="楷体_GB2312"/>
                <w:kern w:val="0"/>
                <w:szCs w:val="21"/>
              </w:rPr>
            </w:pPr>
            <w:r>
              <w:rPr>
                <w:rFonts w:hint="eastAsia" w:ascii="宋体" w:hAnsi="宋体" w:cs="楷体_GB2312"/>
                <w:kern w:val="0"/>
                <w:szCs w:val="21"/>
              </w:rPr>
              <w:t>筑炉费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0728080">
            <w:pPr>
              <w:snapToGrid w:val="0"/>
              <w:spacing w:line="520" w:lineRule="exact"/>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5DC3746B">
            <w:pPr>
              <w:spacing w:line="520" w:lineRule="exact"/>
              <w:jc w:val="center"/>
              <w:rPr>
                <w:rFonts w:hint="eastAsia" w:ascii="宋体" w:hAnsi="宋体"/>
                <w:szCs w:val="21"/>
              </w:rPr>
            </w:pPr>
            <w:r>
              <w:rPr>
                <w:rFonts w:hint="eastAsia" w:ascii="宋体" w:hAnsi="宋体"/>
                <w:szCs w:val="21"/>
                <w:lang w:val="en-US" w:eastAsia="zh-CN"/>
              </w:rPr>
              <w:t>35</w:t>
            </w:r>
            <w:r>
              <w:rPr>
                <w:rFonts w:hint="eastAsia" w:ascii="宋体" w:hAnsi="宋体"/>
                <w:szCs w:val="21"/>
              </w:rPr>
              <w:t>T</w:t>
            </w:r>
          </w:p>
        </w:tc>
        <w:tc>
          <w:tcPr>
            <w:tcW w:w="1146" w:type="dxa"/>
            <w:tcBorders>
              <w:left w:val="single" w:color="auto" w:sz="4" w:space="0"/>
              <w:right w:val="single" w:color="auto" w:sz="4" w:space="0"/>
            </w:tcBorders>
            <w:noWrap w:val="0"/>
            <w:vAlign w:val="center"/>
          </w:tcPr>
          <w:p w14:paraId="3C0EF940">
            <w:pPr>
              <w:spacing w:line="520" w:lineRule="exact"/>
              <w:jc w:val="left"/>
              <w:rPr>
                <w:rFonts w:hint="eastAsia" w:ascii="宋体" w:hAnsi="宋体"/>
                <w:szCs w:val="21"/>
              </w:rPr>
            </w:pPr>
          </w:p>
        </w:tc>
        <w:tc>
          <w:tcPr>
            <w:tcW w:w="1287" w:type="dxa"/>
            <w:tcBorders>
              <w:left w:val="single" w:color="auto" w:sz="4" w:space="0"/>
              <w:right w:val="single" w:color="auto" w:sz="4" w:space="0"/>
            </w:tcBorders>
            <w:noWrap w:val="0"/>
            <w:vAlign w:val="center"/>
          </w:tcPr>
          <w:p w14:paraId="457FF471">
            <w:pPr>
              <w:spacing w:line="520" w:lineRule="exact"/>
              <w:jc w:val="left"/>
              <w:rPr>
                <w:rFonts w:hint="eastAsia" w:ascii="宋体" w:hAnsi="宋体"/>
                <w:szCs w:val="21"/>
              </w:rPr>
            </w:pPr>
          </w:p>
        </w:tc>
        <w:tc>
          <w:tcPr>
            <w:tcW w:w="982" w:type="dxa"/>
            <w:tcBorders>
              <w:left w:val="single" w:color="auto" w:sz="4" w:space="0"/>
              <w:right w:val="single" w:color="auto" w:sz="4" w:space="0"/>
            </w:tcBorders>
            <w:noWrap w:val="0"/>
            <w:vAlign w:val="center"/>
          </w:tcPr>
          <w:p w14:paraId="3D9B531E">
            <w:pPr>
              <w:spacing w:line="520" w:lineRule="exact"/>
              <w:jc w:val="left"/>
              <w:rPr>
                <w:rFonts w:hint="default" w:ascii="宋体" w:hAnsi="宋体" w:eastAsiaTheme="minorEastAsia"/>
                <w:szCs w:val="21"/>
                <w:lang w:val="en-US" w:eastAsia="zh-CN"/>
              </w:rPr>
            </w:pPr>
            <w:r>
              <w:rPr>
                <w:rFonts w:hint="eastAsia" w:ascii="宋体" w:hAnsi="宋体"/>
                <w:szCs w:val="21"/>
                <w:lang w:val="en-US" w:eastAsia="zh-CN"/>
              </w:rPr>
              <w:t>9%税率</w:t>
            </w:r>
          </w:p>
        </w:tc>
      </w:tr>
      <w:tr w14:paraId="1E4C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21" w:type="dxa"/>
            <w:gridSpan w:val="2"/>
            <w:tcBorders>
              <w:top w:val="single" w:color="auto" w:sz="4" w:space="0"/>
              <w:left w:val="single" w:color="auto" w:sz="4" w:space="0"/>
              <w:bottom w:val="single" w:color="auto" w:sz="4" w:space="0"/>
              <w:right w:val="single" w:color="auto" w:sz="4" w:space="0"/>
            </w:tcBorders>
            <w:noWrap w:val="0"/>
            <w:vAlign w:val="center"/>
          </w:tcPr>
          <w:p w14:paraId="1BAA6CE4">
            <w:pPr>
              <w:tabs>
                <w:tab w:val="left" w:pos="2146"/>
              </w:tabs>
              <w:autoSpaceDE w:val="0"/>
              <w:autoSpaceDN w:val="0"/>
              <w:adjustRightInd w:val="0"/>
              <w:spacing w:line="520" w:lineRule="exact"/>
              <w:jc w:val="center"/>
              <w:rPr>
                <w:rFonts w:hint="eastAsia" w:ascii="宋体" w:hAnsi="宋体" w:cs="楷体_GB2312" w:eastAsiaTheme="minorEastAsia"/>
                <w:kern w:val="0"/>
                <w:szCs w:val="21"/>
                <w:lang w:val="en-US" w:eastAsia="zh-CN"/>
              </w:rPr>
            </w:pPr>
            <w:r>
              <w:rPr>
                <w:rFonts w:hint="eastAsia" w:ascii="宋体" w:hAnsi="宋体" w:cs="楷体_GB2312"/>
                <w:kern w:val="0"/>
                <w:szCs w:val="21"/>
                <w:lang w:val="en-US" w:eastAsia="zh-CN"/>
              </w:rPr>
              <w:t>总价（元）</w:t>
            </w:r>
          </w:p>
        </w:tc>
        <w:tc>
          <w:tcPr>
            <w:tcW w:w="6367" w:type="dxa"/>
            <w:gridSpan w:val="5"/>
            <w:tcBorders>
              <w:top w:val="single" w:color="auto" w:sz="4" w:space="0"/>
              <w:left w:val="single" w:color="auto" w:sz="4" w:space="0"/>
              <w:bottom w:val="single" w:color="auto" w:sz="4" w:space="0"/>
              <w:right w:val="single" w:color="auto" w:sz="4" w:space="0"/>
            </w:tcBorders>
            <w:noWrap w:val="0"/>
            <w:vAlign w:val="center"/>
          </w:tcPr>
          <w:p w14:paraId="7CB344A7">
            <w:pPr>
              <w:spacing w:line="520" w:lineRule="exact"/>
              <w:jc w:val="left"/>
              <w:rPr>
                <w:rFonts w:hint="default" w:ascii="宋体" w:hAnsi="宋体" w:eastAsiaTheme="minorEastAsia"/>
                <w:szCs w:val="21"/>
                <w:lang w:val="en-US" w:eastAsia="zh-CN"/>
              </w:rPr>
            </w:pPr>
            <w:r>
              <w:rPr>
                <w:rFonts w:hint="eastAsia" w:ascii="宋体" w:hAnsi="宋体"/>
                <w:szCs w:val="21"/>
                <w:lang w:val="en-US" w:eastAsia="zh-CN"/>
              </w:rPr>
              <w:t xml:space="preserve">             </w:t>
            </w:r>
          </w:p>
        </w:tc>
      </w:tr>
      <w:tr w14:paraId="444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21" w:type="dxa"/>
            <w:gridSpan w:val="2"/>
            <w:tcBorders>
              <w:top w:val="single" w:color="auto" w:sz="4" w:space="0"/>
              <w:left w:val="single" w:color="auto" w:sz="4" w:space="0"/>
              <w:bottom w:val="single" w:color="auto" w:sz="4" w:space="0"/>
              <w:right w:val="single" w:color="auto" w:sz="4" w:space="0"/>
            </w:tcBorders>
            <w:noWrap w:val="0"/>
            <w:vAlign w:val="center"/>
          </w:tcPr>
          <w:p w14:paraId="0CC37CC3">
            <w:pPr>
              <w:tabs>
                <w:tab w:val="left" w:pos="2146"/>
              </w:tabs>
              <w:autoSpaceDE w:val="0"/>
              <w:autoSpaceDN w:val="0"/>
              <w:adjustRightInd w:val="0"/>
              <w:spacing w:line="520" w:lineRule="exact"/>
              <w:jc w:val="center"/>
              <w:rPr>
                <w:rFonts w:hint="default" w:ascii="宋体" w:hAnsi="宋体" w:cs="楷体_GB2312"/>
                <w:kern w:val="0"/>
                <w:szCs w:val="21"/>
                <w:lang w:val="en-US" w:eastAsia="zh-CN"/>
              </w:rPr>
            </w:pPr>
            <w:r>
              <w:rPr>
                <w:rFonts w:hint="eastAsia" w:ascii="宋体" w:hAnsi="宋体" w:cs="楷体_GB2312"/>
                <w:kern w:val="0"/>
                <w:szCs w:val="21"/>
                <w:lang w:val="en-US" w:eastAsia="zh-CN"/>
              </w:rPr>
              <w:t>质保期</w:t>
            </w:r>
          </w:p>
        </w:tc>
        <w:tc>
          <w:tcPr>
            <w:tcW w:w="6367" w:type="dxa"/>
            <w:gridSpan w:val="5"/>
            <w:tcBorders>
              <w:top w:val="single" w:color="auto" w:sz="4" w:space="0"/>
              <w:left w:val="single" w:color="auto" w:sz="4" w:space="0"/>
              <w:bottom w:val="single" w:color="auto" w:sz="4" w:space="0"/>
              <w:right w:val="single" w:color="auto" w:sz="4" w:space="0"/>
            </w:tcBorders>
            <w:noWrap w:val="0"/>
            <w:vAlign w:val="center"/>
          </w:tcPr>
          <w:p w14:paraId="4FAEF254">
            <w:pPr>
              <w:spacing w:line="520" w:lineRule="exact"/>
              <w:jc w:val="left"/>
              <w:rPr>
                <w:rFonts w:hint="default" w:ascii="宋体" w:hAnsi="宋体"/>
                <w:szCs w:val="21"/>
                <w:lang w:val="en-US" w:eastAsia="zh-CN"/>
              </w:rPr>
            </w:pPr>
            <w:r>
              <w:rPr>
                <w:rFonts w:hint="eastAsia" w:ascii="宋体" w:hAnsi="宋体"/>
                <w:szCs w:val="21"/>
                <w:lang w:val="en-US" w:eastAsia="zh-CN"/>
              </w:rPr>
              <w:t xml:space="preserve">   1年（自回转窑投运之日算起）</w:t>
            </w:r>
          </w:p>
        </w:tc>
      </w:tr>
      <w:tr w14:paraId="5C1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21" w:type="dxa"/>
            <w:gridSpan w:val="2"/>
            <w:tcBorders>
              <w:top w:val="single" w:color="auto" w:sz="4" w:space="0"/>
              <w:left w:val="single" w:color="auto" w:sz="4" w:space="0"/>
              <w:bottom w:val="single" w:color="auto" w:sz="4" w:space="0"/>
              <w:right w:val="single" w:color="auto" w:sz="4" w:space="0"/>
            </w:tcBorders>
            <w:noWrap w:val="0"/>
            <w:vAlign w:val="center"/>
          </w:tcPr>
          <w:p w14:paraId="61E20DA0">
            <w:pPr>
              <w:tabs>
                <w:tab w:val="left" w:pos="2146"/>
              </w:tabs>
              <w:autoSpaceDE w:val="0"/>
              <w:autoSpaceDN w:val="0"/>
              <w:adjustRightInd w:val="0"/>
              <w:spacing w:line="520" w:lineRule="exact"/>
              <w:jc w:val="center"/>
              <w:rPr>
                <w:rFonts w:hint="default" w:ascii="宋体" w:hAnsi="宋体" w:cs="楷体_GB2312"/>
                <w:kern w:val="0"/>
                <w:szCs w:val="21"/>
                <w:lang w:val="en-US" w:eastAsia="zh-CN"/>
              </w:rPr>
            </w:pPr>
            <w:r>
              <w:rPr>
                <w:rFonts w:hint="eastAsia" w:ascii="宋体" w:hAnsi="宋体" w:cs="楷体_GB2312"/>
                <w:kern w:val="0"/>
                <w:szCs w:val="21"/>
                <w:lang w:val="en-US" w:eastAsia="zh-CN"/>
              </w:rPr>
              <w:t>交货期</w:t>
            </w:r>
          </w:p>
        </w:tc>
        <w:tc>
          <w:tcPr>
            <w:tcW w:w="6367" w:type="dxa"/>
            <w:gridSpan w:val="5"/>
            <w:tcBorders>
              <w:top w:val="single" w:color="auto" w:sz="4" w:space="0"/>
              <w:left w:val="single" w:color="auto" w:sz="4" w:space="0"/>
              <w:bottom w:val="single" w:color="auto" w:sz="4" w:space="0"/>
              <w:right w:val="single" w:color="auto" w:sz="4" w:space="0"/>
            </w:tcBorders>
            <w:noWrap w:val="0"/>
            <w:vAlign w:val="center"/>
          </w:tcPr>
          <w:p w14:paraId="63E62959">
            <w:pPr>
              <w:spacing w:line="520" w:lineRule="exact"/>
              <w:ind w:firstLine="420" w:firstLineChars="200"/>
              <w:jc w:val="left"/>
              <w:rPr>
                <w:rFonts w:hint="default" w:ascii="宋体" w:hAnsi="宋体"/>
                <w:szCs w:val="21"/>
                <w:lang w:val="en-US" w:eastAsia="zh-CN"/>
              </w:rPr>
            </w:pPr>
            <w:r>
              <w:rPr>
                <w:rFonts w:hint="eastAsia" w:ascii="宋体" w:hAnsi="宋体"/>
                <w:szCs w:val="21"/>
                <w:lang w:val="en-US" w:eastAsia="zh-CN"/>
              </w:rPr>
              <w:t>9月26日前</w:t>
            </w:r>
          </w:p>
        </w:tc>
      </w:tr>
    </w:tbl>
    <w:p w14:paraId="6BDA469E">
      <w:pPr>
        <w:keepNext w:val="0"/>
        <w:keepLines w:val="0"/>
        <w:pageBreakBefore w:val="0"/>
        <w:widowControl w:val="0"/>
        <w:kinsoku/>
        <w:wordWrap/>
        <w:topLinePunct w:val="0"/>
        <w:autoSpaceDE/>
        <w:autoSpaceDN/>
        <w:bidi w:val="0"/>
        <w:snapToGrid/>
        <w:spacing w:line="560" w:lineRule="exact"/>
        <w:rPr>
          <w:rFonts w:hint="default"/>
          <w:lang w:val="en-US" w:eastAsia="zh-CN"/>
        </w:rPr>
      </w:pPr>
      <w:r>
        <w:rPr>
          <w:rFonts w:hint="eastAsia" w:ascii="宋体" w:hAnsi="宋体"/>
          <w:szCs w:val="21"/>
          <w:lang w:val="en-US" w:eastAsia="zh-CN"/>
        </w:rPr>
        <w:t>备注：上述费用</w:t>
      </w:r>
      <w:r>
        <w:rPr>
          <w:rFonts w:hint="eastAsia" w:ascii="宋体" w:hAnsi="宋体"/>
          <w:szCs w:val="21"/>
        </w:rPr>
        <w:t>包括</w:t>
      </w:r>
      <w:r>
        <w:rPr>
          <w:rFonts w:hint="eastAsia" w:ascii="宋体" w:hAnsi="宋体"/>
          <w:szCs w:val="21"/>
          <w:lang w:val="en-US" w:eastAsia="zh-CN"/>
        </w:rPr>
        <w:t>材料费、</w:t>
      </w:r>
      <w:r>
        <w:rPr>
          <w:rFonts w:hint="eastAsia" w:ascii="宋体" w:hAnsi="宋体"/>
          <w:szCs w:val="21"/>
        </w:rPr>
        <w:t>制作费、运输费、</w:t>
      </w:r>
      <w:r>
        <w:rPr>
          <w:rFonts w:hint="eastAsia" w:ascii="宋体" w:hAnsi="宋体"/>
          <w:szCs w:val="21"/>
          <w:lang w:val="en-US" w:eastAsia="zh-CN"/>
        </w:rPr>
        <w:t>施工费</w:t>
      </w:r>
      <w:r>
        <w:rPr>
          <w:rFonts w:hint="eastAsia" w:ascii="宋体" w:hAnsi="宋体"/>
          <w:szCs w:val="21"/>
        </w:rPr>
        <w:t>，13%增值税</w:t>
      </w:r>
      <w:r>
        <w:rPr>
          <w:rFonts w:hint="eastAsia" w:ascii="宋体" w:hAnsi="宋体"/>
          <w:szCs w:val="21"/>
          <w:lang w:val="en-US" w:eastAsia="zh-CN"/>
        </w:rPr>
        <w:t>费等，不含旧耐火材料的拆除费用。</w:t>
      </w:r>
    </w:p>
    <w:p w14:paraId="4DA6DC35">
      <w:pPr>
        <w:keepNext w:val="0"/>
        <w:keepLines w:val="0"/>
        <w:pageBreakBefore w:val="0"/>
        <w:widowControl w:val="0"/>
        <w:kinsoku/>
        <w:wordWrap/>
        <w:overflowPunct w:val="0"/>
        <w:topLinePunct w:val="0"/>
        <w:autoSpaceDE/>
        <w:autoSpaceDN/>
        <w:bidi w:val="0"/>
        <w:adjustRightInd w:val="0"/>
        <w:snapToGrid/>
        <w:spacing w:line="68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3CD5339A">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1、产品的设计及制造必须严格按照最新行业标准执行，要求MgO≥80%, AI2O3=8—12%,Cr2O3=3—5%,显气孔率≤18%，体积密度≥2.95T/m3,常温耐压强度≥55Mpa,载重软化稳定≥1700℃，热震稳定性（1100℃、水冷）≥8次。</w:t>
      </w:r>
    </w:p>
    <w:p w14:paraId="716A8607">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自回转窑投运之日算起</w:t>
      </w:r>
      <w:r>
        <w:rPr>
          <w:rFonts w:hint="eastAsia" w:ascii="仿宋" w:hAnsi="仿宋" w:eastAsia="仿宋" w:cs="仿宋"/>
          <w:sz w:val="32"/>
          <w:szCs w:val="32"/>
          <w:lang w:eastAsia="zh-CN"/>
        </w:rPr>
        <w:t>）</w:t>
      </w:r>
      <w:r>
        <w:rPr>
          <w:rFonts w:hint="eastAsia" w:ascii="仿宋" w:hAnsi="仿宋" w:eastAsia="仿宋" w:cs="仿宋"/>
          <w:sz w:val="32"/>
          <w:szCs w:val="32"/>
        </w:rPr>
        <w:t>，在质保期内出现货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68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68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6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680" w:lineRule="exact"/>
        <w:ind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后，货到买方厂内，初步验收合格，卖方开具材料费全额增值税发票（税率13%），买方付材料费的90%；砌筑完毕，验收合格后，卖方开具施工费全额的增值税发票（税率9%），买方再付施工费的90%；留10%（材料及施工费总价）作为质保金，使用一年之后， 质保期满无质量问题需方一次付清。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68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680" w:lineRule="exact"/>
        <w:ind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（1）供应商须为中华人民共和国境内依法注册的法人或者其他组织，有能力完成本项目的厂家，具备合法的营业执照</w:t>
      </w:r>
      <w:r>
        <w:rPr>
          <w:rFonts w:hint="eastAsia" w:ascii="仿宋" w:hAnsi="仿宋" w:eastAsia="仿宋" w:cs="仿宋"/>
          <w:i w:val="0"/>
          <w:iCs w:val="0"/>
          <w:caps w:val="0"/>
          <w:color w:val="000000"/>
          <w:spacing w:val="0"/>
          <w:sz w:val="32"/>
          <w:szCs w:val="32"/>
          <w:lang w:eastAsia="zh-CN"/>
        </w:rPr>
        <w:t>。</w:t>
      </w:r>
    </w:p>
    <w:p w14:paraId="23FDE825">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供应商2022年9月至今具有类似业绩（提供合同复印件，时间以合同签订时间为准），</w:t>
      </w:r>
      <w:r>
        <w:rPr>
          <w:rFonts w:hint="eastAsia" w:ascii="仿宋" w:hAnsi="仿宋" w:eastAsia="仿宋" w:cs="仿宋"/>
          <w:sz w:val="32"/>
          <w:szCs w:val="32"/>
        </w:rPr>
        <w:t>不少于</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未提供业绩的（即0份类似业绩），否决其响应文件。</w:t>
      </w:r>
    </w:p>
    <w:p w14:paraId="19EF910C">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68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68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68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68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w:t>
      </w:r>
      <w:r>
        <w:rPr>
          <w:rFonts w:hint="eastAsia" w:ascii="仿宋" w:hAnsi="仿宋" w:eastAsia="仿宋" w:cs="仿宋"/>
          <w:sz w:val="32"/>
          <w:szCs w:val="32"/>
          <w:highlight w:val="none"/>
          <w:lang w:val="en-US" w:eastAsia="zh-CN"/>
        </w:rPr>
        <w:t>设计费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制造费、</w:t>
      </w:r>
      <w:r>
        <w:rPr>
          <w:rFonts w:hint="eastAsia" w:ascii="仿宋" w:hAnsi="仿宋" w:eastAsia="仿宋" w:cs="仿宋"/>
          <w:sz w:val="32"/>
          <w:szCs w:val="32"/>
          <w:highlight w:val="none"/>
        </w:rPr>
        <w:t>运输费、税费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安装调试费</w:t>
      </w:r>
      <w:r>
        <w:rPr>
          <w:rFonts w:hint="eastAsia" w:ascii="仿宋" w:hAnsi="仿宋" w:eastAsia="仿宋" w:cs="仿宋"/>
          <w:sz w:val="32"/>
          <w:szCs w:val="32"/>
          <w:highlight w:val="none"/>
        </w:rPr>
        <w:t>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68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52691486"/>
      <w:bookmarkStart w:id="14" w:name="_Toc152045542"/>
      <w:bookmarkStart w:id="15" w:name="_Toc300834963"/>
      <w:bookmarkStart w:id="16" w:name="_Toc369531529"/>
      <w:bookmarkStart w:id="17" w:name="_Toc247513966"/>
      <w:bookmarkStart w:id="18" w:name="_Toc152042318"/>
      <w:bookmarkStart w:id="19" w:name="_Toc384308223"/>
      <w:bookmarkStart w:id="20" w:name="_Toc25772"/>
      <w:bookmarkStart w:id="21" w:name="_Toc247527567"/>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2319"/>
      <w:bookmarkStart w:id="25" w:name="_Toc369531530"/>
      <w:bookmarkStart w:id="26" w:name="_Toc300834964"/>
      <w:bookmarkStart w:id="27" w:name="_Toc361508599"/>
      <w:bookmarkStart w:id="28" w:name="_Toc15242"/>
      <w:bookmarkStart w:id="29" w:name="_Toc144974511"/>
      <w:bookmarkStart w:id="30" w:name="_Toc152045543"/>
      <w:bookmarkStart w:id="31" w:name="_Toc247513967"/>
      <w:bookmarkStart w:id="32" w:name="_Toc352691487"/>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snapToGrid/>
        <w:spacing w:before="0" w:after="0" w:line="68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4E3F5D22">
      <w:pPr>
        <w:pStyle w:val="5"/>
        <w:keepNext w:val="0"/>
        <w:keepLines w:val="0"/>
        <w:pageBreakBefore w:val="0"/>
        <w:widowControl w:val="0"/>
        <w:kinsoku/>
        <w:wordWrap/>
        <w:overflowPunct w:val="0"/>
        <w:topLinePunct w:val="0"/>
        <w:autoSpaceDE/>
        <w:autoSpaceDN/>
        <w:bidi w:val="0"/>
        <w:snapToGrid/>
        <w:spacing w:before="0" w:after="0" w:line="680" w:lineRule="exact"/>
        <w:ind w:left="0" w:firstLine="320" w:firstLineChars="100"/>
        <w:jc w:val="both"/>
        <w:rPr>
          <w:rFonts w:hint="eastAsia" w:ascii="仿宋" w:hAnsi="仿宋" w:eastAsia="仿宋" w:cs="仿宋"/>
          <w:color w:val="auto"/>
          <w:sz w:val="32"/>
          <w:szCs w:val="32"/>
        </w:rPr>
      </w:pPr>
      <w:bookmarkStart w:id="34" w:name="_Toc33795794"/>
      <w:bookmarkStart w:id="35" w:name="_Toc24514"/>
      <w:bookmarkStart w:id="36" w:name="_Toc28216"/>
      <w:bookmarkStart w:id="37"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4"/>
      <w:bookmarkEnd w:id="35"/>
      <w:bookmarkEnd w:id="36"/>
      <w:bookmarkEnd w:id="37"/>
    </w:p>
    <w:p w14:paraId="1075AAFE">
      <w:pPr>
        <w:pStyle w:val="5"/>
        <w:keepNext w:val="0"/>
        <w:keepLines w:val="0"/>
        <w:pageBreakBefore w:val="0"/>
        <w:widowControl w:val="0"/>
        <w:kinsoku/>
        <w:wordWrap/>
        <w:overflowPunct w:val="0"/>
        <w:topLinePunct w:val="0"/>
        <w:autoSpaceDE/>
        <w:autoSpaceDN/>
        <w:bidi w:val="0"/>
        <w:snapToGrid/>
        <w:spacing w:before="0" w:after="0"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从2022年9月至今的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68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251DF29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80" w:lineRule="exact"/>
        <w:ind w:left="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14:paraId="7738926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80" w:lineRule="exact"/>
        <w:ind w:left="0"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（一）响应文件提交截止时间：2025年9月22</w:t>
      </w:r>
      <w:bookmarkStart w:id="115" w:name="_GoBack"/>
      <w:bookmarkEnd w:id="115"/>
      <w:r>
        <w:rPr>
          <w:rFonts w:hint="eastAsia" w:ascii="仿宋" w:hAnsi="仿宋" w:eastAsia="仿宋" w:cs="仿宋"/>
          <w:color w:val="auto"/>
          <w:spacing w:val="1"/>
          <w:sz w:val="32"/>
          <w:szCs w:val="32"/>
          <w:highlight w:val="none"/>
          <w:lang w:val="en-US" w:eastAsia="zh-CN"/>
        </w:rPr>
        <w:t>日11时0分（北京时间）；</w:t>
      </w:r>
    </w:p>
    <w:p w14:paraId="0083ACAC">
      <w:pPr>
        <w:pStyle w:val="15"/>
        <w:keepNext w:val="0"/>
        <w:keepLines w:val="0"/>
        <w:pageBreakBefore w:val="0"/>
        <w:kinsoku/>
        <w:wordWrap/>
        <w:topLinePunct w:val="0"/>
        <w:autoSpaceDE/>
        <w:autoSpaceDN/>
        <w:bidi w:val="0"/>
        <w:snapToGrid/>
        <w:spacing w:before="0" w:after="0" w:line="680" w:lineRule="exact"/>
        <w:ind w:firstLine="644" w:firstLineChars="200"/>
        <w:rPr>
          <w:rFonts w:ascii="仿宋" w:hAnsi="仿宋" w:eastAsia="仿宋" w:cs="仿宋"/>
          <w:b/>
          <w:bCs/>
          <w:sz w:val="32"/>
          <w:szCs w:val="32"/>
          <w:lang w:eastAsia="zh-CN"/>
        </w:rPr>
      </w:pPr>
      <w:r>
        <w:rPr>
          <w:rFonts w:hint="eastAsia" w:ascii="仿宋" w:hAnsi="仿宋" w:eastAsia="仿宋" w:cs="仿宋"/>
          <w:spacing w:val="1"/>
          <w:sz w:val="32"/>
          <w:szCs w:val="32"/>
          <w:lang w:eastAsia="zh-CN"/>
        </w:rPr>
        <w:t>（二）提交方法：</w:t>
      </w:r>
      <w:r>
        <w:rPr>
          <w:rFonts w:hint="eastAsia" w:ascii="仿宋" w:hAnsi="仿宋" w:eastAsia="仿宋" w:cs="仿宋"/>
          <w:b/>
          <w:bCs/>
          <w:spacing w:val="1"/>
          <w:sz w:val="32"/>
          <w:szCs w:val="32"/>
          <w:lang w:val="en-US" w:eastAsia="zh-CN"/>
        </w:rPr>
        <w:t>发送至采购人指定邮箱1930635@qq.com</w:t>
      </w:r>
      <w:r>
        <w:rPr>
          <w:rFonts w:hint="eastAsia" w:ascii="仿宋" w:hAnsi="仿宋" w:eastAsia="仿宋" w:cs="仿宋"/>
          <w:b/>
          <w:bCs/>
          <w:spacing w:val="1"/>
          <w:sz w:val="32"/>
          <w:szCs w:val="32"/>
          <w:lang w:eastAsia="zh-CN"/>
        </w:rPr>
        <w:t>。</w:t>
      </w:r>
    </w:p>
    <w:p w14:paraId="57E3230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80" w:lineRule="exact"/>
        <w:ind w:left="0" w:firstLine="645"/>
        <w:textAlignment w:val="auto"/>
        <w:rPr>
          <w:rFonts w:hint="default" w:ascii="仿宋" w:hAnsi="仿宋" w:eastAsia="仿宋" w:cs="仿宋"/>
          <w:color w:val="000000"/>
          <w:sz w:val="32"/>
          <w:szCs w:val="32"/>
          <w:lang w:val="en-US"/>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逾期</w:t>
      </w:r>
      <w:r>
        <w:rPr>
          <w:rFonts w:hint="eastAsia" w:ascii="仿宋" w:hAnsi="仿宋" w:eastAsia="仿宋" w:cs="仿宋"/>
          <w:i w:val="0"/>
          <w:iCs w:val="0"/>
          <w:caps w:val="0"/>
          <w:color w:val="000000"/>
          <w:spacing w:val="0"/>
          <w:sz w:val="32"/>
          <w:szCs w:val="32"/>
          <w:lang w:val="en-US" w:eastAsia="zh-CN"/>
        </w:rPr>
        <w:t>未发送到指定邮箱</w:t>
      </w:r>
      <w:r>
        <w:rPr>
          <w:rFonts w:hint="eastAsia" w:ascii="仿宋" w:hAnsi="仿宋" w:eastAsia="仿宋" w:cs="仿宋"/>
          <w:i w:val="0"/>
          <w:iCs w:val="0"/>
          <w:caps w:val="0"/>
          <w:color w:val="000000"/>
          <w:spacing w:val="0"/>
          <w:sz w:val="32"/>
          <w:szCs w:val="32"/>
        </w:rPr>
        <w:t>的询比采购文件，询比采购人不予受理</w:t>
      </w:r>
      <w:r>
        <w:rPr>
          <w:rFonts w:hint="eastAsia" w:ascii="仿宋" w:hAnsi="仿宋" w:eastAsia="仿宋" w:cs="仿宋"/>
          <w:b/>
          <w:bCs/>
          <w:i w:val="0"/>
          <w:iCs w:val="0"/>
          <w:caps w:val="0"/>
          <w:color w:val="000000"/>
          <w:spacing w:val="0"/>
          <w:sz w:val="32"/>
          <w:szCs w:val="32"/>
          <w:lang w:val="en-US" w:eastAsia="zh-CN"/>
        </w:rPr>
        <w:t>。</w:t>
      </w:r>
    </w:p>
    <w:p w14:paraId="3B8B48A4">
      <w:pPr>
        <w:pStyle w:val="9"/>
        <w:keepNext w:val="0"/>
        <w:keepLines w:val="0"/>
        <w:pageBreakBefore w:val="0"/>
        <w:widowControl/>
        <w:kinsoku/>
        <w:wordWrap/>
        <w:topLinePunct w:val="0"/>
        <w:autoSpaceDE/>
        <w:autoSpaceDN/>
        <w:bidi w:val="0"/>
        <w:snapToGrid/>
        <w:spacing w:before="0" w:beforeAutospacing="0" w:after="0" w:afterAutospacing="0" w:line="680" w:lineRule="exact"/>
        <w:ind w:leftChars="0" w:firstLine="645"/>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收件人：李晶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电话：</w:t>
      </w:r>
      <w:r>
        <w:rPr>
          <w:rFonts w:hint="eastAsia" w:ascii="仿宋" w:hAnsi="仿宋" w:eastAsia="仿宋" w:cs="仿宋"/>
          <w:color w:val="000000"/>
          <w:sz w:val="32"/>
          <w:szCs w:val="32"/>
          <w:lang w:val="en-US" w:eastAsia="zh-CN"/>
        </w:rPr>
        <w:t>13909142887</w:t>
      </w:r>
    </w:p>
    <w:p w14:paraId="0ECB6638">
      <w:pPr>
        <w:pStyle w:val="9"/>
        <w:keepNext w:val="0"/>
        <w:keepLines w:val="0"/>
        <w:pageBreakBefore w:val="0"/>
        <w:widowControl/>
        <w:kinsoku/>
        <w:wordWrap/>
        <w:topLinePunct w:val="0"/>
        <w:autoSpaceDE/>
        <w:autoSpaceDN/>
        <w:bidi w:val="0"/>
        <w:snapToGrid/>
        <w:spacing w:before="0" w:beforeAutospacing="0" w:after="0" w:afterAutospacing="0" w:line="680" w:lineRule="exact"/>
        <w:ind w:leftChars="0" w:firstLine="645"/>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技术联系人：</w:t>
      </w:r>
      <w:r>
        <w:rPr>
          <w:rFonts w:hint="eastAsia" w:ascii="仿宋" w:hAnsi="仿宋" w:eastAsia="仿宋" w:cs="仿宋"/>
          <w:color w:val="000000"/>
          <w:sz w:val="32"/>
          <w:szCs w:val="32"/>
          <w:lang w:val="en-US" w:eastAsia="zh-CN"/>
        </w:rPr>
        <w:t xml:space="preserve"> 杜正锋     电话：18991560164</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68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CD8356C">
      <w:pPr>
        <w:keepNext w:val="0"/>
        <w:keepLines w:val="0"/>
        <w:pageBreakBefore w:val="0"/>
        <w:widowControl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sz w:val="32"/>
          <w:szCs w:val="32"/>
        </w:rPr>
      </w:pPr>
      <w:bookmarkStart w:id="38" w:name="_Toc33795807"/>
      <w:bookmarkStart w:id="39" w:name="_Toc8518"/>
      <w:bookmarkStart w:id="40" w:name="_Toc9481"/>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审采用综合评估法，详见附表。</w:t>
      </w:r>
    </w:p>
    <w:p w14:paraId="15592664">
      <w:pPr>
        <w:pStyle w:val="4"/>
        <w:keepNext w:val="0"/>
        <w:keepLines w:val="0"/>
        <w:pageBreakBefore w:val="0"/>
        <w:widowControl w:val="0"/>
        <w:kinsoku/>
        <w:wordWrap/>
        <w:overflowPunct w:val="0"/>
        <w:topLinePunct w:val="0"/>
        <w:autoSpaceDE/>
        <w:autoSpaceDN/>
        <w:bidi w:val="0"/>
        <w:adjustRightInd/>
        <w:snapToGrid/>
        <w:spacing w:before="0" w:after="0" w:line="68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38"/>
      <w:bookmarkEnd w:id="39"/>
      <w:bookmarkEnd w:id="40"/>
    </w:p>
    <w:p w14:paraId="4D803931">
      <w:pPr>
        <w:pStyle w:val="5"/>
        <w:keepNext w:val="0"/>
        <w:keepLines w:val="0"/>
        <w:pageBreakBefore w:val="0"/>
        <w:widowControl w:val="0"/>
        <w:kinsoku/>
        <w:wordWrap/>
        <w:overflowPunct w:val="0"/>
        <w:topLinePunct w:val="0"/>
        <w:autoSpaceDE/>
        <w:autoSpaceDN/>
        <w:bidi w:val="0"/>
        <w:adjustRightInd/>
        <w:snapToGrid/>
        <w:spacing w:before="0" w:after="0" w:line="680" w:lineRule="exact"/>
        <w:ind w:left="0" w:leftChars="0" w:firstLine="320" w:firstLineChars="100"/>
        <w:jc w:val="both"/>
        <w:textAlignment w:val="auto"/>
        <w:rPr>
          <w:rFonts w:hint="eastAsia" w:ascii="仿宋" w:hAnsi="仿宋" w:eastAsia="仿宋" w:cs="仿宋"/>
          <w:color w:val="auto"/>
          <w:sz w:val="32"/>
          <w:szCs w:val="32"/>
        </w:rPr>
      </w:pPr>
      <w:bookmarkStart w:id="41" w:name="_Toc33795808"/>
      <w:bookmarkStart w:id="42" w:name="_Toc21093"/>
      <w:bookmarkStart w:id="43" w:name="_Toc30852"/>
      <w:bookmarkStart w:id="44"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41"/>
      <w:bookmarkEnd w:id="42"/>
      <w:bookmarkEnd w:id="43"/>
      <w:bookmarkEnd w:id="44"/>
    </w:p>
    <w:p w14:paraId="4CD35D48">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textAlignment w:val="auto"/>
        <w:rPr>
          <w:rFonts w:ascii="仿宋" w:hAnsi="仿宋" w:eastAsia="仿宋" w:cs="仿宋"/>
          <w:sz w:val="32"/>
          <w:szCs w:val="32"/>
        </w:rPr>
      </w:pPr>
      <w:bookmarkStart w:id="45" w:name="_Toc19079"/>
      <w:bookmarkStart w:id="46" w:name="_Toc7018"/>
      <w:bookmarkStart w:id="47" w:name="_Toc33795809"/>
      <w:bookmarkStart w:id="48" w:name="_Toc10372"/>
      <w:r>
        <w:rPr>
          <w:rFonts w:hint="eastAsia" w:ascii="仿宋" w:hAnsi="仿宋" w:eastAsia="仿宋" w:cs="仿宋"/>
          <w:sz w:val="32"/>
          <w:szCs w:val="32"/>
        </w:rPr>
        <w:t>在陕西锌业有限公司网络采购平台www.sxxyjjpt.com公示成交候选人，公示期不少于3天。</w:t>
      </w:r>
    </w:p>
    <w:p w14:paraId="2B22E065">
      <w:pPr>
        <w:pStyle w:val="5"/>
        <w:keepNext w:val="0"/>
        <w:keepLines w:val="0"/>
        <w:pageBreakBefore w:val="0"/>
        <w:widowControl w:val="0"/>
        <w:kinsoku/>
        <w:wordWrap/>
        <w:overflowPunct w:val="0"/>
        <w:topLinePunct w:val="0"/>
        <w:autoSpaceDE/>
        <w:autoSpaceDN/>
        <w:bidi w:val="0"/>
        <w:adjustRightInd/>
        <w:snapToGrid/>
        <w:spacing w:before="0" w:after="0" w:line="6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45"/>
      <w:bookmarkEnd w:id="46"/>
      <w:bookmarkEnd w:id="47"/>
      <w:bookmarkEnd w:id="48"/>
    </w:p>
    <w:p w14:paraId="08CCEB16">
      <w:pPr>
        <w:keepNext w:val="0"/>
        <w:keepLines w:val="0"/>
        <w:pageBreakBefore w:val="0"/>
        <w:widowControl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49" w:name="_Toc152042337"/>
      <w:bookmarkStart w:id="50" w:name="_Toc384308243"/>
      <w:bookmarkStart w:id="51" w:name="_Toc247527586"/>
      <w:bookmarkStart w:id="52" w:name="_Toc369531549"/>
      <w:bookmarkStart w:id="53" w:name="_Toc152045561"/>
      <w:bookmarkStart w:id="54" w:name="_Toc30095"/>
      <w:bookmarkStart w:id="55" w:name="_Toc352691505"/>
      <w:bookmarkStart w:id="56" w:name="_Toc247513985"/>
      <w:bookmarkStart w:id="57" w:name="_Toc361508618"/>
      <w:bookmarkStart w:id="58" w:name="_Toc144974529"/>
      <w:bookmarkStart w:id="59" w:name="_Toc300834982"/>
      <w:r>
        <w:rPr>
          <w:rFonts w:hint="eastAsia" w:ascii="仿宋" w:hAnsi="仿宋" w:eastAsia="仿宋" w:cs="仿宋"/>
          <w:color w:val="auto"/>
          <w:sz w:val="32"/>
          <w:szCs w:val="32"/>
        </w:rPr>
        <w:t>害关系人对</w:t>
      </w:r>
      <w:bookmarkEnd w:id="49"/>
      <w:bookmarkEnd w:id="50"/>
      <w:bookmarkEnd w:id="51"/>
      <w:bookmarkEnd w:id="52"/>
      <w:bookmarkEnd w:id="53"/>
      <w:bookmarkEnd w:id="54"/>
      <w:bookmarkEnd w:id="55"/>
      <w:bookmarkEnd w:id="56"/>
      <w:bookmarkEnd w:id="57"/>
      <w:bookmarkEnd w:id="58"/>
      <w:bookmarkEnd w:id="59"/>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5"/>
        <w:keepNext w:val="0"/>
        <w:keepLines w:val="0"/>
        <w:pageBreakBefore w:val="0"/>
        <w:widowControl w:val="0"/>
        <w:kinsoku/>
        <w:wordWrap/>
        <w:overflowPunct w:val="0"/>
        <w:topLinePunct w:val="0"/>
        <w:autoSpaceDE/>
        <w:autoSpaceDN/>
        <w:bidi w:val="0"/>
        <w:adjustRightInd/>
        <w:snapToGrid/>
        <w:spacing w:before="0" w:after="0" w:line="680" w:lineRule="exact"/>
        <w:ind w:left="0" w:leftChars="0" w:firstLine="320" w:firstLineChars="100"/>
        <w:jc w:val="both"/>
        <w:textAlignment w:val="auto"/>
        <w:rPr>
          <w:rFonts w:hint="eastAsia" w:ascii="仿宋" w:hAnsi="仿宋" w:eastAsia="仿宋" w:cs="仿宋"/>
          <w:color w:val="auto"/>
          <w:sz w:val="32"/>
          <w:szCs w:val="32"/>
        </w:rPr>
      </w:pPr>
      <w:bookmarkStart w:id="60" w:name="_Toc25590"/>
      <w:bookmarkStart w:id="61" w:name="_Toc21648"/>
      <w:bookmarkStart w:id="62" w:name="_Toc28756"/>
      <w:bookmarkStart w:id="63"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60"/>
      <w:bookmarkEnd w:id="61"/>
      <w:bookmarkEnd w:id="62"/>
      <w:bookmarkEnd w:id="63"/>
    </w:p>
    <w:p w14:paraId="000B4836">
      <w:pPr>
        <w:keepNext w:val="0"/>
        <w:keepLines w:val="0"/>
        <w:pageBreakBefore w:val="0"/>
        <w:widowControl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5"/>
        <w:keepNext w:val="0"/>
        <w:keepLines w:val="0"/>
        <w:pageBreakBefore w:val="0"/>
        <w:widowControl w:val="0"/>
        <w:kinsoku/>
        <w:wordWrap/>
        <w:overflowPunct w:val="0"/>
        <w:topLinePunct w:val="0"/>
        <w:autoSpaceDE/>
        <w:autoSpaceDN/>
        <w:bidi w:val="0"/>
        <w:adjustRightInd/>
        <w:snapToGrid/>
        <w:spacing w:before="0" w:after="0" w:line="680" w:lineRule="exact"/>
        <w:ind w:left="0" w:leftChars="0" w:firstLine="320" w:firstLineChars="100"/>
        <w:jc w:val="both"/>
        <w:textAlignment w:val="auto"/>
        <w:rPr>
          <w:rFonts w:hint="eastAsia" w:ascii="仿宋" w:hAnsi="仿宋" w:eastAsia="仿宋" w:cs="仿宋"/>
          <w:color w:val="auto"/>
          <w:sz w:val="32"/>
          <w:szCs w:val="32"/>
          <w:lang w:val="en-US"/>
        </w:rPr>
      </w:pPr>
      <w:bookmarkStart w:id="64" w:name="_Toc24665"/>
      <w:bookmarkStart w:id="65" w:name="_Toc2191"/>
      <w:bookmarkStart w:id="66" w:name="_Toc19470"/>
      <w:bookmarkStart w:id="67"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64"/>
      <w:bookmarkEnd w:id="65"/>
      <w:bookmarkEnd w:id="66"/>
      <w:bookmarkEnd w:id="67"/>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BA626B3">
      <w:pPr>
        <w:pStyle w:val="5"/>
        <w:keepNext w:val="0"/>
        <w:keepLines w:val="0"/>
        <w:pageBreakBefore w:val="0"/>
        <w:widowControl w:val="0"/>
        <w:kinsoku/>
        <w:wordWrap/>
        <w:overflowPunct w:val="0"/>
        <w:topLinePunct w:val="0"/>
        <w:autoSpaceDE/>
        <w:autoSpaceDN/>
        <w:bidi w:val="0"/>
        <w:adjustRightInd/>
        <w:snapToGrid/>
        <w:spacing w:before="0" w:after="0" w:line="680" w:lineRule="exact"/>
        <w:jc w:val="both"/>
        <w:textAlignment w:val="auto"/>
        <w:rPr>
          <w:rFonts w:hint="eastAsia" w:ascii="仿宋" w:hAnsi="仿宋" w:eastAsia="仿宋" w:cs="仿宋"/>
          <w:color w:val="auto"/>
          <w:sz w:val="32"/>
          <w:szCs w:val="32"/>
        </w:rPr>
      </w:pPr>
      <w:bookmarkStart w:id="68" w:name="_Toc33795814"/>
      <w:bookmarkStart w:id="69" w:name="_Toc3671"/>
      <w:bookmarkStart w:id="70" w:name="_Toc11183"/>
      <w:bookmarkStart w:id="71" w:name="_Toc1436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68"/>
      <w:bookmarkEnd w:id="69"/>
      <w:bookmarkEnd w:id="70"/>
      <w:bookmarkEnd w:id="71"/>
    </w:p>
    <w:p w14:paraId="763C6EF8">
      <w:pPr>
        <w:keepNext w:val="0"/>
        <w:keepLines w:val="0"/>
        <w:pageBreakBefore w:val="0"/>
        <w:widowControl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sz w:val="32"/>
          <w:szCs w:val="32"/>
        </w:rPr>
      </w:pPr>
      <w:bookmarkStart w:id="72" w:name="_Toc361508627"/>
      <w:bookmarkStart w:id="73" w:name="_Toc384308252"/>
      <w:bookmarkStart w:id="74" w:name="_Toc24067"/>
      <w:bookmarkStart w:id="75" w:name="_Toc144974536"/>
      <w:bookmarkStart w:id="76" w:name="_Toc247527593"/>
      <w:bookmarkStart w:id="77" w:name="_Toc152042344"/>
      <w:bookmarkStart w:id="78" w:name="_Toc152045568"/>
      <w:bookmarkStart w:id="79" w:name="_Toc300834991"/>
      <w:bookmarkStart w:id="80" w:name="_Toc24751399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w:t>
      </w:r>
      <w:r>
        <w:rPr>
          <w:rFonts w:hint="eastAsia" w:ascii="仿宋" w:hAnsi="仿宋" w:eastAsia="仿宋" w:cs="仿宋"/>
          <w:color w:val="auto"/>
          <w:sz w:val="32"/>
          <w:szCs w:val="32"/>
          <w:lang w:val="en-US" w:eastAsia="zh-CN"/>
        </w:rPr>
        <w:t>收到成交</w:t>
      </w:r>
      <w:r>
        <w:rPr>
          <w:rFonts w:hint="eastAsia" w:ascii="仿宋" w:hAnsi="仿宋" w:eastAsia="仿宋" w:cs="仿宋"/>
          <w:color w:val="auto"/>
          <w:sz w:val="32"/>
          <w:szCs w:val="32"/>
        </w:rPr>
        <w:t>通知之日起</w:t>
      </w:r>
      <w:bookmarkStart w:id="81" w:name="_Toc4656"/>
      <w:bookmarkStart w:id="82" w:name="_Toc369531553"/>
      <w:bookmarkStart w:id="83" w:name="_Toc361508622"/>
      <w:bookmarkStart w:id="84" w:name="_Toc152042340"/>
      <w:bookmarkStart w:id="85" w:name="_Toc152045564"/>
      <w:bookmarkStart w:id="86" w:name="_Toc352691509"/>
      <w:bookmarkStart w:id="87" w:name="_Toc144974532"/>
      <w:bookmarkStart w:id="88" w:name="_Toc247527589"/>
      <w:bookmarkStart w:id="89" w:name="_Toc300834986"/>
      <w:bookmarkStart w:id="90" w:name="_Toc384308247"/>
      <w:bookmarkStart w:id="91"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81"/>
      <w:bookmarkEnd w:id="82"/>
      <w:bookmarkEnd w:id="83"/>
      <w:bookmarkEnd w:id="84"/>
      <w:bookmarkEnd w:id="85"/>
      <w:bookmarkEnd w:id="86"/>
      <w:bookmarkEnd w:id="87"/>
      <w:bookmarkEnd w:id="88"/>
      <w:bookmarkEnd w:id="89"/>
      <w:bookmarkEnd w:id="90"/>
      <w:bookmarkEnd w:id="91"/>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92" w:name="_Toc361508623"/>
      <w:bookmarkStart w:id="93" w:name="_Toc369531554"/>
      <w:bookmarkStart w:id="94" w:name="_Toc352691510"/>
      <w:bookmarkStart w:id="95" w:name="_Toc300834987"/>
      <w:bookmarkStart w:id="96" w:name="_Toc144974533"/>
      <w:bookmarkStart w:id="97" w:name="_Toc152045565"/>
      <w:bookmarkStart w:id="98" w:name="_Toc247513989"/>
      <w:bookmarkStart w:id="99" w:name="_Toc384308248"/>
      <w:bookmarkStart w:id="100" w:name="_Toc247527590"/>
      <w:bookmarkStart w:id="101" w:name="_Toc152042341"/>
      <w:bookmarkStart w:id="102" w:name="_Toc18247"/>
      <w:r>
        <w:rPr>
          <w:rFonts w:hint="eastAsia" w:ascii="仿宋" w:hAnsi="仿宋" w:eastAsia="仿宋" w:cs="仿宋"/>
          <w:color w:val="auto"/>
          <w:sz w:val="32"/>
          <w:szCs w:val="32"/>
        </w:rPr>
        <w:t>当理由拒签合</w:t>
      </w:r>
      <w:bookmarkEnd w:id="92"/>
      <w:bookmarkEnd w:id="93"/>
      <w:bookmarkEnd w:id="94"/>
      <w:bookmarkEnd w:id="95"/>
      <w:bookmarkEnd w:id="96"/>
      <w:bookmarkEnd w:id="97"/>
      <w:bookmarkEnd w:id="98"/>
      <w:bookmarkEnd w:id="99"/>
      <w:bookmarkEnd w:id="100"/>
      <w:bookmarkEnd w:id="101"/>
      <w:bookmarkEnd w:id="102"/>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0AFD138">
      <w:pPr>
        <w:keepNext w:val="0"/>
        <w:keepLines w:val="0"/>
        <w:pageBreakBefore w:val="0"/>
        <w:widowControl w:val="0"/>
        <w:kinsoku/>
        <w:wordWrap/>
        <w:overflowPunct w:val="0"/>
        <w:topLinePunct w:val="0"/>
        <w:autoSpaceDE/>
        <w:autoSpaceDN/>
        <w:bidi w:val="0"/>
        <w:adjustRightInd/>
        <w:snapToGrid/>
        <w:spacing w:line="6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p>
    <w:bookmarkEnd w:id="72"/>
    <w:bookmarkEnd w:id="73"/>
    <w:bookmarkEnd w:id="74"/>
    <w:p w14:paraId="14AA1C27">
      <w:pPr>
        <w:pStyle w:val="4"/>
        <w:keepNext w:val="0"/>
        <w:keepLines w:val="0"/>
        <w:pageBreakBefore w:val="0"/>
        <w:widowControl w:val="0"/>
        <w:kinsoku/>
        <w:wordWrap/>
        <w:overflowPunct w:val="0"/>
        <w:topLinePunct w:val="0"/>
        <w:autoSpaceDE/>
        <w:autoSpaceDN/>
        <w:bidi w:val="0"/>
        <w:adjustRightInd/>
        <w:snapToGrid/>
        <w:spacing w:before="0" w:after="0" w:line="660" w:lineRule="exact"/>
        <w:ind w:left="0" w:firstLine="643" w:firstLineChars="200"/>
        <w:jc w:val="both"/>
        <w:textAlignment w:val="auto"/>
        <w:rPr>
          <w:rFonts w:hint="eastAsia" w:ascii="仿宋" w:hAnsi="仿宋" w:eastAsia="仿宋" w:cs="仿宋"/>
          <w:color w:val="auto"/>
          <w:sz w:val="32"/>
          <w:szCs w:val="32"/>
        </w:rPr>
      </w:pPr>
      <w:bookmarkStart w:id="103" w:name="_Toc25347"/>
      <w:bookmarkStart w:id="104" w:name="_Toc33795815"/>
      <w:bookmarkStart w:id="10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03"/>
      <w:bookmarkEnd w:id="104"/>
      <w:bookmarkEnd w:id="105"/>
    </w:p>
    <w:p w14:paraId="53CAF616">
      <w:pPr>
        <w:keepNext w:val="0"/>
        <w:keepLines w:val="0"/>
        <w:pageBreakBefore w:val="0"/>
        <w:widowControl w:val="0"/>
        <w:kinsoku/>
        <w:wordWrap/>
        <w:overflowPunct w:val="0"/>
        <w:topLinePunct w:val="0"/>
        <w:autoSpaceDE/>
        <w:autoSpaceDN/>
        <w:bidi w:val="0"/>
        <w:adjustRightInd/>
        <w:snapToGrid/>
        <w:spacing w:line="6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line="6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06" w:name="_Toc384308253"/>
      <w:bookmarkStart w:id="107" w:name="_Toc352691515"/>
      <w:bookmarkStart w:id="108" w:name="_Toc369531559"/>
      <w:bookmarkStart w:id="109" w:name="_Toc361508628"/>
      <w:bookmarkStart w:id="110" w:name="_Toc13644"/>
      <w:r>
        <w:rPr>
          <w:rFonts w:hint="eastAsia" w:ascii="仿宋" w:hAnsi="仿宋" w:eastAsia="仿宋" w:cs="仿宋"/>
          <w:color w:val="auto"/>
          <w:sz w:val="32"/>
          <w:szCs w:val="32"/>
        </w:rPr>
        <w:t>和比较、</w:t>
      </w:r>
      <w:bookmarkEnd w:id="75"/>
      <w:bookmarkEnd w:id="76"/>
      <w:bookmarkEnd w:id="77"/>
      <w:bookmarkEnd w:id="78"/>
      <w:bookmarkEnd w:id="79"/>
      <w:bookmarkEnd w:id="80"/>
      <w:bookmarkEnd w:id="106"/>
      <w:bookmarkEnd w:id="107"/>
      <w:bookmarkEnd w:id="108"/>
      <w:bookmarkEnd w:id="109"/>
      <w:bookmarkEnd w:id="11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5"/>
        <w:keepNext w:val="0"/>
        <w:keepLines w:val="0"/>
        <w:pageBreakBefore w:val="0"/>
        <w:widowControl w:val="0"/>
        <w:numPr>
          <w:ilvl w:val="0"/>
          <w:numId w:val="0"/>
        </w:numPr>
        <w:kinsoku/>
        <w:wordWrap/>
        <w:overflowPunct w:val="0"/>
        <w:topLinePunct w:val="0"/>
        <w:autoSpaceDE/>
        <w:autoSpaceDN/>
        <w:bidi w:val="0"/>
        <w:adjustRightInd/>
        <w:snapToGrid/>
        <w:spacing w:before="0" w:after="0" w:line="660" w:lineRule="exact"/>
        <w:ind w:left="0" w:firstLine="640" w:firstLineChars="200"/>
        <w:jc w:val="both"/>
        <w:textAlignment w:val="auto"/>
        <w:rPr>
          <w:rFonts w:hint="eastAsia" w:ascii="仿宋" w:hAnsi="仿宋" w:eastAsia="仿宋" w:cs="仿宋"/>
          <w:color w:val="auto"/>
          <w:sz w:val="32"/>
          <w:szCs w:val="32"/>
        </w:rPr>
      </w:pPr>
      <w:bookmarkStart w:id="111" w:name="_Toc33795820"/>
      <w:bookmarkStart w:id="112" w:name="_Toc22294"/>
      <w:bookmarkStart w:id="113" w:name="_Toc18070"/>
      <w:bookmarkStart w:id="114" w:name="_Toc24957"/>
      <w:r>
        <w:rPr>
          <w:rFonts w:hint="eastAsia" w:ascii="仿宋" w:hAnsi="仿宋" w:eastAsia="仿宋" w:cs="仿宋"/>
          <w:color w:val="auto"/>
          <w:sz w:val="32"/>
          <w:szCs w:val="32"/>
          <w:lang w:val="en-US" w:eastAsia="zh-CN"/>
        </w:rPr>
        <w:t>（三）异议</w:t>
      </w:r>
      <w:bookmarkEnd w:id="111"/>
      <w:bookmarkEnd w:id="112"/>
      <w:bookmarkEnd w:id="113"/>
      <w:bookmarkEnd w:id="114"/>
    </w:p>
    <w:p w14:paraId="103D7F6A">
      <w:pPr>
        <w:keepNext w:val="0"/>
        <w:keepLines w:val="0"/>
        <w:pageBreakBefore w:val="0"/>
        <w:widowControl w:val="0"/>
        <w:suppressLineNumbers w:val="0"/>
        <w:kinsoku/>
        <w:wordWrap/>
        <w:overflowPunct w:val="0"/>
        <w:topLinePunct w:val="0"/>
        <w:autoSpaceDE/>
        <w:autoSpaceDN/>
        <w:bidi w:val="0"/>
        <w:adjustRightInd/>
        <w:snapToGrid/>
        <w:spacing w:line="6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6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6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19FA1E9">
      <w:pPr>
        <w:keepNext w:val="0"/>
        <w:keepLines w:val="0"/>
        <w:pageBreakBefore w:val="0"/>
        <w:widowControl w:val="0"/>
        <w:suppressLineNumbers w:val="0"/>
        <w:kinsoku/>
        <w:wordWrap/>
        <w:overflowPunct w:val="0"/>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p>
    <w:p w14:paraId="455FE824">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4160" w:firstLineChars="1300"/>
        <w:jc w:val="both"/>
        <w:textAlignment w:val="auto"/>
        <w:rPr>
          <w:rFonts w:hint="eastAsia" w:ascii="仿宋" w:hAnsi="仿宋" w:eastAsia="仿宋" w:cs="仿宋"/>
          <w:b w:val="0"/>
          <w:bCs w:val="0"/>
          <w:color w:val="auto"/>
          <w:sz w:val="32"/>
          <w:szCs w:val="32"/>
          <w:lang w:val="en-US" w:eastAsia="zh-CN"/>
        </w:rPr>
      </w:pPr>
    </w:p>
    <w:p w14:paraId="13953D8F">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4160" w:firstLineChars="1300"/>
        <w:jc w:val="both"/>
        <w:textAlignment w:val="auto"/>
        <w:rPr>
          <w:rFonts w:hint="eastAsia" w:ascii="仿宋" w:hAnsi="仿宋" w:eastAsia="仿宋" w:cs="仿宋"/>
          <w:b w:val="0"/>
          <w:bCs w:val="0"/>
          <w:color w:val="auto"/>
          <w:sz w:val="32"/>
          <w:szCs w:val="32"/>
          <w:lang w:val="en-US" w:eastAsia="zh-CN"/>
        </w:rPr>
      </w:pPr>
    </w:p>
    <w:p w14:paraId="79AF2A6D">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4160" w:firstLineChars="1300"/>
        <w:jc w:val="both"/>
        <w:textAlignment w:val="auto"/>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4160" w:firstLineChars="13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adjustRightInd/>
        <w:snapToGrid/>
        <w:spacing w:line="560" w:lineRule="exact"/>
        <w:ind w:firstLine="4160" w:firstLineChars="1300"/>
        <w:jc w:val="both"/>
        <w:textAlignment w:val="auto"/>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2025年09月19日</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5B4F6B-A89E-4F76-9E1E-E8834FE82A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476FD7F-8322-4B61-BF17-F12EDF751138}"/>
  </w:font>
  <w:font w:name="楷体_GB2312">
    <w:altName w:val="楷体"/>
    <w:panose1 w:val="02010609030101010101"/>
    <w:charset w:val="86"/>
    <w:family w:val="modern"/>
    <w:pitch w:val="default"/>
    <w:sig w:usb0="00000000" w:usb1="00000000" w:usb2="00000010" w:usb3="00000000" w:csb0="00040000" w:csb1="00000000"/>
    <w:embedRegular r:id="rId3" w:fontKey="{AC8CBD14-A380-4191-814C-5EB49327F89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240E9F19-F6A3-4BAA-B4D4-935AFA8810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4683B1B"/>
    <w:rsid w:val="048C6A72"/>
    <w:rsid w:val="051379D8"/>
    <w:rsid w:val="05814B03"/>
    <w:rsid w:val="05BE40FB"/>
    <w:rsid w:val="06141C07"/>
    <w:rsid w:val="076A5F83"/>
    <w:rsid w:val="07720B9B"/>
    <w:rsid w:val="08D00E36"/>
    <w:rsid w:val="0AA3355A"/>
    <w:rsid w:val="0B0A4D8C"/>
    <w:rsid w:val="0CAF4DC4"/>
    <w:rsid w:val="0FE27EE9"/>
    <w:rsid w:val="102F1EF5"/>
    <w:rsid w:val="106F0166"/>
    <w:rsid w:val="11020FDA"/>
    <w:rsid w:val="114161E7"/>
    <w:rsid w:val="1200795A"/>
    <w:rsid w:val="130628D8"/>
    <w:rsid w:val="14F74BCE"/>
    <w:rsid w:val="14F90946"/>
    <w:rsid w:val="14FD19B0"/>
    <w:rsid w:val="15350822"/>
    <w:rsid w:val="154E33F9"/>
    <w:rsid w:val="17725CE9"/>
    <w:rsid w:val="19B65298"/>
    <w:rsid w:val="19BF0744"/>
    <w:rsid w:val="19BF485E"/>
    <w:rsid w:val="19EF056A"/>
    <w:rsid w:val="1AEC4493"/>
    <w:rsid w:val="1B177D78"/>
    <w:rsid w:val="1DA8115B"/>
    <w:rsid w:val="1DB27CC5"/>
    <w:rsid w:val="1DD30B53"/>
    <w:rsid w:val="1E1E31CB"/>
    <w:rsid w:val="1E34479D"/>
    <w:rsid w:val="1F7A08D5"/>
    <w:rsid w:val="207E073E"/>
    <w:rsid w:val="21834158"/>
    <w:rsid w:val="220426D8"/>
    <w:rsid w:val="22F5715A"/>
    <w:rsid w:val="23243032"/>
    <w:rsid w:val="23BA5744"/>
    <w:rsid w:val="241430A6"/>
    <w:rsid w:val="2452597D"/>
    <w:rsid w:val="257B5469"/>
    <w:rsid w:val="257B685F"/>
    <w:rsid w:val="27CC3C98"/>
    <w:rsid w:val="297D7484"/>
    <w:rsid w:val="2A2E0C3A"/>
    <w:rsid w:val="2A4B3DED"/>
    <w:rsid w:val="2BF61145"/>
    <w:rsid w:val="2BF72AD0"/>
    <w:rsid w:val="2D331C6F"/>
    <w:rsid w:val="2DE05E9B"/>
    <w:rsid w:val="2E033918"/>
    <w:rsid w:val="2EA4771D"/>
    <w:rsid w:val="31832E12"/>
    <w:rsid w:val="322A1CE7"/>
    <w:rsid w:val="32A1627D"/>
    <w:rsid w:val="33260700"/>
    <w:rsid w:val="333C7F24"/>
    <w:rsid w:val="333D3C9C"/>
    <w:rsid w:val="339B5162"/>
    <w:rsid w:val="34DF16EF"/>
    <w:rsid w:val="354E1250"/>
    <w:rsid w:val="358E6037"/>
    <w:rsid w:val="36C26992"/>
    <w:rsid w:val="37991DE9"/>
    <w:rsid w:val="38C369F1"/>
    <w:rsid w:val="39974106"/>
    <w:rsid w:val="3A3A65D2"/>
    <w:rsid w:val="3A561988"/>
    <w:rsid w:val="3BFF184D"/>
    <w:rsid w:val="3CB63F34"/>
    <w:rsid w:val="3CC835F1"/>
    <w:rsid w:val="3CEB6517"/>
    <w:rsid w:val="3CFB6595"/>
    <w:rsid w:val="3CFD6BB7"/>
    <w:rsid w:val="3D171036"/>
    <w:rsid w:val="3D34475C"/>
    <w:rsid w:val="3E3C01FF"/>
    <w:rsid w:val="3F2D1BEF"/>
    <w:rsid w:val="3FE9293F"/>
    <w:rsid w:val="405A4224"/>
    <w:rsid w:val="427A5715"/>
    <w:rsid w:val="433C5D1E"/>
    <w:rsid w:val="44093E52"/>
    <w:rsid w:val="44107006"/>
    <w:rsid w:val="44920CB0"/>
    <w:rsid w:val="45726E52"/>
    <w:rsid w:val="45A00D58"/>
    <w:rsid w:val="460F14C8"/>
    <w:rsid w:val="46637C62"/>
    <w:rsid w:val="46933C70"/>
    <w:rsid w:val="485F64AC"/>
    <w:rsid w:val="4B896DF6"/>
    <w:rsid w:val="4CB27A82"/>
    <w:rsid w:val="4CD03E45"/>
    <w:rsid w:val="4D66647C"/>
    <w:rsid w:val="4E1D7C90"/>
    <w:rsid w:val="4E6A0438"/>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2261C1B"/>
    <w:rsid w:val="6483301F"/>
    <w:rsid w:val="64B22605"/>
    <w:rsid w:val="661E50E3"/>
    <w:rsid w:val="66452F0C"/>
    <w:rsid w:val="6667362D"/>
    <w:rsid w:val="671D4BFD"/>
    <w:rsid w:val="672C3830"/>
    <w:rsid w:val="67EE0E11"/>
    <w:rsid w:val="68365066"/>
    <w:rsid w:val="68FE0F77"/>
    <w:rsid w:val="69B729ED"/>
    <w:rsid w:val="69E314DA"/>
    <w:rsid w:val="69F446AA"/>
    <w:rsid w:val="6A445335"/>
    <w:rsid w:val="6BD87931"/>
    <w:rsid w:val="6C2347F8"/>
    <w:rsid w:val="6CCD1611"/>
    <w:rsid w:val="6CE26D5D"/>
    <w:rsid w:val="6D5A3C88"/>
    <w:rsid w:val="6DB30807"/>
    <w:rsid w:val="6E880895"/>
    <w:rsid w:val="6F4D07E7"/>
    <w:rsid w:val="7015517E"/>
    <w:rsid w:val="703561B0"/>
    <w:rsid w:val="70626755"/>
    <w:rsid w:val="707458D8"/>
    <w:rsid w:val="72E3289C"/>
    <w:rsid w:val="736305DA"/>
    <w:rsid w:val="74F87447"/>
    <w:rsid w:val="7530098F"/>
    <w:rsid w:val="76987E92"/>
    <w:rsid w:val="7AEE7323"/>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2">
    <w:name w:val="heading 4"/>
    <w:basedOn w:val="1"/>
    <w:next w:val="1"/>
    <w:qFormat/>
    <w:uiPriority w:val="0"/>
    <w:pPr>
      <w:keepNext/>
      <w:keepLines/>
      <w:tabs>
        <w:tab w:val="left" w:pos="992"/>
      </w:tabs>
      <w:adjustRightInd w:val="0"/>
      <w:spacing w:before="280" w:beforeLines="0" w:after="290" w:afterLines="0" w:line="376" w:lineRule="atLeast"/>
      <w:ind w:left="992" w:hanging="992"/>
      <w:jc w:val="left"/>
      <w:textAlignment w:val="baseline"/>
      <w:outlineLvl w:val="3"/>
    </w:pPr>
    <w:rPr>
      <w:rFonts w:ascii="Arial" w:hAnsi="Arial" w:eastAsia="黑体"/>
      <w:b/>
      <w:sz w:val="28"/>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2105</Words>
  <Characters>2280</Characters>
  <Lines>0</Lines>
  <Paragraphs>0</Paragraphs>
  <TotalTime>23</TotalTime>
  <ScaleCrop>false</ScaleCrop>
  <LinksUpToDate>false</LinksUpToDate>
  <CharactersWithSpaces>2320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2025-09-19T08:29:00Z</cp:lastPrinted>
  <dcterms:modified xsi:type="dcterms:W3CDTF">2025-09-19T09:02:25Z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