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XB20250923-01</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bookmarkStart w:id="207" w:name="_GoBack"/>
      <w:bookmarkEnd w:id="207"/>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4C52E634">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2025年9月份硫酸车间储气罐等</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九月二十三日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pageBreakBefore w:val="0"/>
        <w:widowControl/>
        <w:suppressLineNumbers w:val="0"/>
        <w:kinsoku/>
        <w:wordWrap/>
        <w:topLinePunct w:val="0"/>
        <w:autoSpaceDE/>
        <w:autoSpaceDN/>
        <w:bidi w:val="0"/>
        <w:snapToGrid/>
        <w:spacing w:before="0" w:beforeAutospacing="0" w:after="0" w:afterAutospacing="0" w:line="380" w:lineRule="exac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C7B73AE">
      <w:pPr>
        <w:pStyle w:val="8"/>
        <w:keepNext w:val="0"/>
        <w:keepLines w:val="0"/>
        <w:pageBreakBefore w:val="0"/>
        <w:widowControl/>
        <w:suppressLineNumbers w:val="0"/>
        <w:kinsoku/>
        <w:wordWrap/>
        <w:topLinePunct w:val="0"/>
        <w:autoSpaceDE/>
        <w:autoSpaceDN/>
        <w:bidi w:val="0"/>
        <w:snapToGrid/>
        <w:spacing w:before="0" w:beforeAutospacing="0" w:after="0" w:afterAutospacing="0" w:line="480" w:lineRule="exac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2025年9月份硫酸车间储气罐等采购项目</w:t>
      </w:r>
    </w:p>
    <w:p w14:paraId="3716104A">
      <w:pPr>
        <w:pStyle w:val="8"/>
        <w:keepNext w:val="0"/>
        <w:keepLines w:val="0"/>
        <w:pageBreakBefore w:val="0"/>
        <w:widowControl/>
        <w:suppressLineNumbers w:val="0"/>
        <w:kinsoku/>
        <w:wordWrap/>
        <w:topLinePunct w:val="0"/>
        <w:autoSpaceDE/>
        <w:autoSpaceDN/>
        <w:bidi w:val="0"/>
        <w:snapToGrid/>
        <w:spacing w:before="0" w:beforeAutospacing="0" w:after="0" w:afterAutospacing="0" w:line="480" w:lineRule="exac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36B74E8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储气罐等配件一批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480" w:lineRule="exact"/>
        <w:ind w:firstLine="643" w:firstLineChars="200"/>
        <w:jc w:val="both"/>
        <w:rPr>
          <w:rFonts w:hint="default" w:ascii="仿宋" w:hAnsi="仿宋" w:eastAsia="仿宋" w:cs="仿宋"/>
          <w:b/>
          <w:bCs/>
          <w:color w:val="auto"/>
          <w:sz w:val="32"/>
          <w:szCs w:val="32"/>
          <w:lang w:val="en-US"/>
        </w:rPr>
      </w:pPr>
      <w:bookmarkStart w:id="0" w:name="_Toc20230"/>
      <w:bookmarkStart w:id="1" w:name="_Toc4593"/>
      <w:bookmarkStart w:id="2" w:name="_Toc14440"/>
      <w:bookmarkStart w:id="3" w:name="_Toc33795775"/>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48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48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33795776"/>
      <w:bookmarkStart w:id="5" w:name="_Toc11471"/>
      <w:bookmarkStart w:id="6" w:name="_Toc7037"/>
      <w:bookmarkStart w:id="7" w:name="_Toc14565"/>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9月份硫酸车间储气罐等采购项目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pageBreakBefore w:val="0"/>
        <w:kinsoku/>
        <w:wordWrap/>
        <w:topLinePunct w:val="0"/>
        <w:autoSpaceDE/>
        <w:autoSpaceDN/>
        <w:bidi w:val="0"/>
        <w:snapToGrid/>
        <w:spacing w:line="48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9 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48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555CD9B0">
      <w:pPr>
        <w:pageBreakBefore w:val="0"/>
        <w:widowControl w:val="0"/>
        <w:kinsoku/>
        <w:wordWrap/>
        <w:overflowPunct/>
        <w:topLinePunct w:val="0"/>
        <w:autoSpaceDE/>
        <w:autoSpaceDN/>
        <w:bidi w:val="0"/>
        <w:snapToGrid/>
        <w:spacing w:line="48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652"/>
        <w:gridCol w:w="3135"/>
        <w:gridCol w:w="510"/>
        <w:gridCol w:w="503"/>
        <w:gridCol w:w="969"/>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652"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4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135"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10"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03"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9"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1BCD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5554992">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1652" w:type="dxa"/>
            <w:vAlign w:val="center"/>
          </w:tcPr>
          <w:p w14:paraId="11FB64D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储气罐</w:t>
            </w:r>
          </w:p>
        </w:tc>
        <w:tc>
          <w:tcPr>
            <w:tcW w:w="3135" w:type="dxa"/>
            <w:vAlign w:val="center"/>
          </w:tcPr>
          <w:p w14:paraId="2C717B6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容积3m³， 工作压力0.8MPa 介质：压缩空气，</w:t>
            </w:r>
            <w:r>
              <w:rPr>
                <w:rFonts w:hint="eastAsia" w:ascii="宋体" w:hAnsi="宋体" w:eastAsia="宋体" w:cs="宋体"/>
                <w:i w:val="0"/>
                <w:iCs w:val="0"/>
                <w:color w:val="000000"/>
                <w:kern w:val="0"/>
                <w:sz w:val="22"/>
                <w:szCs w:val="22"/>
                <w:u w:val="none"/>
                <w:lang w:val="en-US" w:eastAsia="zh-CN" w:bidi="ar"/>
              </w:rPr>
              <w:t>设计温度100</w:t>
            </w:r>
            <w:r>
              <w:rPr>
                <w:rFonts w:ascii="仿宋" w:hAnsi="仿宋" w:eastAsia="仿宋" w:cs="仿宋"/>
                <w:i w:val="0"/>
                <w:iCs w:val="0"/>
                <w:color w:val="000000"/>
                <w:kern w:val="0"/>
                <w:sz w:val="22"/>
                <w:szCs w:val="22"/>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，含安全阀（需带校验报告）、压力表、排污阀等附件。储气罐附随机出厂文件，包含产品质量证明书、合格证、数据表、制造监督检验证书等。供货单位负责办理安装告知等施工手续并提供施工资料</w:t>
            </w:r>
          </w:p>
        </w:tc>
        <w:tc>
          <w:tcPr>
            <w:tcW w:w="510" w:type="dxa"/>
            <w:vAlign w:val="center"/>
          </w:tcPr>
          <w:p w14:paraId="5A6AD4C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503" w:type="dxa"/>
            <w:vAlign w:val="center"/>
          </w:tcPr>
          <w:p w14:paraId="0CC0BE9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69" w:type="dxa"/>
            <w:vAlign w:val="center"/>
          </w:tcPr>
          <w:p w14:paraId="708085CA">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eastAsia="zh-CN"/>
              </w:rPr>
            </w:pPr>
          </w:p>
        </w:tc>
        <w:tc>
          <w:tcPr>
            <w:tcW w:w="1094" w:type="dxa"/>
            <w:vAlign w:val="center"/>
          </w:tcPr>
          <w:p w14:paraId="42611D0B">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68EB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shd w:val="clear"/>
            <w:vAlign w:val="center"/>
          </w:tcPr>
          <w:p w14:paraId="61BB17DB">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2</w:t>
            </w:r>
          </w:p>
        </w:tc>
        <w:tc>
          <w:tcPr>
            <w:tcW w:w="1652" w:type="dxa"/>
            <w:shd w:val="clear"/>
            <w:vAlign w:val="center"/>
          </w:tcPr>
          <w:p w14:paraId="74E507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盐酸储罐及计量器</w:t>
            </w:r>
          </w:p>
        </w:tc>
        <w:tc>
          <w:tcPr>
            <w:tcW w:w="3135" w:type="dxa"/>
            <w:vAlign w:val="center"/>
          </w:tcPr>
          <w:p w14:paraId="360E81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0" w:type="dxa"/>
            <w:vAlign w:val="center"/>
          </w:tcPr>
          <w:p w14:paraId="4AD1DA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03" w:type="dxa"/>
            <w:vAlign w:val="center"/>
          </w:tcPr>
          <w:p w14:paraId="36F175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9" w:type="dxa"/>
            <w:vAlign w:val="center"/>
          </w:tcPr>
          <w:p w14:paraId="7C9BAF0F">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eastAsia="zh-CN"/>
              </w:rPr>
            </w:pPr>
          </w:p>
        </w:tc>
        <w:tc>
          <w:tcPr>
            <w:tcW w:w="1094" w:type="dxa"/>
            <w:vAlign w:val="center"/>
          </w:tcPr>
          <w:p w14:paraId="1053FA69">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3936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AD2A5DC">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①</w:t>
            </w:r>
          </w:p>
        </w:tc>
        <w:tc>
          <w:tcPr>
            <w:tcW w:w="1652" w:type="dxa"/>
            <w:vAlign w:val="center"/>
          </w:tcPr>
          <w:p w14:paraId="589FA86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盐酸储罐</w:t>
            </w:r>
          </w:p>
        </w:tc>
        <w:tc>
          <w:tcPr>
            <w:tcW w:w="3135" w:type="dxa"/>
            <w:vAlign w:val="center"/>
          </w:tcPr>
          <w:p w14:paraId="3BE765D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 xml:space="preserve">Φ2500*2000 内衬聚四氟乙烯 盐酸浓度31%-35% 上盖密封带DN50法兰2个 侧装磁翻板液位计 侧壁带DN50法兰2个 盐酸储罐含安装 </w:t>
            </w:r>
          </w:p>
        </w:tc>
        <w:tc>
          <w:tcPr>
            <w:tcW w:w="510" w:type="dxa"/>
            <w:vAlign w:val="center"/>
          </w:tcPr>
          <w:p w14:paraId="3970E3F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503" w:type="dxa"/>
            <w:vAlign w:val="center"/>
          </w:tcPr>
          <w:p w14:paraId="0F3C797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69" w:type="dxa"/>
            <w:vAlign w:val="center"/>
          </w:tcPr>
          <w:p w14:paraId="0056A1CC">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0235D33B">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6D96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59" w:type="dxa"/>
            <w:vAlign w:val="center"/>
          </w:tcPr>
          <w:p w14:paraId="5CA75C3C">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②</w:t>
            </w:r>
          </w:p>
        </w:tc>
        <w:tc>
          <w:tcPr>
            <w:tcW w:w="1652" w:type="dxa"/>
            <w:vAlign w:val="center"/>
          </w:tcPr>
          <w:p w14:paraId="78F911D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盐酸计量器</w:t>
            </w:r>
          </w:p>
        </w:tc>
        <w:tc>
          <w:tcPr>
            <w:tcW w:w="3135" w:type="dxa"/>
            <w:vAlign w:val="center"/>
          </w:tcPr>
          <w:p w14:paraId="56EED8BF">
            <w:pPr>
              <w:keepNext w:val="0"/>
              <w:keepLines w:val="0"/>
              <w:widowControl/>
              <w:suppressLineNumbers w:val="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 xml:space="preserve">Φ1150*2100 内衬聚四氟乙烯 盐酸浓度31%-35%  带DN50法兰3个 侧装磁翻板液位计  与盐酸储罐对接 含安装校准 </w:t>
            </w:r>
          </w:p>
        </w:tc>
        <w:tc>
          <w:tcPr>
            <w:tcW w:w="510" w:type="dxa"/>
            <w:vAlign w:val="center"/>
          </w:tcPr>
          <w:p w14:paraId="7D6244D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503" w:type="dxa"/>
            <w:vAlign w:val="center"/>
          </w:tcPr>
          <w:p w14:paraId="3ACAA89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69" w:type="dxa"/>
            <w:vAlign w:val="center"/>
          </w:tcPr>
          <w:p w14:paraId="1F5B9E1D">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36203AB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2817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59" w:type="dxa"/>
            <w:vAlign w:val="center"/>
          </w:tcPr>
          <w:p w14:paraId="009A006A">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1652" w:type="dxa"/>
            <w:vAlign w:val="center"/>
          </w:tcPr>
          <w:p w14:paraId="1693450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盐酸酸雾吸收器</w:t>
            </w:r>
          </w:p>
        </w:tc>
        <w:tc>
          <w:tcPr>
            <w:tcW w:w="3135" w:type="dxa"/>
            <w:vAlign w:val="center"/>
          </w:tcPr>
          <w:p w14:paraId="67377533">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Φ500 盐酸浓度31%-35% 与盐酸储罐对接，附参考图2张</w:t>
            </w:r>
          </w:p>
        </w:tc>
        <w:tc>
          <w:tcPr>
            <w:tcW w:w="510" w:type="dxa"/>
            <w:vAlign w:val="center"/>
          </w:tcPr>
          <w:p w14:paraId="19987CC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503" w:type="dxa"/>
            <w:vAlign w:val="center"/>
          </w:tcPr>
          <w:p w14:paraId="117CCE4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969" w:type="dxa"/>
            <w:vAlign w:val="center"/>
          </w:tcPr>
          <w:p w14:paraId="129832F2">
            <w:pPr>
              <w:keepNext w:val="0"/>
              <w:keepLines w:val="0"/>
              <w:pageBreakBefore w:val="0"/>
              <w:widowControl w:val="0"/>
              <w:tabs>
                <w:tab w:val="left" w:pos="592"/>
              </w:tabs>
              <w:kinsoku/>
              <w:wordWrap/>
              <w:overflowPunct w:val="0"/>
              <w:topLinePunct w:val="0"/>
              <w:autoSpaceDE/>
              <w:autoSpaceDN/>
              <w:bidi w:val="0"/>
              <w:adjustRightInd w:val="0"/>
              <w:snapToGrid/>
              <w:spacing w:line="480" w:lineRule="exact"/>
              <w:jc w:val="left"/>
              <w:textAlignment w:val="baseline"/>
              <w:rPr>
                <w:rFonts w:hint="eastAsia" w:ascii="宋体" w:hAnsi="宋体" w:eastAsia="宋体" w:cs="宋体"/>
                <w:color w:val="auto"/>
                <w:sz w:val="21"/>
                <w:szCs w:val="21"/>
                <w:highlight w:val="none"/>
                <w:lang w:eastAsia="zh-CN"/>
              </w:rPr>
            </w:pPr>
          </w:p>
        </w:tc>
        <w:tc>
          <w:tcPr>
            <w:tcW w:w="1094" w:type="dxa"/>
            <w:vAlign w:val="center"/>
          </w:tcPr>
          <w:p w14:paraId="64996DC3">
            <w:pPr>
              <w:keepNext w:val="0"/>
              <w:keepLines w:val="0"/>
              <w:pageBreakBefore w:val="0"/>
              <w:widowControl w:val="0"/>
              <w:kinsoku/>
              <w:wordWrap/>
              <w:overflowPunct w:val="0"/>
              <w:topLinePunct w:val="0"/>
              <w:autoSpaceDE/>
              <w:autoSpaceDN/>
              <w:bidi w:val="0"/>
              <w:adjustRightInd w:val="0"/>
              <w:snapToGrid/>
              <w:spacing w:line="480" w:lineRule="exact"/>
              <w:jc w:val="both"/>
              <w:textAlignment w:val="baseline"/>
              <w:rPr>
                <w:rFonts w:hint="eastAsia" w:ascii="宋体" w:hAnsi="宋体" w:eastAsia="宋体" w:cs="宋体"/>
                <w:color w:val="auto"/>
                <w:sz w:val="21"/>
                <w:szCs w:val="21"/>
                <w:highlight w:val="none"/>
                <w:lang w:val="en-US" w:eastAsia="zh-CN"/>
              </w:rPr>
            </w:pPr>
          </w:p>
        </w:tc>
      </w:tr>
      <w:tr w14:paraId="74565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59" w:type="dxa"/>
            <w:vAlign w:val="center"/>
          </w:tcPr>
          <w:p w14:paraId="0C43532B">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c>
          <w:tcPr>
            <w:tcW w:w="1652" w:type="dxa"/>
            <w:vAlign w:val="center"/>
          </w:tcPr>
          <w:p w14:paraId="351BC20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盐酸储罐管件</w:t>
            </w:r>
          </w:p>
        </w:tc>
        <w:tc>
          <w:tcPr>
            <w:tcW w:w="3135" w:type="dxa"/>
            <w:vAlign w:val="center"/>
          </w:tcPr>
          <w:p w14:paraId="11AD1F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0" w:type="dxa"/>
            <w:vAlign w:val="center"/>
          </w:tcPr>
          <w:p w14:paraId="4DAD5B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03" w:type="dxa"/>
            <w:vAlign w:val="center"/>
          </w:tcPr>
          <w:p w14:paraId="3D2BE0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9" w:type="dxa"/>
            <w:vAlign w:val="center"/>
          </w:tcPr>
          <w:p w14:paraId="4AFC4EC7">
            <w:pPr>
              <w:keepNext w:val="0"/>
              <w:keepLines w:val="0"/>
              <w:pageBreakBefore w:val="0"/>
              <w:widowControl w:val="0"/>
              <w:tabs>
                <w:tab w:val="left" w:pos="592"/>
              </w:tabs>
              <w:kinsoku/>
              <w:wordWrap/>
              <w:overflowPunct w:val="0"/>
              <w:topLinePunct w:val="0"/>
              <w:autoSpaceDE/>
              <w:autoSpaceDN/>
              <w:bidi w:val="0"/>
              <w:adjustRightInd w:val="0"/>
              <w:snapToGrid/>
              <w:spacing w:line="480" w:lineRule="exact"/>
              <w:jc w:val="left"/>
              <w:textAlignment w:val="baseline"/>
              <w:rPr>
                <w:rFonts w:hint="eastAsia" w:ascii="宋体" w:hAnsi="宋体" w:eastAsia="宋体" w:cs="宋体"/>
                <w:color w:val="auto"/>
                <w:sz w:val="21"/>
                <w:szCs w:val="21"/>
                <w:highlight w:val="none"/>
                <w:lang w:eastAsia="zh-CN"/>
              </w:rPr>
            </w:pPr>
          </w:p>
        </w:tc>
        <w:tc>
          <w:tcPr>
            <w:tcW w:w="1094" w:type="dxa"/>
            <w:vAlign w:val="center"/>
          </w:tcPr>
          <w:p w14:paraId="22E1825E">
            <w:pPr>
              <w:keepNext w:val="0"/>
              <w:keepLines w:val="0"/>
              <w:pageBreakBefore w:val="0"/>
              <w:widowControl w:val="0"/>
              <w:kinsoku/>
              <w:wordWrap/>
              <w:overflowPunct w:val="0"/>
              <w:topLinePunct w:val="0"/>
              <w:autoSpaceDE/>
              <w:autoSpaceDN/>
              <w:bidi w:val="0"/>
              <w:adjustRightInd w:val="0"/>
              <w:snapToGrid/>
              <w:spacing w:line="480" w:lineRule="exact"/>
              <w:jc w:val="both"/>
              <w:textAlignment w:val="baseline"/>
              <w:rPr>
                <w:rFonts w:hint="eastAsia" w:ascii="宋体" w:hAnsi="宋体" w:eastAsia="宋体" w:cs="宋体"/>
                <w:color w:val="auto"/>
                <w:sz w:val="21"/>
                <w:szCs w:val="21"/>
                <w:highlight w:val="none"/>
                <w:lang w:val="en-US" w:eastAsia="zh-CN"/>
              </w:rPr>
            </w:pPr>
          </w:p>
        </w:tc>
      </w:tr>
      <w:tr w14:paraId="752C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25B6342">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①</w:t>
            </w:r>
          </w:p>
        </w:tc>
        <w:tc>
          <w:tcPr>
            <w:tcW w:w="1652" w:type="dxa"/>
            <w:vAlign w:val="center"/>
          </w:tcPr>
          <w:p w14:paraId="312FEAC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UPVC管</w:t>
            </w:r>
          </w:p>
        </w:tc>
        <w:tc>
          <w:tcPr>
            <w:tcW w:w="3135" w:type="dxa"/>
            <w:vAlign w:val="center"/>
          </w:tcPr>
          <w:p w14:paraId="07E86C9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Φ63</w:t>
            </w:r>
          </w:p>
        </w:tc>
        <w:tc>
          <w:tcPr>
            <w:tcW w:w="510" w:type="dxa"/>
            <w:vAlign w:val="center"/>
          </w:tcPr>
          <w:p w14:paraId="2E4D740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40</w:t>
            </w:r>
          </w:p>
        </w:tc>
        <w:tc>
          <w:tcPr>
            <w:tcW w:w="503" w:type="dxa"/>
            <w:vAlign w:val="center"/>
          </w:tcPr>
          <w:p w14:paraId="1435D92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米</w:t>
            </w:r>
          </w:p>
        </w:tc>
        <w:tc>
          <w:tcPr>
            <w:tcW w:w="969" w:type="dxa"/>
            <w:vAlign w:val="center"/>
          </w:tcPr>
          <w:p w14:paraId="15DDDD6C">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2D1739D5">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2720B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9" w:type="dxa"/>
            <w:vAlign w:val="center"/>
          </w:tcPr>
          <w:p w14:paraId="4C25A5A5">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②</w:t>
            </w:r>
          </w:p>
        </w:tc>
        <w:tc>
          <w:tcPr>
            <w:tcW w:w="1652" w:type="dxa"/>
            <w:vAlign w:val="center"/>
          </w:tcPr>
          <w:p w14:paraId="11306F2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UPVC弯头</w:t>
            </w:r>
          </w:p>
        </w:tc>
        <w:tc>
          <w:tcPr>
            <w:tcW w:w="3135" w:type="dxa"/>
            <w:vAlign w:val="center"/>
          </w:tcPr>
          <w:p w14:paraId="76C7000B">
            <w:pPr>
              <w:keepNext w:val="0"/>
              <w:keepLines w:val="0"/>
              <w:widowControl/>
              <w:suppressLineNumbers w:val="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Φ63</w:t>
            </w:r>
          </w:p>
        </w:tc>
        <w:tc>
          <w:tcPr>
            <w:tcW w:w="510" w:type="dxa"/>
            <w:vAlign w:val="center"/>
          </w:tcPr>
          <w:p w14:paraId="1A57C8B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30</w:t>
            </w:r>
          </w:p>
        </w:tc>
        <w:tc>
          <w:tcPr>
            <w:tcW w:w="503" w:type="dxa"/>
            <w:vAlign w:val="center"/>
          </w:tcPr>
          <w:p w14:paraId="31736CC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69" w:type="dxa"/>
            <w:vAlign w:val="center"/>
          </w:tcPr>
          <w:p w14:paraId="4D15D890">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63103EE3">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0301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03FFDCEF">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③</w:t>
            </w:r>
          </w:p>
        </w:tc>
        <w:tc>
          <w:tcPr>
            <w:tcW w:w="1652" w:type="dxa"/>
            <w:vAlign w:val="center"/>
          </w:tcPr>
          <w:p w14:paraId="3D87D1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UPVC球阀</w:t>
            </w:r>
          </w:p>
        </w:tc>
        <w:tc>
          <w:tcPr>
            <w:tcW w:w="3135" w:type="dxa"/>
            <w:vAlign w:val="center"/>
          </w:tcPr>
          <w:p w14:paraId="5D47B7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Φ63</w:t>
            </w:r>
          </w:p>
        </w:tc>
        <w:tc>
          <w:tcPr>
            <w:tcW w:w="510" w:type="dxa"/>
            <w:vAlign w:val="center"/>
          </w:tcPr>
          <w:p w14:paraId="184662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503" w:type="dxa"/>
            <w:vAlign w:val="center"/>
          </w:tcPr>
          <w:p w14:paraId="7E3FAD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9" w:type="dxa"/>
            <w:vAlign w:val="center"/>
          </w:tcPr>
          <w:p w14:paraId="1AA96F6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544D4DF6">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734B5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0F05CD64">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④</w:t>
            </w:r>
          </w:p>
        </w:tc>
        <w:tc>
          <w:tcPr>
            <w:tcW w:w="1652" w:type="dxa"/>
            <w:vAlign w:val="center"/>
          </w:tcPr>
          <w:p w14:paraId="52B0D1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UPVC直通</w:t>
            </w:r>
          </w:p>
        </w:tc>
        <w:tc>
          <w:tcPr>
            <w:tcW w:w="3135" w:type="dxa"/>
            <w:vAlign w:val="center"/>
          </w:tcPr>
          <w:p w14:paraId="410545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Φ63</w:t>
            </w:r>
          </w:p>
        </w:tc>
        <w:tc>
          <w:tcPr>
            <w:tcW w:w="510" w:type="dxa"/>
            <w:vAlign w:val="center"/>
          </w:tcPr>
          <w:p w14:paraId="22E049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503" w:type="dxa"/>
            <w:vAlign w:val="center"/>
          </w:tcPr>
          <w:p w14:paraId="178196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9" w:type="dxa"/>
            <w:vAlign w:val="center"/>
          </w:tcPr>
          <w:p w14:paraId="3D5A1A1E">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1F3B673D">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0C22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39248077">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1652" w:type="dxa"/>
            <w:vAlign w:val="center"/>
          </w:tcPr>
          <w:p w14:paraId="67A8C7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不锈钢潜水泵</w:t>
            </w:r>
          </w:p>
        </w:tc>
        <w:tc>
          <w:tcPr>
            <w:tcW w:w="3135" w:type="dxa"/>
            <w:vAlign w:val="center"/>
          </w:tcPr>
          <w:p w14:paraId="2D50C8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NT-9SHTT225F 316L 电机能效一级</w:t>
            </w:r>
          </w:p>
        </w:tc>
        <w:tc>
          <w:tcPr>
            <w:tcW w:w="510" w:type="dxa"/>
            <w:vAlign w:val="center"/>
          </w:tcPr>
          <w:p w14:paraId="7A5A3B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03" w:type="dxa"/>
            <w:vAlign w:val="center"/>
          </w:tcPr>
          <w:p w14:paraId="49CA44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969" w:type="dxa"/>
            <w:vAlign w:val="center"/>
          </w:tcPr>
          <w:p w14:paraId="6B2D7B67">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7F4B3BE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379F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0B9EAE2">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p>
        </w:tc>
        <w:tc>
          <w:tcPr>
            <w:tcW w:w="1652" w:type="dxa"/>
            <w:vAlign w:val="center"/>
          </w:tcPr>
          <w:p w14:paraId="41890B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耐腐耐磨液下泵</w:t>
            </w:r>
          </w:p>
        </w:tc>
        <w:tc>
          <w:tcPr>
            <w:tcW w:w="3135" w:type="dxa"/>
            <w:vAlign w:val="center"/>
          </w:tcPr>
          <w:p w14:paraId="628489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80UFYB-35-2000-FYB 60m3/h 35m 液下深度2米 电机能效一级 宜兴瑞丰</w:t>
            </w:r>
          </w:p>
        </w:tc>
        <w:tc>
          <w:tcPr>
            <w:tcW w:w="510" w:type="dxa"/>
            <w:vAlign w:val="center"/>
          </w:tcPr>
          <w:p w14:paraId="48B0E9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03" w:type="dxa"/>
            <w:vAlign w:val="center"/>
          </w:tcPr>
          <w:p w14:paraId="34B66A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969" w:type="dxa"/>
            <w:vAlign w:val="center"/>
          </w:tcPr>
          <w:p w14:paraId="64CBB20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21F7935B">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59" w:type="dxa"/>
            <w:vAlign w:val="center"/>
          </w:tcPr>
          <w:p w14:paraId="3084C4BC">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652" w:type="dxa"/>
            <w:vAlign w:val="center"/>
          </w:tcPr>
          <w:p w14:paraId="2029D259">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3135" w:type="dxa"/>
            <w:vAlign w:val="top"/>
          </w:tcPr>
          <w:p w14:paraId="6215BA57">
            <w:pPr>
              <w:keepNext w:val="0"/>
              <w:keepLines w:val="0"/>
              <w:pageBreakBefore w:val="0"/>
              <w:widowControl/>
              <w:suppressLineNumbers w:val="0"/>
              <w:kinsoku/>
              <w:wordWrap/>
              <w:topLinePunct w:val="0"/>
              <w:autoSpaceDE/>
              <w:autoSpaceDN/>
              <w:bidi w:val="0"/>
              <w:snapToGrid/>
              <w:spacing w:line="480" w:lineRule="exact"/>
              <w:jc w:val="center"/>
              <w:textAlignment w:val="top"/>
              <w:rPr>
                <w:rFonts w:hint="eastAsia" w:ascii="宋体" w:hAnsi="宋体" w:eastAsia="宋体" w:cs="宋体"/>
                <w:i w:val="0"/>
                <w:iCs w:val="0"/>
                <w:color w:val="000000"/>
                <w:kern w:val="0"/>
                <w:sz w:val="21"/>
                <w:szCs w:val="21"/>
                <w:u w:val="none"/>
                <w:lang w:val="en-US" w:eastAsia="zh-CN" w:bidi="ar"/>
              </w:rPr>
            </w:pPr>
          </w:p>
        </w:tc>
        <w:tc>
          <w:tcPr>
            <w:tcW w:w="510" w:type="dxa"/>
            <w:vAlign w:val="center"/>
          </w:tcPr>
          <w:p w14:paraId="5A24EBB6">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503" w:type="dxa"/>
            <w:vAlign w:val="center"/>
          </w:tcPr>
          <w:p w14:paraId="6D692CA7">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9"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p>
        </w:tc>
      </w:tr>
      <w:tr w14:paraId="5923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22" w:type="dxa"/>
            <w:gridSpan w:val="7"/>
            <w:vAlign w:val="center"/>
          </w:tcPr>
          <w:p w14:paraId="03303D8E">
            <w:pPr>
              <w:keepNext w:val="0"/>
              <w:keepLines w:val="0"/>
              <w:pageBreakBefore w:val="0"/>
              <w:widowControl w:val="0"/>
              <w:kinsoku/>
              <w:wordWrap/>
              <w:overflowPunct w:val="0"/>
              <w:topLinePunct w:val="0"/>
              <w:autoSpaceDE/>
              <w:autoSpaceDN/>
              <w:bidi w:val="0"/>
              <w:adjustRightInd w:val="0"/>
              <w:snapToGrid/>
              <w:spacing w:line="480" w:lineRule="exact"/>
              <w:jc w:val="left"/>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1"/>
                <w:szCs w:val="21"/>
                <w:vertAlign w:val="baseline"/>
                <w:lang w:val="en-US" w:eastAsia="zh-CN"/>
              </w:rPr>
              <w:t>备注：按要求报价，大小内含子项的必须报全，</w:t>
            </w:r>
            <w:r>
              <w:rPr>
                <w:rFonts w:hint="eastAsia" w:ascii="宋体" w:hAnsi="宋体" w:eastAsia="宋体" w:cs="宋体"/>
                <w:i w:val="0"/>
                <w:iCs w:val="0"/>
                <w:color w:val="000000"/>
                <w:kern w:val="0"/>
                <w:sz w:val="21"/>
                <w:szCs w:val="21"/>
                <w:u w:val="none"/>
                <w:lang w:val="en-US" w:eastAsia="zh-CN" w:bidi="ar"/>
              </w:rPr>
              <w:t>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beforeAutospacing="0" w:afterAutospacing="0" w:line="46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beforeAutospacing="0" w:afterAutospacing="0" w:line="460" w:lineRule="exact"/>
        <w:ind w:firstLine="320" w:firstLineChars="100"/>
        <w:jc w:val="both"/>
        <w:textAlignment w:val="auto"/>
        <w:rPr>
          <w:rFonts w:hint="eastAsia" w:ascii="仿宋" w:hAnsi="仿宋" w:eastAsia="仿宋" w:cs="仿宋"/>
          <w:bCs/>
          <w:color w:val="auto"/>
          <w:sz w:val="32"/>
          <w:szCs w:val="32"/>
          <w:lang w:eastAsia="zh-CN"/>
        </w:rPr>
      </w:pPr>
      <w:bookmarkStart w:id="8" w:name="_Toc14196"/>
      <w:bookmarkStart w:id="9" w:name="_Toc33795778"/>
      <w:bookmarkStart w:id="10" w:name="_Toc29895"/>
      <w:bookmarkStart w:id="11" w:name="_Toc1468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beforeAutospacing="0" w:afterAutospacing="0" w:line="460" w:lineRule="exact"/>
        <w:ind w:firstLine="320" w:firstLineChars="1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beforeAutospacing="0" w:afterAutospacing="0" w:line="460" w:lineRule="exact"/>
        <w:ind w:firstLine="320" w:firstLineChars="1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beforeAutospacing="0" w:afterAutospacing="0" w:line="460" w:lineRule="exact"/>
        <w:ind w:firstLine="321"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1" w:firstLineChars="100"/>
        <w:jc w:val="both"/>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beforeAutospacing="0" w:after="0" w:afterAutospacing="0" w:line="46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beforeAutospacing="0" w:after="0" w:afterAutospacing="0" w:line="4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247513966"/>
      <w:bookmarkStart w:id="13" w:name="_Toc152042318"/>
      <w:bookmarkStart w:id="14" w:name="_Toc247527567"/>
      <w:bookmarkStart w:id="15" w:name="_Toc25772"/>
      <w:bookmarkStart w:id="16" w:name="_Toc352691486"/>
      <w:bookmarkStart w:id="17" w:name="_Toc152045542"/>
      <w:bookmarkStart w:id="18" w:name="_Toc361508598"/>
      <w:bookmarkStart w:id="19" w:name="_Toc300834963"/>
      <w:bookmarkStart w:id="20" w:name="_Toc384308223"/>
      <w:bookmarkStart w:id="21" w:name="_Toc369531529"/>
      <w:bookmarkStart w:id="22" w:name="_Toc144974510"/>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247513967"/>
      <w:bookmarkStart w:id="24" w:name="_Toc152042319"/>
      <w:bookmarkStart w:id="25" w:name="_Toc369531530"/>
      <w:bookmarkStart w:id="26" w:name="_Toc384308224"/>
      <w:bookmarkStart w:id="27" w:name="_Toc152045543"/>
      <w:bookmarkStart w:id="28" w:name="_Toc352691487"/>
      <w:bookmarkStart w:id="29" w:name="_Toc361508599"/>
      <w:bookmarkStart w:id="30" w:name="_Toc300834964"/>
      <w:bookmarkStart w:id="31" w:name="_Toc15242"/>
      <w:bookmarkStart w:id="32" w:name="_Toc144974511"/>
      <w:bookmarkStart w:id="33" w:name="_Toc247527568"/>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贰仟元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61508602"/>
      <w:bookmarkStart w:id="35" w:name="_Toc29025"/>
      <w:bookmarkStart w:id="36" w:name="_Toc384308227"/>
      <w:bookmarkStart w:id="37" w:name="_Toc369531533"/>
      <w:bookmarkStart w:id="38" w:name="_Toc352691490"/>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247513970"/>
      <w:bookmarkStart w:id="40" w:name="_Toc384308228"/>
      <w:bookmarkStart w:id="41" w:name="_Toc352691491"/>
      <w:bookmarkStart w:id="42" w:name="_Toc14751"/>
      <w:bookmarkStart w:id="43" w:name="_Toc361508603"/>
      <w:bookmarkStart w:id="44" w:name="_Toc300834967"/>
      <w:bookmarkStart w:id="45" w:name="_Toc369531534"/>
      <w:bookmarkStart w:id="46" w:name="_Toc152045546"/>
      <w:bookmarkStart w:id="47" w:name="_Toc144974514"/>
      <w:bookmarkStart w:id="48" w:name="_Toc152042322"/>
      <w:bookmarkStart w:id="49" w:name="_Toc247527571"/>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00834968"/>
      <w:bookmarkStart w:id="51" w:name="_Toc384308229"/>
      <w:bookmarkStart w:id="52" w:name="_Toc152042323"/>
      <w:bookmarkStart w:id="53" w:name="_Toc17952"/>
      <w:bookmarkStart w:id="54" w:name="_Toc352691492"/>
      <w:bookmarkStart w:id="55" w:name="_Toc152045547"/>
      <w:bookmarkStart w:id="56" w:name="_Toc247527572"/>
      <w:bookmarkStart w:id="57" w:name="_Toc369531535"/>
      <w:bookmarkStart w:id="58" w:name="_Toc144974515"/>
      <w:bookmarkStart w:id="59" w:name="_Toc247513971"/>
      <w:bookmarkStart w:id="60" w:name="_Toc361508604"/>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firstLine="320" w:firstLineChars="100"/>
        <w:jc w:val="both"/>
        <w:textAlignment w:val="auto"/>
        <w:rPr>
          <w:rFonts w:hint="eastAsia" w:ascii="仿宋" w:hAnsi="仿宋" w:eastAsia="仿宋" w:cs="仿宋"/>
          <w:color w:val="auto"/>
          <w:sz w:val="32"/>
          <w:szCs w:val="32"/>
        </w:rPr>
      </w:pPr>
      <w:bookmarkStart w:id="61" w:name="_Toc21871"/>
      <w:bookmarkStart w:id="62" w:name="_Toc24514"/>
      <w:bookmarkStart w:id="63" w:name="_Toc33795794"/>
      <w:bookmarkStart w:id="64" w:name="_Toc2821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4"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9月25日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pageBreakBefore w:val="0"/>
        <w:widowControl/>
        <w:suppressLineNumbers w:val="0"/>
        <w:kinsoku/>
        <w:wordWrap/>
        <w:topLinePunct w:val="0"/>
        <w:autoSpaceDE/>
        <w:autoSpaceDN/>
        <w:bidi w:val="0"/>
        <w:adjustRightInd/>
        <w:snapToGrid/>
        <w:spacing w:beforeAutospacing="0" w:afterAutospacing="0" w:line="460" w:lineRule="exact"/>
        <w:ind w:left="0" w:firstLine="645"/>
        <w:jc w:val="both"/>
        <w:textAlignment w:val="auto"/>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beforeAutospacing="0" w:afterAutospacing="0" w:line="46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2025年9月 25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60" w:lineRule="exact"/>
        <w:ind w:firstLine="960" w:firstLineChars="3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247527628"/>
      <w:bookmarkStart w:id="66" w:name="_Toc2907"/>
      <w:bookmarkStart w:id="67" w:name="_Toc384308277"/>
      <w:bookmarkStart w:id="68" w:name="_Toc144974570"/>
      <w:bookmarkStart w:id="69" w:name="_Toc300835013"/>
      <w:bookmarkStart w:id="70" w:name="_Toc361508651"/>
      <w:bookmarkStart w:id="71" w:name="_Toc369531582"/>
      <w:bookmarkStart w:id="72" w:name="_Toc247514027"/>
      <w:bookmarkStart w:id="73" w:name="_Toc152045603"/>
      <w:bookmarkStart w:id="74" w:name="_Toc152042380"/>
      <w:bookmarkStart w:id="75" w:name="_Toc352691538"/>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6955"/>
      <w:bookmarkStart w:id="77" w:name="_Toc33795835"/>
      <w:bookmarkStart w:id="78" w:name="_Toc29291"/>
      <w:bookmarkStart w:id="79" w:name="_Toc13563"/>
    </w:p>
    <w:p w14:paraId="19D1A02C">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80" w:name="_Toc15253"/>
      <w:bookmarkStart w:id="81" w:name="_Toc3366"/>
      <w:bookmarkStart w:id="82" w:name="_Toc33795836"/>
      <w:bookmarkStart w:id="83" w:name="_Toc3266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firstLine="643" w:firstLineChars="200"/>
        <w:jc w:val="both"/>
        <w:textAlignment w:val="auto"/>
        <w:rPr>
          <w:rFonts w:hint="eastAsia" w:ascii="仿宋" w:hAnsi="仿宋" w:eastAsia="仿宋" w:cs="仿宋"/>
          <w:color w:val="auto"/>
          <w:sz w:val="32"/>
          <w:szCs w:val="32"/>
        </w:rPr>
      </w:pPr>
      <w:bookmarkStart w:id="84" w:name="_Toc33795807"/>
      <w:bookmarkStart w:id="85" w:name="_Toc9481"/>
      <w:bookmarkStart w:id="86" w:name="_Toc8518"/>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87" w:name="_Toc16094"/>
      <w:bookmarkStart w:id="88" w:name="_Toc21093"/>
      <w:bookmarkStart w:id="89" w:name="_Toc30852"/>
      <w:bookmarkStart w:id="90" w:name="_Toc3379580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91" w:name="_Toc19079"/>
      <w:bookmarkStart w:id="92" w:name="_Toc7018"/>
      <w:bookmarkStart w:id="93" w:name="_Toc10372"/>
      <w:bookmarkStart w:id="94" w:name="_Toc3379580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0095"/>
      <w:bookmarkStart w:id="96" w:name="_Toc361508618"/>
      <w:bookmarkStart w:id="97" w:name="_Toc384308243"/>
      <w:bookmarkStart w:id="98" w:name="_Toc152045561"/>
      <w:bookmarkStart w:id="99" w:name="_Toc144974529"/>
      <w:bookmarkStart w:id="100" w:name="_Toc369531549"/>
      <w:bookmarkStart w:id="101" w:name="_Toc247527586"/>
      <w:bookmarkStart w:id="102" w:name="_Toc247513985"/>
      <w:bookmarkStart w:id="103" w:name="_Toc152042337"/>
      <w:bookmarkStart w:id="104" w:name="_Toc352691505"/>
      <w:bookmarkStart w:id="105" w:name="_Toc300834982"/>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106" w:name="_Toc21648"/>
      <w:bookmarkStart w:id="107" w:name="_Toc25590"/>
      <w:bookmarkStart w:id="108" w:name="_Toc28756"/>
      <w:bookmarkStart w:id="109" w:name="_Toc3379581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lang w:val="en-US"/>
        </w:rPr>
      </w:pPr>
      <w:bookmarkStart w:id="110" w:name="_Toc2191"/>
      <w:bookmarkStart w:id="111" w:name="_Toc19470"/>
      <w:bookmarkStart w:id="112" w:name="_Toc33795811"/>
      <w:bookmarkStart w:id="113" w:name="_Toc2466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114" w:name="_Toc10813"/>
      <w:bookmarkStart w:id="115" w:name="_Toc31681"/>
      <w:bookmarkStart w:id="116" w:name="_Toc6928"/>
      <w:bookmarkStart w:id="117" w:name="_Toc3379581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52691506"/>
      <w:bookmarkStart w:id="119" w:name="_Toc300834983"/>
      <w:bookmarkStart w:id="120" w:name="_Toc384308244"/>
      <w:bookmarkStart w:id="121" w:name="_Toc361508619"/>
      <w:bookmarkStart w:id="122" w:name="_Toc5668"/>
      <w:bookmarkStart w:id="123" w:name="_Toc36953155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124" w:name="_Toc4342"/>
      <w:bookmarkStart w:id="125" w:name="_Toc30705"/>
      <w:bookmarkStart w:id="126" w:name="_Toc21613"/>
      <w:bookmarkStart w:id="127" w:name="_Toc337958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bookmarkStart w:id="128" w:name="_Toc11183"/>
      <w:bookmarkStart w:id="129" w:name="_Toc14362"/>
      <w:bookmarkStart w:id="130" w:name="_Toc3671"/>
      <w:bookmarkStart w:id="131" w:name="_Toc33795814"/>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61508622"/>
      <w:bookmarkStart w:id="133" w:name="_Toc144974532"/>
      <w:bookmarkStart w:id="134" w:name="_Toc247527589"/>
      <w:bookmarkStart w:id="135" w:name="_Toc4656"/>
      <w:bookmarkStart w:id="136" w:name="_Toc384308247"/>
      <w:bookmarkStart w:id="137" w:name="_Toc152045564"/>
      <w:bookmarkStart w:id="138" w:name="_Toc352691509"/>
      <w:bookmarkStart w:id="139" w:name="_Toc247513988"/>
      <w:bookmarkStart w:id="140" w:name="_Toc300834986"/>
      <w:bookmarkStart w:id="141" w:name="_Toc152042340"/>
      <w:bookmarkStart w:id="142" w:name="_Toc369531553"/>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69531554"/>
      <w:bookmarkStart w:id="144" w:name="_Toc247513989"/>
      <w:bookmarkStart w:id="145" w:name="_Toc152045565"/>
      <w:bookmarkStart w:id="146" w:name="_Toc144974533"/>
      <w:bookmarkStart w:id="147" w:name="_Toc361508623"/>
      <w:bookmarkStart w:id="148" w:name="_Toc384308248"/>
      <w:bookmarkStart w:id="149" w:name="_Toc352691510"/>
      <w:bookmarkStart w:id="150" w:name="_Toc247527590"/>
      <w:bookmarkStart w:id="151" w:name="_Toc18247"/>
      <w:bookmarkStart w:id="152" w:name="_Toc152042341"/>
      <w:bookmarkStart w:id="153" w:name="_Toc300834987"/>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84308252"/>
      <w:bookmarkStart w:id="155" w:name="_Toc24067"/>
      <w:bookmarkStart w:id="156" w:name="_Toc361508627"/>
      <w:bookmarkStart w:id="157" w:name="_Toc247527593"/>
      <w:bookmarkStart w:id="158" w:name="_Toc144974536"/>
      <w:bookmarkStart w:id="159" w:name="_Toc300834991"/>
      <w:bookmarkStart w:id="160" w:name="_Toc152045568"/>
      <w:bookmarkStart w:id="161" w:name="_Toc152042344"/>
      <w:bookmarkStart w:id="162" w:name="_Toc247513992"/>
    </w:p>
    <w:bookmarkEnd w:id="154"/>
    <w:bookmarkEnd w:id="155"/>
    <w:bookmarkEnd w:id="156"/>
    <w:p w14:paraId="14AA1C27">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firstLine="643" w:firstLineChars="200"/>
        <w:jc w:val="both"/>
        <w:textAlignment w:val="auto"/>
        <w:rPr>
          <w:rFonts w:hint="eastAsia" w:ascii="仿宋" w:hAnsi="仿宋" w:eastAsia="仿宋" w:cs="仿宋"/>
          <w:color w:val="auto"/>
          <w:sz w:val="32"/>
          <w:szCs w:val="32"/>
        </w:rPr>
      </w:pPr>
      <w:bookmarkStart w:id="163" w:name="_Toc33795815"/>
      <w:bookmarkStart w:id="164" w:name="_Toc25347"/>
      <w:bookmarkStart w:id="165" w:name="_Toc14752"/>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69531559"/>
      <w:bookmarkStart w:id="167" w:name="_Toc361508628"/>
      <w:bookmarkStart w:id="168" w:name="_Toc384308253"/>
      <w:bookmarkStart w:id="169" w:name="_Toc352691515"/>
      <w:bookmarkStart w:id="170" w:name="_Toc13644"/>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460" w:lineRule="exact"/>
        <w:ind w:left="0" w:firstLine="640" w:firstLineChars="200"/>
        <w:jc w:val="both"/>
        <w:textAlignment w:val="auto"/>
        <w:rPr>
          <w:rFonts w:hint="eastAsia" w:ascii="仿宋" w:hAnsi="仿宋" w:eastAsia="仿宋" w:cs="仿宋"/>
          <w:color w:val="auto"/>
          <w:sz w:val="32"/>
          <w:szCs w:val="32"/>
        </w:rPr>
      </w:pPr>
      <w:bookmarkStart w:id="171" w:name="_Toc18070"/>
      <w:bookmarkStart w:id="172" w:name="_Toc22294"/>
      <w:bookmarkStart w:id="173" w:name="_Toc33795820"/>
      <w:bookmarkStart w:id="174" w:name="_Toc24957"/>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0EDEE1BB">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5B23614A">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160" w:firstLineChars="1300"/>
        <w:jc w:val="both"/>
        <w:rPr>
          <w:rFonts w:hint="eastAsia" w:ascii="仿宋" w:hAnsi="仿宋" w:eastAsia="仿宋" w:cs="仿宋"/>
          <w:b w:val="0"/>
          <w:bCs w:val="0"/>
          <w:color w:val="auto"/>
          <w:sz w:val="32"/>
          <w:szCs w:val="32"/>
          <w:lang w:val="en-US" w:eastAsia="zh-CN"/>
        </w:rPr>
      </w:pPr>
    </w:p>
    <w:p w14:paraId="678147E8">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160" w:firstLineChars="1300"/>
        <w:jc w:val="both"/>
        <w:rPr>
          <w:rFonts w:hint="eastAsia" w:ascii="仿宋" w:hAnsi="仿宋" w:eastAsia="仿宋" w:cs="仿宋"/>
          <w:b w:val="0"/>
          <w:bCs w:val="0"/>
          <w:color w:val="auto"/>
          <w:sz w:val="32"/>
          <w:szCs w:val="32"/>
          <w:lang w:val="en-US" w:eastAsia="zh-CN"/>
        </w:rPr>
      </w:pPr>
    </w:p>
    <w:p w14:paraId="107F4801">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160" w:firstLineChars="1300"/>
        <w:jc w:val="both"/>
        <w:rPr>
          <w:rFonts w:hint="eastAsia" w:ascii="仿宋" w:hAnsi="仿宋" w:eastAsia="仿宋" w:cs="仿宋"/>
          <w:b w:val="0"/>
          <w:bCs w:val="0"/>
          <w:color w:val="auto"/>
          <w:sz w:val="32"/>
          <w:szCs w:val="32"/>
          <w:lang w:val="en-US" w:eastAsia="zh-CN"/>
        </w:rPr>
      </w:pPr>
    </w:p>
    <w:p w14:paraId="31CFF4FE">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160" w:firstLineChars="13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160" w:firstLineChars="13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160" w:firstLineChars="13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2025年09月23日</w:t>
      </w:r>
    </w:p>
    <w:p w14:paraId="1E8A2BA2">
      <w:pPr>
        <w:pStyle w:val="2"/>
        <w:jc w:val="both"/>
        <w:rPr>
          <w:rFonts w:hint="eastAsia" w:ascii="宋体" w:hAnsi="宋体" w:eastAsia="宋体" w:cs="宋体"/>
          <w:color w:val="auto"/>
          <w:sz w:val="36"/>
          <w:szCs w:val="36"/>
          <w:lang w:val="en-US" w:eastAsia="zh-CN"/>
        </w:rPr>
      </w:pPr>
    </w:p>
    <w:p w14:paraId="7B890778">
      <w:pPr>
        <w:pStyle w:val="2"/>
        <w:jc w:val="both"/>
        <w:rPr>
          <w:rFonts w:hint="eastAsia" w:ascii="宋体" w:hAnsi="宋体" w:eastAsia="宋体" w:cs="宋体"/>
          <w:color w:val="auto"/>
          <w:sz w:val="36"/>
          <w:szCs w:val="36"/>
          <w:lang w:val="en-US" w:eastAsia="zh-CN"/>
        </w:rPr>
      </w:pPr>
    </w:p>
    <w:p w14:paraId="0F3A5EEA">
      <w:pPr>
        <w:pStyle w:val="2"/>
        <w:jc w:val="both"/>
        <w:rPr>
          <w:rFonts w:hint="eastAsia" w:ascii="宋体" w:hAnsi="宋体" w:eastAsia="宋体" w:cs="宋体"/>
          <w:color w:val="auto"/>
          <w:sz w:val="36"/>
          <w:szCs w:val="36"/>
          <w:lang w:val="en-US" w:eastAsia="zh-CN"/>
        </w:rPr>
      </w:pPr>
    </w:p>
    <w:p w14:paraId="4E36959C">
      <w:pPr>
        <w:pStyle w:val="2"/>
        <w:jc w:val="both"/>
        <w:rPr>
          <w:rFonts w:hint="eastAsia" w:ascii="宋体" w:hAnsi="宋体" w:eastAsia="宋体" w:cs="宋体"/>
          <w:color w:val="auto"/>
          <w:sz w:val="36"/>
          <w:szCs w:val="36"/>
          <w:lang w:val="en-US" w:eastAsia="zh-CN"/>
        </w:rPr>
      </w:pPr>
    </w:p>
    <w:p w14:paraId="31BB43A8">
      <w:pPr>
        <w:pStyle w:val="2"/>
        <w:jc w:val="both"/>
        <w:rPr>
          <w:rFonts w:hint="eastAsia" w:ascii="宋体" w:hAnsi="宋体" w:eastAsia="宋体" w:cs="宋体"/>
          <w:color w:val="auto"/>
          <w:sz w:val="36"/>
          <w:szCs w:val="36"/>
          <w:lang w:val="en-US" w:eastAsia="zh-CN"/>
        </w:rPr>
      </w:pPr>
    </w:p>
    <w:p w14:paraId="6C5AC4F9">
      <w:pPr>
        <w:pStyle w:val="2"/>
        <w:jc w:val="both"/>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3B893B73">
      <w:pPr>
        <w:rPr>
          <w:rFonts w:hint="eastAsia" w:ascii="仿宋" w:hAnsi="仿宋" w:eastAsia="仿宋" w:cs="仿宋"/>
          <w:color w:val="auto"/>
          <w:sz w:val="32"/>
          <w:szCs w:val="32"/>
          <w:highlight w:val="none"/>
        </w:rPr>
      </w:pPr>
    </w:p>
    <w:p w14:paraId="30F09058">
      <w:pPr>
        <w:rPr>
          <w:rFonts w:hint="eastAsia" w:ascii="仿宋" w:hAnsi="仿宋" w:eastAsia="仿宋" w:cs="仿宋"/>
          <w:color w:val="auto"/>
          <w:sz w:val="32"/>
          <w:szCs w:val="32"/>
          <w:highlight w:val="none"/>
        </w:rPr>
      </w:pPr>
    </w:p>
    <w:p w14:paraId="664835B3">
      <w:pPr>
        <w:rPr>
          <w:rFonts w:hint="eastAsia" w:ascii="仿宋" w:hAnsi="仿宋" w:eastAsia="仿宋" w:cs="仿宋"/>
          <w:color w:val="auto"/>
          <w:sz w:val="32"/>
          <w:szCs w:val="32"/>
          <w:highlight w:val="none"/>
        </w:rPr>
      </w:pPr>
    </w:p>
    <w:p w14:paraId="26A18429">
      <w:pPr>
        <w:rPr>
          <w:rFonts w:hint="eastAsia" w:ascii="仿宋" w:hAnsi="仿宋" w:eastAsia="仿宋" w:cs="仿宋"/>
          <w:color w:val="auto"/>
          <w:sz w:val="32"/>
          <w:szCs w:val="32"/>
          <w:highlight w:val="none"/>
        </w:rPr>
      </w:pP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XB20250923-01</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5FDEB95C">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2025年9月份硫酸车间储气罐等采购项目</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52691662"/>
      <w:bookmarkStart w:id="183" w:name="_Toc27897"/>
      <w:bookmarkStart w:id="184"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300835211"/>
      <w:bookmarkStart w:id="186" w:name="_Toc15573"/>
      <w:bookmarkStart w:id="187" w:name="_Toc361508754"/>
      <w:bookmarkStart w:id="188" w:name="_Toc247527829"/>
      <w:bookmarkStart w:id="189" w:name="_Toc144974858"/>
      <w:bookmarkStart w:id="190" w:name="_Toc247514248"/>
      <w:bookmarkStart w:id="191" w:name="_Toc384308377"/>
      <w:bookmarkStart w:id="192" w:name="_Toc152045789"/>
      <w:bookmarkStart w:id="193" w:name="_Toc352691663"/>
      <w:bookmarkStart w:id="194" w:name="_Toc152042578"/>
      <w:bookmarkStart w:id="195" w:name="_Toc369531699"/>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504488772"/>
      <w:bookmarkStart w:id="199"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7C4D5FB">
      <w:pPr>
        <w:rPr>
          <w:rFonts w:hint="eastAsia" w:ascii="黑体" w:hAnsi="黑体" w:cs="黑体"/>
          <w:b/>
          <w:bCs/>
          <w:color w:val="auto"/>
          <w:kern w:val="2"/>
          <w:sz w:val="36"/>
          <w:szCs w:val="36"/>
          <w:lang w:val="en-US" w:eastAsia="zh-CN" w:bidi="ar-SA"/>
        </w:rPr>
      </w:pPr>
      <w:bookmarkStart w:id="201" w:name="_Toc1755"/>
      <w:bookmarkStart w:id="202" w:name="_Toc504488775"/>
      <w:r>
        <w:rPr>
          <w:rFonts w:hint="eastAsia" w:ascii="黑体" w:hAnsi="黑体" w:eastAsia="黑体" w:cs="黑体"/>
          <w:b/>
          <w:bCs/>
          <w:color w:val="auto"/>
          <w:kern w:val="2"/>
          <w:sz w:val="36"/>
          <w:szCs w:val="36"/>
          <w:lang w:val="en-US" w:eastAsia="zh-CN" w:bidi="ar-SA"/>
        </w:rPr>
        <w:t>五、分项报价表</w:t>
      </w:r>
      <w:r>
        <w:rPr>
          <w:rFonts w:hint="eastAsia" w:ascii="黑体" w:hAnsi="黑体" w:cs="黑体"/>
          <w:b/>
          <w:bCs/>
          <w:color w:val="auto"/>
          <w:kern w:val="2"/>
          <w:sz w:val="36"/>
          <w:szCs w:val="36"/>
          <w:lang w:val="en-US" w:eastAsia="zh-CN" w:bidi="ar-SA"/>
        </w:rPr>
        <w:t xml:space="preserve">及技术要求 </w:t>
      </w:r>
      <w:r>
        <w:rPr>
          <w:rFonts w:hint="eastAsia" w:ascii="宋体" w:hAnsi="宋体" w:eastAsia="宋体" w:cs="宋体"/>
          <w:b/>
          <w:bCs/>
          <w:color w:val="auto"/>
          <w:kern w:val="2"/>
          <w:sz w:val="24"/>
          <w:szCs w:val="24"/>
          <w:lang w:val="en-US" w:eastAsia="zh-CN" w:bidi="ar-SA"/>
        </w:rPr>
        <w:t>（</w:t>
      </w:r>
      <w:r>
        <w:rPr>
          <w:rFonts w:hint="eastAsia" w:ascii="宋体" w:hAnsi="宋体" w:eastAsia="宋体" w:cs="宋体"/>
          <w:b/>
          <w:bCs/>
          <w:color w:val="auto"/>
          <w:sz w:val="24"/>
          <w:szCs w:val="24"/>
          <w:lang w:val="en-US" w:eastAsia="zh-CN"/>
        </w:rPr>
        <w:t>9月份硫酸车间储气罐等</w:t>
      </w:r>
      <w:r>
        <w:rPr>
          <w:rFonts w:hint="eastAsia" w:ascii="宋体" w:hAnsi="宋体" w:eastAsia="宋体" w:cs="宋体"/>
          <w:b/>
          <w:bCs/>
          <w:color w:val="auto"/>
          <w:kern w:val="2"/>
          <w:sz w:val="24"/>
          <w:szCs w:val="24"/>
          <w:lang w:val="en-US" w:eastAsia="zh-CN" w:bidi="ar-SA"/>
        </w:rPr>
        <w:t>）</w:t>
      </w:r>
    </w:p>
    <w:p w14:paraId="530A4FA8">
      <w:pPr>
        <w:rPr>
          <w:rFonts w:hint="eastAsia" w:ascii="宋体" w:hAnsi="宋体" w:eastAsia="宋体" w:cs="宋体"/>
          <w:b/>
          <w:bCs/>
          <w:color w:val="auto"/>
          <w:kern w:val="2"/>
          <w:sz w:val="24"/>
          <w:szCs w:val="24"/>
          <w:lang w:val="en-US" w:eastAsia="zh-CN" w:bidi="ar-SA"/>
        </w:rPr>
      </w:pPr>
    </w:p>
    <w:tbl>
      <w:tblPr>
        <w:tblStyle w:val="10"/>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502"/>
        <w:gridCol w:w="3015"/>
        <w:gridCol w:w="450"/>
        <w:gridCol w:w="480"/>
        <w:gridCol w:w="900"/>
        <w:gridCol w:w="975"/>
        <w:gridCol w:w="870"/>
      </w:tblGrid>
      <w:tr w14:paraId="7E73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4DF4C6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502" w:type="dxa"/>
            <w:vAlign w:val="center"/>
          </w:tcPr>
          <w:p w14:paraId="53C76F35">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015" w:type="dxa"/>
            <w:vAlign w:val="center"/>
          </w:tcPr>
          <w:p w14:paraId="3A330E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450" w:type="dxa"/>
            <w:vAlign w:val="center"/>
          </w:tcPr>
          <w:p w14:paraId="2451F3B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480" w:type="dxa"/>
            <w:vAlign w:val="center"/>
          </w:tcPr>
          <w:p w14:paraId="5DBB7A4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00" w:type="dxa"/>
            <w:vAlign w:val="center"/>
          </w:tcPr>
          <w:p w14:paraId="041A13B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975" w:type="dxa"/>
            <w:vAlign w:val="center"/>
          </w:tcPr>
          <w:p w14:paraId="792081E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c>
          <w:tcPr>
            <w:tcW w:w="870" w:type="dxa"/>
            <w:vAlign w:val="center"/>
          </w:tcPr>
          <w:p w14:paraId="79A8044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7CE6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C187A71">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1</w:t>
            </w:r>
          </w:p>
        </w:tc>
        <w:tc>
          <w:tcPr>
            <w:tcW w:w="1502" w:type="dxa"/>
            <w:vAlign w:val="center"/>
          </w:tcPr>
          <w:p w14:paraId="66683512">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储气罐</w:t>
            </w:r>
          </w:p>
        </w:tc>
        <w:tc>
          <w:tcPr>
            <w:tcW w:w="3015" w:type="dxa"/>
            <w:vAlign w:val="center"/>
          </w:tcPr>
          <w:p w14:paraId="45C3380E">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容积3m³， 工作压力0.8MPa 介质：压缩空气，</w:t>
            </w:r>
            <w:r>
              <w:rPr>
                <w:rFonts w:hint="eastAsia" w:ascii="宋体" w:hAnsi="宋体" w:eastAsia="宋体" w:cs="宋体"/>
                <w:i w:val="0"/>
                <w:iCs w:val="0"/>
                <w:color w:val="000000"/>
                <w:kern w:val="0"/>
                <w:sz w:val="22"/>
                <w:szCs w:val="22"/>
                <w:u w:val="none"/>
                <w:lang w:val="en-US" w:eastAsia="zh-CN" w:bidi="ar"/>
              </w:rPr>
              <w:t>设计温度100</w:t>
            </w:r>
            <w:r>
              <w:rPr>
                <w:rFonts w:ascii="仿宋" w:hAnsi="仿宋" w:eastAsia="仿宋" w:cs="仿宋"/>
                <w:i w:val="0"/>
                <w:iCs w:val="0"/>
                <w:color w:val="000000"/>
                <w:kern w:val="0"/>
                <w:sz w:val="22"/>
                <w:szCs w:val="22"/>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，含安全阀（需带校验报告）、压力表、排污阀等附件。储气罐附随机出厂文件，包含产品质量证明书、合格证、数据表、制造监督检验证书等。供货单位负责办理安装告知等施工手续并提供施工资料</w:t>
            </w:r>
          </w:p>
        </w:tc>
        <w:tc>
          <w:tcPr>
            <w:tcW w:w="450" w:type="dxa"/>
            <w:vAlign w:val="center"/>
          </w:tcPr>
          <w:p w14:paraId="41D9B38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1</w:t>
            </w:r>
          </w:p>
        </w:tc>
        <w:tc>
          <w:tcPr>
            <w:tcW w:w="480" w:type="dxa"/>
            <w:vAlign w:val="center"/>
          </w:tcPr>
          <w:p w14:paraId="6EEC72F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00" w:type="dxa"/>
            <w:vAlign w:val="center"/>
          </w:tcPr>
          <w:p w14:paraId="214BB5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975" w:type="dxa"/>
            <w:vAlign w:val="center"/>
          </w:tcPr>
          <w:p w14:paraId="322B170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233ABD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2ED7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87FE8A3">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1502" w:type="dxa"/>
            <w:vAlign w:val="center"/>
          </w:tcPr>
          <w:p w14:paraId="7F615CC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盐酸储罐及计量器</w:t>
            </w:r>
          </w:p>
        </w:tc>
        <w:tc>
          <w:tcPr>
            <w:tcW w:w="3015" w:type="dxa"/>
            <w:vAlign w:val="center"/>
          </w:tcPr>
          <w:p w14:paraId="3E27AA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50" w:type="dxa"/>
            <w:vAlign w:val="center"/>
          </w:tcPr>
          <w:p w14:paraId="7E282E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80" w:type="dxa"/>
            <w:vAlign w:val="center"/>
          </w:tcPr>
          <w:p w14:paraId="5F1C70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0" w:type="dxa"/>
            <w:vAlign w:val="center"/>
          </w:tcPr>
          <w:p w14:paraId="39E1A50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975" w:type="dxa"/>
            <w:vAlign w:val="center"/>
          </w:tcPr>
          <w:p w14:paraId="6E45B94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5777598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A250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333AF70C">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①</w:t>
            </w:r>
          </w:p>
        </w:tc>
        <w:tc>
          <w:tcPr>
            <w:tcW w:w="1502" w:type="dxa"/>
            <w:vAlign w:val="center"/>
          </w:tcPr>
          <w:p w14:paraId="4480C69F">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盐酸储罐</w:t>
            </w:r>
          </w:p>
        </w:tc>
        <w:tc>
          <w:tcPr>
            <w:tcW w:w="3015" w:type="dxa"/>
            <w:vAlign w:val="center"/>
          </w:tcPr>
          <w:p w14:paraId="1A04F112">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 xml:space="preserve">Φ2500*2000 内衬聚四氟乙烯 盐酸浓度31%-35% 上盖密封带DN50法兰2个 侧装磁翻板液位计 侧壁带DN50法兰2个 盐酸储罐含安装 </w:t>
            </w:r>
          </w:p>
        </w:tc>
        <w:tc>
          <w:tcPr>
            <w:tcW w:w="450" w:type="dxa"/>
            <w:vAlign w:val="center"/>
          </w:tcPr>
          <w:p w14:paraId="3093E819">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1</w:t>
            </w:r>
          </w:p>
        </w:tc>
        <w:tc>
          <w:tcPr>
            <w:tcW w:w="480" w:type="dxa"/>
            <w:vAlign w:val="center"/>
          </w:tcPr>
          <w:p w14:paraId="73E7DBFE">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00" w:type="dxa"/>
            <w:vAlign w:val="center"/>
          </w:tcPr>
          <w:p w14:paraId="2A9062C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975" w:type="dxa"/>
            <w:vAlign w:val="center"/>
          </w:tcPr>
          <w:p w14:paraId="0085081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53342BF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24C5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BCD71E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②</w:t>
            </w:r>
          </w:p>
        </w:tc>
        <w:tc>
          <w:tcPr>
            <w:tcW w:w="1502" w:type="dxa"/>
            <w:vAlign w:val="center"/>
          </w:tcPr>
          <w:p w14:paraId="158F8294">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盐酸计量器</w:t>
            </w:r>
          </w:p>
        </w:tc>
        <w:tc>
          <w:tcPr>
            <w:tcW w:w="3015" w:type="dxa"/>
            <w:vAlign w:val="center"/>
          </w:tcPr>
          <w:p w14:paraId="4926E27D">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 xml:space="preserve">Φ1150*1100 内衬聚四氟乙烯 盐酸浓度31%-35%  带DN50法兰3个 侧装磁翻板液位计  与盐酸储罐对接 含安装校准 </w:t>
            </w:r>
          </w:p>
        </w:tc>
        <w:tc>
          <w:tcPr>
            <w:tcW w:w="450" w:type="dxa"/>
            <w:vAlign w:val="center"/>
          </w:tcPr>
          <w:p w14:paraId="6BEA48A8">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1</w:t>
            </w:r>
          </w:p>
        </w:tc>
        <w:tc>
          <w:tcPr>
            <w:tcW w:w="480" w:type="dxa"/>
            <w:vAlign w:val="center"/>
          </w:tcPr>
          <w:p w14:paraId="2C6A0FC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00" w:type="dxa"/>
            <w:vAlign w:val="center"/>
          </w:tcPr>
          <w:p w14:paraId="26CAE28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975" w:type="dxa"/>
            <w:vAlign w:val="center"/>
          </w:tcPr>
          <w:p w14:paraId="54C206B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36697A1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1588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338AC789">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3</w:t>
            </w:r>
          </w:p>
        </w:tc>
        <w:tc>
          <w:tcPr>
            <w:tcW w:w="1502" w:type="dxa"/>
            <w:vAlign w:val="center"/>
          </w:tcPr>
          <w:p w14:paraId="40FE544C">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盐酸酸雾吸收器</w:t>
            </w:r>
          </w:p>
        </w:tc>
        <w:tc>
          <w:tcPr>
            <w:tcW w:w="3015" w:type="dxa"/>
            <w:vAlign w:val="center"/>
          </w:tcPr>
          <w:p w14:paraId="75C8DB8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Φ500 盐酸浓度31%-35% 与盐酸储罐对接，附参考图2张</w:t>
            </w:r>
          </w:p>
        </w:tc>
        <w:tc>
          <w:tcPr>
            <w:tcW w:w="450" w:type="dxa"/>
            <w:vAlign w:val="center"/>
          </w:tcPr>
          <w:p w14:paraId="0ADDE59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2</w:t>
            </w:r>
          </w:p>
        </w:tc>
        <w:tc>
          <w:tcPr>
            <w:tcW w:w="480" w:type="dxa"/>
            <w:vAlign w:val="center"/>
          </w:tcPr>
          <w:p w14:paraId="146508A0">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900" w:type="dxa"/>
            <w:vAlign w:val="center"/>
          </w:tcPr>
          <w:p w14:paraId="0302132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975" w:type="dxa"/>
            <w:vAlign w:val="center"/>
          </w:tcPr>
          <w:p w14:paraId="65A006D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7FEC23C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302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59" w:type="dxa"/>
            <w:vAlign w:val="center"/>
          </w:tcPr>
          <w:p w14:paraId="037402CE">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4</w:t>
            </w:r>
          </w:p>
        </w:tc>
        <w:tc>
          <w:tcPr>
            <w:tcW w:w="1502" w:type="dxa"/>
            <w:vAlign w:val="center"/>
          </w:tcPr>
          <w:p w14:paraId="2AB482AF">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盐酸储罐管件</w:t>
            </w:r>
          </w:p>
        </w:tc>
        <w:tc>
          <w:tcPr>
            <w:tcW w:w="3015" w:type="dxa"/>
            <w:vAlign w:val="center"/>
          </w:tcPr>
          <w:p w14:paraId="630479E4">
            <w:pPr>
              <w:keepNext w:val="0"/>
              <w:keepLines w:val="0"/>
              <w:widowControl/>
              <w:suppressLineNumbers w:val="0"/>
              <w:jc w:val="center"/>
              <w:textAlignment w:val="center"/>
              <w:rPr>
                <w:rFonts w:hint="eastAsia" w:ascii="宋体" w:hAnsi="宋体" w:eastAsia="宋体" w:cs="宋体"/>
                <w:color w:val="auto"/>
                <w:sz w:val="24"/>
                <w:szCs w:val="24"/>
                <w:highlight w:val="none"/>
              </w:rPr>
            </w:pPr>
          </w:p>
        </w:tc>
        <w:tc>
          <w:tcPr>
            <w:tcW w:w="450" w:type="dxa"/>
            <w:vAlign w:val="center"/>
          </w:tcPr>
          <w:p w14:paraId="31EC4995">
            <w:pPr>
              <w:keepNext w:val="0"/>
              <w:keepLines w:val="0"/>
              <w:widowControl/>
              <w:suppressLineNumbers w:val="0"/>
              <w:jc w:val="center"/>
              <w:textAlignment w:val="center"/>
              <w:rPr>
                <w:rFonts w:hint="eastAsia" w:ascii="宋体" w:hAnsi="宋体" w:eastAsia="宋体" w:cs="宋体"/>
                <w:color w:val="auto"/>
                <w:sz w:val="24"/>
                <w:szCs w:val="24"/>
                <w:highlight w:val="none"/>
              </w:rPr>
            </w:pPr>
          </w:p>
        </w:tc>
        <w:tc>
          <w:tcPr>
            <w:tcW w:w="480" w:type="dxa"/>
            <w:vAlign w:val="center"/>
          </w:tcPr>
          <w:p w14:paraId="40C22FEC">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c>
          <w:tcPr>
            <w:tcW w:w="900" w:type="dxa"/>
            <w:vAlign w:val="center"/>
          </w:tcPr>
          <w:p w14:paraId="4E5EA21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975" w:type="dxa"/>
            <w:vAlign w:val="center"/>
          </w:tcPr>
          <w:p w14:paraId="39167D6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6CEFDF0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AA5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B81C72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①</w:t>
            </w:r>
          </w:p>
        </w:tc>
        <w:tc>
          <w:tcPr>
            <w:tcW w:w="1502" w:type="dxa"/>
            <w:vAlign w:val="center"/>
          </w:tcPr>
          <w:p w14:paraId="4F74CB00">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UPVC管</w:t>
            </w:r>
          </w:p>
        </w:tc>
        <w:tc>
          <w:tcPr>
            <w:tcW w:w="3015" w:type="dxa"/>
            <w:vAlign w:val="center"/>
          </w:tcPr>
          <w:p w14:paraId="43835C2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Φ63</w:t>
            </w:r>
          </w:p>
        </w:tc>
        <w:tc>
          <w:tcPr>
            <w:tcW w:w="450" w:type="dxa"/>
            <w:vAlign w:val="center"/>
          </w:tcPr>
          <w:p w14:paraId="43C1DD30">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40</w:t>
            </w:r>
          </w:p>
        </w:tc>
        <w:tc>
          <w:tcPr>
            <w:tcW w:w="480" w:type="dxa"/>
            <w:vAlign w:val="center"/>
          </w:tcPr>
          <w:p w14:paraId="2B3BDCD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米</w:t>
            </w:r>
          </w:p>
        </w:tc>
        <w:tc>
          <w:tcPr>
            <w:tcW w:w="900" w:type="dxa"/>
            <w:vAlign w:val="center"/>
          </w:tcPr>
          <w:p w14:paraId="789168D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975" w:type="dxa"/>
            <w:vAlign w:val="center"/>
          </w:tcPr>
          <w:p w14:paraId="6FD630F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1A3760A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3292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33900FD">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②</w:t>
            </w:r>
          </w:p>
        </w:tc>
        <w:tc>
          <w:tcPr>
            <w:tcW w:w="1502" w:type="dxa"/>
            <w:vAlign w:val="center"/>
          </w:tcPr>
          <w:p w14:paraId="515B946E">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UPVC弯头</w:t>
            </w:r>
          </w:p>
        </w:tc>
        <w:tc>
          <w:tcPr>
            <w:tcW w:w="3015" w:type="dxa"/>
            <w:vAlign w:val="center"/>
          </w:tcPr>
          <w:p w14:paraId="478315A1">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Φ63</w:t>
            </w:r>
          </w:p>
        </w:tc>
        <w:tc>
          <w:tcPr>
            <w:tcW w:w="450" w:type="dxa"/>
            <w:vAlign w:val="center"/>
          </w:tcPr>
          <w:p w14:paraId="5F75EBF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30</w:t>
            </w:r>
          </w:p>
        </w:tc>
        <w:tc>
          <w:tcPr>
            <w:tcW w:w="480" w:type="dxa"/>
            <w:vAlign w:val="center"/>
          </w:tcPr>
          <w:p w14:paraId="6DEE9AF4">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00" w:type="dxa"/>
            <w:vAlign w:val="center"/>
          </w:tcPr>
          <w:p w14:paraId="1C4E77C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975" w:type="dxa"/>
            <w:vAlign w:val="center"/>
          </w:tcPr>
          <w:p w14:paraId="132D5BD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2DF0054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728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24FAD66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③</w:t>
            </w:r>
          </w:p>
        </w:tc>
        <w:tc>
          <w:tcPr>
            <w:tcW w:w="1502" w:type="dxa"/>
            <w:vAlign w:val="center"/>
          </w:tcPr>
          <w:p w14:paraId="30D6D393">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UPVC球阀</w:t>
            </w:r>
          </w:p>
        </w:tc>
        <w:tc>
          <w:tcPr>
            <w:tcW w:w="3015" w:type="dxa"/>
            <w:vAlign w:val="center"/>
          </w:tcPr>
          <w:p w14:paraId="21E9689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Φ63</w:t>
            </w:r>
          </w:p>
        </w:tc>
        <w:tc>
          <w:tcPr>
            <w:tcW w:w="450" w:type="dxa"/>
            <w:vAlign w:val="center"/>
          </w:tcPr>
          <w:p w14:paraId="7568B549">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10</w:t>
            </w:r>
          </w:p>
        </w:tc>
        <w:tc>
          <w:tcPr>
            <w:tcW w:w="480" w:type="dxa"/>
            <w:vAlign w:val="center"/>
          </w:tcPr>
          <w:p w14:paraId="6830F522">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00" w:type="dxa"/>
            <w:vAlign w:val="center"/>
          </w:tcPr>
          <w:p w14:paraId="43461A4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975" w:type="dxa"/>
            <w:vAlign w:val="center"/>
          </w:tcPr>
          <w:p w14:paraId="643BCAE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670BB2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FF0C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3EB85A5">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④</w:t>
            </w:r>
          </w:p>
        </w:tc>
        <w:tc>
          <w:tcPr>
            <w:tcW w:w="1502" w:type="dxa"/>
            <w:vAlign w:val="center"/>
          </w:tcPr>
          <w:p w14:paraId="0FB2AE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UPVC直通</w:t>
            </w:r>
          </w:p>
        </w:tc>
        <w:tc>
          <w:tcPr>
            <w:tcW w:w="3015" w:type="dxa"/>
            <w:vAlign w:val="center"/>
          </w:tcPr>
          <w:p w14:paraId="50BF06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Φ63</w:t>
            </w:r>
          </w:p>
        </w:tc>
        <w:tc>
          <w:tcPr>
            <w:tcW w:w="450" w:type="dxa"/>
            <w:vAlign w:val="center"/>
          </w:tcPr>
          <w:p w14:paraId="067ED2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480" w:type="dxa"/>
            <w:vAlign w:val="center"/>
          </w:tcPr>
          <w:p w14:paraId="264E8A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00" w:type="dxa"/>
            <w:vAlign w:val="center"/>
          </w:tcPr>
          <w:p w14:paraId="0AA3215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975" w:type="dxa"/>
            <w:vAlign w:val="center"/>
          </w:tcPr>
          <w:p w14:paraId="17F0BC3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626CF61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61AAC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89FF4ED">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1502" w:type="dxa"/>
            <w:vAlign w:val="center"/>
          </w:tcPr>
          <w:p w14:paraId="4BE276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不锈钢潜水泵</w:t>
            </w:r>
          </w:p>
        </w:tc>
        <w:tc>
          <w:tcPr>
            <w:tcW w:w="3015" w:type="dxa"/>
            <w:vAlign w:val="center"/>
          </w:tcPr>
          <w:p w14:paraId="07A434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NT-9SHTT225F 316L 电机能效一级</w:t>
            </w:r>
          </w:p>
        </w:tc>
        <w:tc>
          <w:tcPr>
            <w:tcW w:w="450" w:type="dxa"/>
            <w:vAlign w:val="center"/>
          </w:tcPr>
          <w:p w14:paraId="7CB74B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480" w:type="dxa"/>
            <w:vAlign w:val="center"/>
          </w:tcPr>
          <w:p w14:paraId="24E390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900" w:type="dxa"/>
            <w:vAlign w:val="center"/>
          </w:tcPr>
          <w:p w14:paraId="3AB9BF1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975" w:type="dxa"/>
            <w:vAlign w:val="center"/>
          </w:tcPr>
          <w:p w14:paraId="601A366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398528BC">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244F8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8319554">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p>
        </w:tc>
        <w:tc>
          <w:tcPr>
            <w:tcW w:w="1502" w:type="dxa"/>
            <w:vAlign w:val="center"/>
          </w:tcPr>
          <w:p w14:paraId="776952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耐腐耐磨液下泵</w:t>
            </w:r>
          </w:p>
        </w:tc>
        <w:tc>
          <w:tcPr>
            <w:tcW w:w="3015" w:type="dxa"/>
            <w:vAlign w:val="center"/>
          </w:tcPr>
          <w:p w14:paraId="1CF6E0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80UFYB-35-2000-FYB 60m3/h 35m 液下深度2米 电机能效一级 宜兴瑞丰</w:t>
            </w:r>
          </w:p>
        </w:tc>
        <w:tc>
          <w:tcPr>
            <w:tcW w:w="450" w:type="dxa"/>
            <w:vAlign w:val="center"/>
          </w:tcPr>
          <w:p w14:paraId="7C0302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480" w:type="dxa"/>
            <w:vAlign w:val="center"/>
          </w:tcPr>
          <w:p w14:paraId="59F508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900" w:type="dxa"/>
            <w:vAlign w:val="center"/>
          </w:tcPr>
          <w:p w14:paraId="7A6134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975" w:type="dxa"/>
            <w:vAlign w:val="center"/>
          </w:tcPr>
          <w:p w14:paraId="73E249D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394FFDF8">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63FE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59" w:type="dxa"/>
            <w:vAlign w:val="center"/>
          </w:tcPr>
          <w:p w14:paraId="4AE6AA9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502" w:type="dxa"/>
            <w:vAlign w:val="center"/>
          </w:tcPr>
          <w:p w14:paraId="02B476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015" w:type="dxa"/>
            <w:vAlign w:val="top"/>
          </w:tcPr>
          <w:p w14:paraId="4FC54765">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450" w:type="dxa"/>
            <w:vAlign w:val="center"/>
          </w:tcPr>
          <w:p w14:paraId="2ACCBC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80" w:type="dxa"/>
            <w:vAlign w:val="center"/>
          </w:tcPr>
          <w:p w14:paraId="45D5CF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0" w:type="dxa"/>
            <w:vAlign w:val="center"/>
          </w:tcPr>
          <w:p w14:paraId="4749EC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75" w:type="dxa"/>
            <w:vAlign w:val="center"/>
          </w:tcPr>
          <w:p w14:paraId="2A6D42C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49916D3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C10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851" w:type="dxa"/>
            <w:gridSpan w:val="8"/>
            <w:vAlign w:val="center"/>
          </w:tcPr>
          <w:p w14:paraId="2B0599F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0"/>
                <w:szCs w:val="30"/>
                <w:vertAlign w:val="baseline"/>
                <w:lang w:val="en-US" w:eastAsia="zh-CN"/>
              </w:rPr>
              <w:t>备注：</w:t>
            </w:r>
            <w:r>
              <w:rPr>
                <w:rFonts w:hint="eastAsia" w:ascii="宋体" w:hAnsi="宋体" w:eastAsia="宋体" w:cs="宋体"/>
                <w:color w:val="auto"/>
                <w:sz w:val="21"/>
                <w:szCs w:val="21"/>
                <w:vertAlign w:val="baseline"/>
                <w:lang w:val="en-US" w:eastAsia="zh-CN"/>
              </w:rPr>
              <w:t>按要求报价，大小内含子项的必须报全，</w:t>
            </w:r>
            <w:r>
              <w:rPr>
                <w:rFonts w:hint="eastAsia" w:ascii="宋体" w:hAnsi="宋体" w:eastAsia="宋体" w:cs="宋体"/>
                <w:i w:val="0"/>
                <w:iCs w:val="0"/>
                <w:color w:val="000000"/>
                <w:kern w:val="0"/>
                <w:sz w:val="21"/>
                <w:szCs w:val="21"/>
                <w:u w:val="none"/>
                <w:lang w:val="en-US" w:eastAsia="zh-CN" w:bidi="ar"/>
              </w:rPr>
              <w:t>否则报价无效。</w:t>
            </w:r>
            <w:r>
              <w:rPr>
                <w:rFonts w:hint="eastAsia"/>
                <w:lang w:val="en-US" w:eastAsia="zh-CN"/>
              </w:rPr>
              <w:t>报价时除原有的PDF报价单还必须同时上传一份电子文档报价单。</w:t>
            </w:r>
          </w:p>
        </w:tc>
      </w:tr>
    </w:tbl>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66003217">
      <w:pPr>
        <w:pStyle w:val="3"/>
        <w:spacing w:after="0"/>
        <w:ind w:firstLine="3313" w:firstLineChars="1100"/>
        <w:jc w:val="both"/>
        <w:rPr>
          <w:rFonts w:hint="eastAsia" w:ascii="Times New Roman" w:hAnsi="Times New Roman"/>
          <w:color w:val="auto"/>
          <w:kern w:val="0"/>
          <w:lang w:val="en-US" w:eastAsia="zh-CN"/>
        </w:rPr>
      </w:pPr>
      <w:r>
        <w:rPr>
          <w:rFonts w:hint="eastAsia" w:ascii="宋体" w:hAnsi="宋体" w:eastAsia="宋体" w:cs="宋体"/>
          <w:b/>
          <w:bCs w:val="0"/>
          <w:color w:val="auto"/>
          <w:kern w:val="0"/>
          <w:sz w:val="30"/>
          <w:szCs w:val="30"/>
          <w:lang w:val="en-US" w:eastAsia="zh-CN"/>
        </w:rPr>
        <w:t>报价日期：   年   月   日</w:t>
      </w:r>
    </w:p>
    <w:p w14:paraId="0FB2FF7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14:paraId="22C76258">
      <w:pPr>
        <w:pStyle w:val="3"/>
        <w:spacing w:after="0"/>
        <w:jc w:val="both"/>
        <w:rPr>
          <w:rFonts w:hint="eastAsia" w:ascii="Times New Roman" w:hAnsi="Times New Roman"/>
          <w:color w:val="auto"/>
          <w:kern w:val="0"/>
          <w:lang w:val="en-US" w:eastAsia="zh-CN"/>
        </w:rPr>
      </w:pPr>
    </w:p>
    <w:p w14:paraId="36F67F8B">
      <w:pPr>
        <w:pStyle w:val="3"/>
        <w:spacing w:after="0"/>
        <w:jc w:val="both"/>
        <w:rPr>
          <w:rFonts w:hint="eastAsia" w:ascii="Times New Roman" w:hAnsi="Times New Roman"/>
          <w:color w:val="auto"/>
          <w:kern w:val="0"/>
          <w:lang w:val="en-US" w:eastAsia="zh-CN"/>
        </w:rPr>
      </w:pPr>
    </w:p>
    <w:p w14:paraId="071FEA68">
      <w:pPr>
        <w:pStyle w:val="3"/>
        <w:spacing w:after="0"/>
        <w:jc w:val="both"/>
        <w:rPr>
          <w:rFonts w:hint="eastAsia" w:ascii="Times New Roman" w:hAnsi="Times New Roman"/>
          <w:color w:val="auto"/>
          <w:kern w:val="0"/>
          <w:lang w:val="en-US" w:eastAsia="zh-CN"/>
        </w:rPr>
      </w:pPr>
    </w:p>
    <w:p w14:paraId="738D8171">
      <w:pPr>
        <w:pStyle w:val="3"/>
        <w:spacing w:after="0"/>
        <w:jc w:val="both"/>
        <w:rPr>
          <w:rFonts w:hint="eastAsia" w:ascii="Times New Roman" w:hAnsi="Times New Roman"/>
          <w:color w:val="auto"/>
          <w:kern w:val="0"/>
          <w:lang w:val="en-US" w:eastAsia="zh-CN"/>
        </w:rPr>
      </w:pPr>
    </w:p>
    <w:p w14:paraId="602400A9">
      <w:pPr>
        <w:pStyle w:val="3"/>
        <w:spacing w:after="0"/>
        <w:jc w:val="both"/>
        <w:rPr>
          <w:rFonts w:hint="eastAsia" w:ascii="Times New Roman" w:hAnsi="Times New Roman"/>
          <w:color w:val="auto"/>
          <w:kern w:val="0"/>
          <w:lang w:val="en-US" w:eastAsia="zh-CN"/>
        </w:rPr>
      </w:pPr>
    </w:p>
    <w:p w14:paraId="1771A815">
      <w:pPr>
        <w:pStyle w:val="3"/>
        <w:spacing w:after="0"/>
        <w:jc w:val="both"/>
        <w:rPr>
          <w:rFonts w:hint="eastAsia" w:ascii="Times New Roman" w:hAnsi="Times New Roman"/>
          <w:color w:val="auto"/>
          <w:kern w:val="0"/>
          <w:lang w:val="en-US" w:eastAsia="zh-CN"/>
        </w:rPr>
      </w:pPr>
    </w:p>
    <w:p w14:paraId="25FB7E17">
      <w:pPr>
        <w:pStyle w:val="3"/>
        <w:spacing w:after="0"/>
        <w:jc w:val="both"/>
        <w:rPr>
          <w:rFonts w:hint="eastAsia" w:ascii="Times New Roman" w:hAnsi="Times New Roman"/>
          <w:color w:val="auto"/>
          <w:kern w:val="0"/>
          <w:lang w:val="en-US" w:eastAsia="zh-CN"/>
        </w:rPr>
      </w:pPr>
    </w:p>
    <w:p w14:paraId="7B696E15">
      <w:pPr>
        <w:pStyle w:val="3"/>
        <w:spacing w:after="0"/>
        <w:jc w:val="both"/>
        <w:rPr>
          <w:rFonts w:hint="eastAsia" w:ascii="Times New Roman" w:hAnsi="Times New Roman"/>
          <w:color w:val="auto"/>
          <w:kern w:val="0"/>
          <w:lang w:val="en-US" w:eastAsia="zh-CN"/>
        </w:rPr>
      </w:pPr>
    </w:p>
    <w:p w14:paraId="6FE84B7B">
      <w:pPr>
        <w:pStyle w:val="3"/>
        <w:spacing w:after="0"/>
        <w:jc w:val="both"/>
        <w:rPr>
          <w:rFonts w:hint="eastAsia" w:ascii="Times New Roman" w:hAnsi="Times New Roman"/>
          <w:color w:val="auto"/>
          <w:kern w:val="0"/>
          <w:lang w:val="en-US" w:eastAsia="zh-CN"/>
        </w:rPr>
      </w:pPr>
    </w:p>
    <w:p w14:paraId="1595B4F9">
      <w:pPr>
        <w:pStyle w:val="3"/>
        <w:spacing w:after="0"/>
        <w:jc w:val="both"/>
        <w:rPr>
          <w:rFonts w:hint="eastAsia" w:ascii="Times New Roman" w:hAnsi="Times New Roman"/>
          <w:color w:val="auto"/>
          <w:kern w:val="0"/>
          <w:lang w:val="en-US" w:eastAsia="zh-CN"/>
        </w:rPr>
      </w:pPr>
    </w:p>
    <w:p w14:paraId="70C3B150">
      <w:pPr>
        <w:rPr>
          <w:rFonts w:hint="eastAsia"/>
          <w:lang w:val="en-US" w:eastAsia="zh-CN"/>
        </w:rPr>
      </w:pPr>
    </w:p>
    <w:p w14:paraId="3BDD1CB3">
      <w:pPr>
        <w:rPr>
          <w:rFonts w:hint="eastAsia"/>
          <w:lang w:val="en-US" w:eastAsia="zh-CN"/>
        </w:rPr>
      </w:pPr>
    </w:p>
    <w:p w14:paraId="6ADDE3D4">
      <w:pPr>
        <w:rPr>
          <w:rFonts w:hint="eastAsia"/>
          <w:lang w:val="en-US" w:eastAsia="zh-CN"/>
        </w:rPr>
      </w:pPr>
    </w:p>
    <w:p w14:paraId="3A3E255C">
      <w:pPr>
        <w:rPr>
          <w:rFonts w:hint="eastAsia"/>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504488778"/>
      <w:bookmarkStart w:id="206"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502BBB-0F2F-485F-B11A-6487FDB3FB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A1263363-05ED-4C6B-909B-C1114AA88059}"/>
  </w:font>
  <w:font w:name="方正小标宋简体">
    <w:panose1 w:val="02000000000000000000"/>
    <w:charset w:val="86"/>
    <w:family w:val="auto"/>
    <w:pitch w:val="default"/>
    <w:sig w:usb0="00000001" w:usb1="08000000" w:usb2="00000000" w:usb3="00000000" w:csb0="00040000" w:csb1="00000000"/>
    <w:embedRegular r:id="rId3" w:fontKey="{B3B0DCEA-18BA-4C03-A6FC-F62FB4C30A47}"/>
  </w:font>
  <w:font w:name="微软雅黑">
    <w:panose1 w:val="020B0503020204020204"/>
    <w:charset w:val="86"/>
    <w:family w:val="auto"/>
    <w:pitch w:val="default"/>
    <w:sig w:usb0="80000287" w:usb1="2ACF3C50" w:usb2="00000016" w:usb3="00000000" w:csb0="0004001F" w:csb1="00000000"/>
    <w:embedRegular r:id="rId4" w:fontKey="{24607C59-EF99-41AB-AEE8-C34DF39677A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A77DC2"/>
    <w:rsid w:val="00CB6297"/>
    <w:rsid w:val="01251650"/>
    <w:rsid w:val="01A67659"/>
    <w:rsid w:val="023E2922"/>
    <w:rsid w:val="026A1189"/>
    <w:rsid w:val="02C4662B"/>
    <w:rsid w:val="03522A58"/>
    <w:rsid w:val="03C74658"/>
    <w:rsid w:val="04775EC4"/>
    <w:rsid w:val="051379D8"/>
    <w:rsid w:val="05BE40FB"/>
    <w:rsid w:val="06141C07"/>
    <w:rsid w:val="06BB2083"/>
    <w:rsid w:val="0765096C"/>
    <w:rsid w:val="076A5F83"/>
    <w:rsid w:val="07720B9B"/>
    <w:rsid w:val="079E79DA"/>
    <w:rsid w:val="07C17B6D"/>
    <w:rsid w:val="08D00E36"/>
    <w:rsid w:val="0A834711"/>
    <w:rsid w:val="0AA3355A"/>
    <w:rsid w:val="0B597A11"/>
    <w:rsid w:val="0BC114DF"/>
    <w:rsid w:val="0CAF4DC4"/>
    <w:rsid w:val="0CB11F5E"/>
    <w:rsid w:val="0CDF4D1D"/>
    <w:rsid w:val="0D1C7D25"/>
    <w:rsid w:val="0DBA6674"/>
    <w:rsid w:val="0F4345F5"/>
    <w:rsid w:val="102F1EF5"/>
    <w:rsid w:val="114161E7"/>
    <w:rsid w:val="114715EE"/>
    <w:rsid w:val="11EF2101"/>
    <w:rsid w:val="120D40DA"/>
    <w:rsid w:val="124B075F"/>
    <w:rsid w:val="12624DFB"/>
    <w:rsid w:val="130628D8"/>
    <w:rsid w:val="14DE58BA"/>
    <w:rsid w:val="14F74BCE"/>
    <w:rsid w:val="14F90946"/>
    <w:rsid w:val="14FD19B0"/>
    <w:rsid w:val="15350822"/>
    <w:rsid w:val="153D34BA"/>
    <w:rsid w:val="15885D81"/>
    <w:rsid w:val="16B5089D"/>
    <w:rsid w:val="17606A5A"/>
    <w:rsid w:val="17725CE9"/>
    <w:rsid w:val="18493992"/>
    <w:rsid w:val="18C63235"/>
    <w:rsid w:val="19B65298"/>
    <w:rsid w:val="19BF0744"/>
    <w:rsid w:val="19BF485E"/>
    <w:rsid w:val="19EF056A"/>
    <w:rsid w:val="1AEC4493"/>
    <w:rsid w:val="1B177D78"/>
    <w:rsid w:val="1BE41FFF"/>
    <w:rsid w:val="1BF849AC"/>
    <w:rsid w:val="1D13631D"/>
    <w:rsid w:val="1D774AFE"/>
    <w:rsid w:val="1DA8115B"/>
    <w:rsid w:val="1DB27CC5"/>
    <w:rsid w:val="1DD30B53"/>
    <w:rsid w:val="1E0E568F"/>
    <w:rsid w:val="1E1E31CB"/>
    <w:rsid w:val="1E34479D"/>
    <w:rsid w:val="1E454BFC"/>
    <w:rsid w:val="1E535EBD"/>
    <w:rsid w:val="207A66C7"/>
    <w:rsid w:val="207E073E"/>
    <w:rsid w:val="213078D8"/>
    <w:rsid w:val="21834158"/>
    <w:rsid w:val="21C72A3E"/>
    <w:rsid w:val="220426D8"/>
    <w:rsid w:val="22280ABD"/>
    <w:rsid w:val="22340084"/>
    <w:rsid w:val="22DC7770"/>
    <w:rsid w:val="22F5715A"/>
    <w:rsid w:val="23030452"/>
    <w:rsid w:val="233D2346"/>
    <w:rsid w:val="23681EC9"/>
    <w:rsid w:val="241430A6"/>
    <w:rsid w:val="244F0582"/>
    <w:rsid w:val="2452597D"/>
    <w:rsid w:val="254259F1"/>
    <w:rsid w:val="257B5469"/>
    <w:rsid w:val="25A91F14"/>
    <w:rsid w:val="26A86F43"/>
    <w:rsid w:val="26AC5D22"/>
    <w:rsid w:val="26F62F37"/>
    <w:rsid w:val="27CC3C98"/>
    <w:rsid w:val="28D635FE"/>
    <w:rsid w:val="297D7484"/>
    <w:rsid w:val="29BD1AEA"/>
    <w:rsid w:val="2A04596B"/>
    <w:rsid w:val="2A1A0CEB"/>
    <w:rsid w:val="2A2E0C3A"/>
    <w:rsid w:val="2A331DAD"/>
    <w:rsid w:val="2A4B3DED"/>
    <w:rsid w:val="2ACF7D27"/>
    <w:rsid w:val="2B400C25"/>
    <w:rsid w:val="2B944603"/>
    <w:rsid w:val="2BF61145"/>
    <w:rsid w:val="2D331C6F"/>
    <w:rsid w:val="2D8469EC"/>
    <w:rsid w:val="2DE05E9B"/>
    <w:rsid w:val="2DEE2BBA"/>
    <w:rsid w:val="2E033918"/>
    <w:rsid w:val="2EA4771D"/>
    <w:rsid w:val="2EF04710"/>
    <w:rsid w:val="312B32C2"/>
    <w:rsid w:val="31832E12"/>
    <w:rsid w:val="3243100D"/>
    <w:rsid w:val="32A1627D"/>
    <w:rsid w:val="33260700"/>
    <w:rsid w:val="33296443"/>
    <w:rsid w:val="333C7F24"/>
    <w:rsid w:val="333D3C9C"/>
    <w:rsid w:val="339B5162"/>
    <w:rsid w:val="348778C5"/>
    <w:rsid w:val="34DF16EF"/>
    <w:rsid w:val="354E1250"/>
    <w:rsid w:val="358E6037"/>
    <w:rsid w:val="36AC716F"/>
    <w:rsid w:val="372728BB"/>
    <w:rsid w:val="37991DE9"/>
    <w:rsid w:val="38C369F1"/>
    <w:rsid w:val="39974106"/>
    <w:rsid w:val="39A607ED"/>
    <w:rsid w:val="3A3A65D2"/>
    <w:rsid w:val="3A43603C"/>
    <w:rsid w:val="3A561988"/>
    <w:rsid w:val="3BF30865"/>
    <w:rsid w:val="3BFF184D"/>
    <w:rsid w:val="3CB63F34"/>
    <w:rsid w:val="3CEB6517"/>
    <w:rsid w:val="3CFB6595"/>
    <w:rsid w:val="3CFD6BB7"/>
    <w:rsid w:val="3D34475C"/>
    <w:rsid w:val="3DCB6742"/>
    <w:rsid w:val="3E38578C"/>
    <w:rsid w:val="3E3C01FF"/>
    <w:rsid w:val="3EC55195"/>
    <w:rsid w:val="3F3441A5"/>
    <w:rsid w:val="3F593C0C"/>
    <w:rsid w:val="3FC574F3"/>
    <w:rsid w:val="3FE9293F"/>
    <w:rsid w:val="405A4224"/>
    <w:rsid w:val="4081166C"/>
    <w:rsid w:val="40923879"/>
    <w:rsid w:val="427A5715"/>
    <w:rsid w:val="42D31499"/>
    <w:rsid w:val="433C5D1E"/>
    <w:rsid w:val="44093E52"/>
    <w:rsid w:val="44107006"/>
    <w:rsid w:val="44226CC2"/>
    <w:rsid w:val="44920CB0"/>
    <w:rsid w:val="45726E52"/>
    <w:rsid w:val="45A00D58"/>
    <w:rsid w:val="46072613"/>
    <w:rsid w:val="460E1AB7"/>
    <w:rsid w:val="460F14C8"/>
    <w:rsid w:val="46637C62"/>
    <w:rsid w:val="46933C70"/>
    <w:rsid w:val="46C40504"/>
    <w:rsid w:val="46EE5581"/>
    <w:rsid w:val="46F30DEA"/>
    <w:rsid w:val="47D93185"/>
    <w:rsid w:val="48F86DE0"/>
    <w:rsid w:val="4B0B57E5"/>
    <w:rsid w:val="4B896DF6"/>
    <w:rsid w:val="4BC15012"/>
    <w:rsid w:val="4CB27A82"/>
    <w:rsid w:val="4D2407F9"/>
    <w:rsid w:val="4D66647C"/>
    <w:rsid w:val="4D740D81"/>
    <w:rsid w:val="4DD94895"/>
    <w:rsid w:val="4E6B74B7"/>
    <w:rsid w:val="4F18763F"/>
    <w:rsid w:val="4F2D1733"/>
    <w:rsid w:val="4F4A53A9"/>
    <w:rsid w:val="4FA233AD"/>
    <w:rsid w:val="500261D8"/>
    <w:rsid w:val="50041972"/>
    <w:rsid w:val="50610B72"/>
    <w:rsid w:val="509B2FD7"/>
    <w:rsid w:val="51D376E3"/>
    <w:rsid w:val="51E67581"/>
    <w:rsid w:val="523676EA"/>
    <w:rsid w:val="524F1A19"/>
    <w:rsid w:val="528D5C4E"/>
    <w:rsid w:val="52FC4B82"/>
    <w:rsid w:val="53E915AA"/>
    <w:rsid w:val="54273E81"/>
    <w:rsid w:val="54EB7CA8"/>
    <w:rsid w:val="55782BE6"/>
    <w:rsid w:val="55EF7BB3"/>
    <w:rsid w:val="55F20E2B"/>
    <w:rsid w:val="56737851"/>
    <w:rsid w:val="5680683F"/>
    <w:rsid w:val="56BE3705"/>
    <w:rsid w:val="56D16FAA"/>
    <w:rsid w:val="56F815DC"/>
    <w:rsid w:val="56FA58A1"/>
    <w:rsid w:val="57711FE2"/>
    <w:rsid w:val="57E52089"/>
    <w:rsid w:val="58647451"/>
    <w:rsid w:val="59907EED"/>
    <w:rsid w:val="5A715E56"/>
    <w:rsid w:val="5AB53F94"/>
    <w:rsid w:val="5B60755C"/>
    <w:rsid w:val="5B6F6839"/>
    <w:rsid w:val="5B97061C"/>
    <w:rsid w:val="5C02145B"/>
    <w:rsid w:val="5C2B04AE"/>
    <w:rsid w:val="5C594DF3"/>
    <w:rsid w:val="5D042FB1"/>
    <w:rsid w:val="5D6808B8"/>
    <w:rsid w:val="5D777A24"/>
    <w:rsid w:val="5DA36C6E"/>
    <w:rsid w:val="5DA87DE0"/>
    <w:rsid w:val="5DCA09A3"/>
    <w:rsid w:val="5E167440"/>
    <w:rsid w:val="5E253E84"/>
    <w:rsid w:val="5E5B4E53"/>
    <w:rsid w:val="5E8D407E"/>
    <w:rsid w:val="5E983354"/>
    <w:rsid w:val="5EDD305D"/>
    <w:rsid w:val="5F213A10"/>
    <w:rsid w:val="5F8C5DB5"/>
    <w:rsid w:val="60257A98"/>
    <w:rsid w:val="602C2F4B"/>
    <w:rsid w:val="60675D3C"/>
    <w:rsid w:val="6077565B"/>
    <w:rsid w:val="60A07495"/>
    <w:rsid w:val="60C97FB7"/>
    <w:rsid w:val="61137C66"/>
    <w:rsid w:val="61483E9A"/>
    <w:rsid w:val="61D92AF5"/>
    <w:rsid w:val="62B45479"/>
    <w:rsid w:val="64B22605"/>
    <w:rsid w:val="651E6BDA"/>
    <w:rsid w:val="661E50E3"/>
    <w:rsid w:val="66452F0C"/>
    <w:rsid w:val="6667362D"/>
    <w:rsid w:val="671D4BFD"/>
    <w:rsid w:val="672C3830"/>
    <w:rsid w:val="68365066"/>
    <w:rsid w:val="68B74363"/>
    <w:rsid w:val="695562B8"/>
    <w:rsid w:val="6998062A"/>
    <w:rsid w:val="69E314DA"/>
    <w:rsid w:val="69F446AA"/>
    <w:rsid w:val="6A445335"/>
    <w:rsid w:val="6AF503DD"/>
    <w:rsid w:val="6B7E6624"/>
    <w:rsid w:val="6BD87931"/>
    <w:rsid w:val="6C2347F8"/>
    <w:rsid w:val="6C950C9E"/>
    <w:rsid w:val="6C9B7855"/>
    <w:rsid w:val="6CAF118B"/>
    <w:rsid w:val="6CCD1611"/>
    <w:rsid w:val="6CE26D5D"/>
    <w:rsid w:val="6DB30807"/>
    <w:rsid w:val="6F4D07E7"/>
    <w:rsid w:val="703561B0"/>
    <w:rsid w:val="70626755"/>
    <w:rsid w:val="707458D8"/>
    <w:rsid w:val="712D08D1"/>
    <w:rsid w:val="72D51220"/>
    <w:rsid w:val="72E3289C"/>
    <w:rsid w:val="731D6723"/>
    <w:rsid w:val="736305DA"/>
    <w:rsid w:val="74C1539A"/>
    <w:rsid w:val="74F87447"/>
    <w:rsid w:val="75260EE2"/>
    <w:rsid w:val="7530098F"/>
    <w:rsid w:val="764C0EA4"/>
    <w:rsid w:val="76622B15"/>
    <w:rsid w:val="76987E92"/>
    <w:rsid w:val="774464EA"/>
    <w:rsid w:val="77832D86"/>
    <w:rsid w:val="78511348"/>
    <w:rsid w:val="78632E2A"/>
    <w:rsid w:val="7AEC5358"/>
    <w:rsid w:val="7B04782F"/>
    <w:rsid w:val="7B0B749C"/>
    <w:rsid w:val="7B5A49B8"/>
    <w:rsid w:val="7D8E0949"/>
    <w:rsid w:val="7EA1262B"/>
    <w:rsid w:val="7EF86055"/>
    <w:rsid w:val="7F06435D"/>
    <w:rsid w:val="7F0D7F93"/>
    <w:rsid w:val="7F442849"/>
    <w:rsid w:val="7F545015"/>
    <w:rsid w:val="7FBB179D"/>
    <w:rsid w:val="7FEC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7004</Words>
  <Characters>7461</Characters>
  <Lines>0</Lines>
  <Paragraphs>0</Paragraphs>
  <TotalTime>0</TotalTime>
  <ScaleCrop>false</ScaleCrop>
  <LinksUpToDate>false</LinksUpToDate>
  <CharactersWithSpaces>7844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cp:lastPrinted>2025-09-12T08:05:00Z</cp:lastPrinted>
  <dcterms:modified xsi:type="dcterms:W3CDTF">2025-09-22T10:30:21Z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