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XB20251110-01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24FBBF1">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2025年10月制液车间净化工段浆化搅拌</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0310329D">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2025年10月制液车间净化工段浆化搅拌</w:t>
      </w:r>
    </w:p>
    <w:p w14:paraId="3716104A">
      <w:pPr>
        <w:pStyle w:val="9"/>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浆化搅拌一批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10月制液车间净化工段浆化搅拌</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32"/>
        <w:gridCol w:w="3007"/>
        <w:gridCol w:w="540"/>
        <w:gridCol w:w="540"/>
        <w:gridCol w:w="1080"/>
        <w:gridCol w:w="1440"/>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93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7"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1A92CC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08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（元）      </w:t>
            </w:r>
          </w:p>
        </w:tc>
        <w:tc>
          <w:tcPr>
            <w:tcW w:w="144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17" w:type="dxa"/>
            <w:vAlign w:val="center"/>
          </w:tcPr>
          <w:p w14:paraId="15779113">
            <w:pPr>
              <w:keepNext w:val="0"/>
              <w:keepLines w:val="0"/>
              <w:widowControl/>
              <w:suppressLineNumbers w:val="0"/>
              <w:jc w:val="center"/>
              <w:textAlignment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932"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007" w:type="dxa"/>
            <w:vAlign w:val="center"/>
          </w:tcPr>
          <w:p w14:paraId="7313138E">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浆化罐直径/高度 3000X2500mm</w:t>
            </w:r>
            <w:r>
              <w:rPr>
                <w:rFonts w:hint="eastAsia" w:ascii="宋体" w:hAnsi="宋体" w:eastAsia="宋体" w:cs="宋体"/>
                <w:sz w:val="21"/>
                <w:szCs w:val="21"/>
                <w:lang w:eastAsia="zh-CN"/>
              </w:rPr>
              <w:tab/>
            </w:r>
            <w:r>
              <w:rPr>
                <w:rFonts w:hint="eastAsia" w:ascii="宋体" w:hAnsi="宋体" w:eastAsia="宋体" w:cs="宋体"/>
                <w:sz w:val="21"/>
                <w:szCs w:val="21"/>
                <w:lang w:eastAsia="zh-CN"/>
              </w:rPr>
              <w:t>，机架高度</w:t>
            </w:r>
            <w:r>
              <w:rPr>
                <w:rFonts w:hint="eastAsia" w:ascii="宋体" w:hAnsi="宋体" w:eastAsia="宋体" w:cs="宋体"/>
                <w:sz w:val="21"/>
                <w:szCs w:val="21"/>
                <w:lang w:val="en-US" w:eastAsia="zh-CN"/>
              </w:rPr>
              <w:t>200mm工字钢、长度宽度750*750mm；</w:t>
            </w:r>
            <w:r>
              <w:rPr>
                <w:rFonts w:hint="eastAsia" w:ascii="宋体" w:hAnsi="宋体" w:eastAsia="宋体" w:cs="宋体"/>
                <w:sz w:val="21"/>
                <w:szCs w:val="21"/>
                <w:lang w:eastAsia="zh-CN"/>
              </w:rPr>
              <w:t>工作压力：常压，工作温度≤65℃，介质：水、渣饼，出液方式为上出液,液固比:1:1,浆化液:水,渣饼厚度:30mm,渣饼尺寸:200*200mm,渣饼含水30，每台压滤机渣重量:3吨/台,拆渣时间:4分钟/台，间隔拆渣时间:10分钟，物料比重 1.8t/m3；永磁直驱变频电机与底座安装高度≤</w:t>
            </w:r>
            <w:r>
              <w:rPr>
                <w:rFonts w:hint="eastAsia" w:ascii="宋体" w:hAnsi="宋体" w:eastAsia="宋体" w:cs="宋体"/>
                <w:sz w:val="21"/>
                <w:szCs w:val="21"/>
                <w:lang w:val="en-US" w:eastAsia="zh-CN"/>
              </w:rPr>
              <w:t>1900mm.</w:t>
            </w:r>
          </w:p>
          <w:p w14:paraId="591B310F">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变频柜配置PLC与触摸屏，触摸屏画面需显示电机运行电流、电机转速、启停控制、温度检测、多段速控制调节、趋势显示、故障报警等其他不限于以上要求的功能。触摸屏、PLC程序均不得设置保护密码，预留</w:t>
            </w:r>
            <w:r>
              <w:rPr>
                <w:rFonts w:hint="eastAsia" w:ascii="宋体" w:hAnsi="宋体" w:eastAsia="宋体" w:cs="宋体"/>
                <w:sz w:val="21"/>
                <w:szCs w:val="21"/>
                <w:lang w:val="en-US" w:eastAsia="zh-CN"/>
              </w:rPr>
              <w:t xml:space="preserve"> PLC监测控制中控接口</w:t>
            </w:r>
            <w:r>
              <w:rPr>
                <w:rFonts w:hint="eastAsia" w:ascii="宋体" w:hAnsi="宋体" w:eastAsia="宋体" w:cs="宋体"/>
                <w:sz w:val="21"/>
                <w:szCs w:val="21"/>
                <w:lang w:eastAsia="zh-CN"/>
              </w:rPr>
              <w:t>。</w:t>
            </w:r>
          </w:p>
          <w:p w14:paraId="49D5DF2E">
            <w:pPr>
              <w:keepNext w:val="0"/>
              <w:keepLines w:val="0"/>
              <w:widowControl/>
              <w:suppressLineNumbers w:val="0"/>
              <w:jc w:val="left"/>
              <w:textAlignment w:val="center"/>
              <w:rPr>
                <w:rFonts w:hint="default" w:ascii="仿宋" w:hAnsi="仿宋" w:eastAsia="仿宋" w:cs="仿宋"/>
                <w:color w:val="auto"/>
                <w:sz w:val="24"/>
                <w:szCs w:val="24"/>
                <w:vertAlign w:val="baseline"/>
                <w:lang w:val="en-US" w:eastAsia="zh-CN"/>
              </w:rPr>
            </w:pPr>
          </w:p>
        </w:tc>
        <w:tc>
          <w:tcPr>
            <w:tcW w:w="540" w:type="dxa"/>
            <w:vAlign w:val="center"/>
          </w:tcPr>
          <w:p w14:paraId="789714A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5F4B0B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1080" w:type="dxa"/>
            <w:vAlign w:val="center"/>
          </w:tcPr>
          <w:p w14:paraId="3A3D0ED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c>
          <w:tcPr>
            <w:tcW w:w="1440"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56" w:type="dxa"/>
            <w:gridSpan w:val="7"/>
            <w:vAlign w:val="center"/>
          </w:tcPr>
          <w:p w14:paraId="14C00F0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7AB502B7">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54685ABA">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default" w:ascii="仿宋" w:hAnsi="仿宋" w:eastAsia="仿宋" w:cs="仿宋"/>
                <w:color w:val="auto"/>
                <w:sz w:val="32"/>
                <w:szCs w:val="32"/>
                <w:vertAlign w:val="baseline"/>
                <w:lang w:val="en-US" w:eastAsia="zh-CN"/>
              </w:rPr>
            </w:pPr>
            <w:r>
              <w:rPr>
                <w:rFonts w:hint="eastAsia"/>
                <w:lang w:val="en-US" w:eastAsia="zh-CN"/>
              </w:rPr>
              <w:t>3、报价时除原有的PDF报价单还必须同时上传一份电子文档报价单。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6E1302FC">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宋体" w:hAnsi="宋体" w:eastAsia="宋体" w:cs="宋体"/>
          <w:color w:val="auto"/>
          <w:sz w:val="32"/>
          <w:szCs w:val="32"/>
          <w:highlight w:val="none"/>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highlight w:val="none"/>
        </w:rPr>
        <w:t>包装箱应符合中国检验检疫的规定，包装箱尺寸必须符合中国公路运输规定，适于长途运输，防潮、防锈、防震、防粗暴装卸，适于陆运输和整体吊装。</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w:t>
      </w:r>
      <w:r>
        <w:rPr>
          <w:rFonts w:hint="eastAsia" w:ascii="仿宋" w:hAnsi="仿宋" w:eastAsia="仿宋" w:cs="仿宋"/>
          <w:color w:val="auto"/>
          <w:sz w:val="32"/>
          <w:szCs w:val="32"/>
          <w:highlight w:val="none"/>
          <w:lang w:val="en-US" w:eastAsia="zh-CN"/>
        </w:rPr>
        <w:t>或经销商</w:t>
      </w:r>
      <w:r>
        <w:rPr>
          <w:rFonts w:hint="eastAsia" w:ascii="仿宋" w:hAnsi="仿宋" w:eastAsia="仿宋" w:cs="仿宋"/>
          <w:color w:val="auto"/>
          <w:sz w:val="32"/>
          <w:szCs w:val="32"/>
          <w:lang w:val="en-US" w:eastAsia="zh-CN"/>
        </w:rPr>
        <w:t>，具备合法的营业执照；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供应商2022年3月至今具有同类浆化搅拌业绩（提供合同复印件，时间以合同签订时间为准）；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00834963"/>
      <w:bookmarkStart w:id="14" w:name="_Toc152042318"/>
      <w:bookmarkStart w:id="15" w:name="_Toc25772"/>
      <w:bookmarkStart w:id="16" w:name="_Toc144974510"/>
      <w:bookmarkStart w:id="17" w:name="_Toc247513966"/>
      <w:bookmarkStart w:id="18" w:name="_Toc152045542"/>
      <w:bookmarkStart w:id="19" w:name="_Toc352691486"/>
      <w:bookmarkStart w:id="20" w:name="_Toc384308223"/>
      <w:bookmarkStart w:id="21" w:name="_Toc369531529"/>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045543"/>
      <w:bookmarkStart w:id="25" w:name="_Toc247527568"/>
      <w:bookmarkStart w:id="26" w:name="_Toc361508599"/>
      <w:bookmarkStart w:id="27" w:name="_Toc15242"/>
      <w:bookmarkStart w:id="28" w:name="_Toc152042319"/>
      <w:bookmarkStart w:id="29" w:name="_Toc384308224"/>
      <w:bookmarkStart w:id="30" w:name="_Toc300834964"/>
      <w:bookmarkStart w:id="31" w:name="_Toc352691487"/>
      <w:bookmarkStart w:id="32" w:name="_Toc369531530"/>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84308227"/>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5546"/>
      <w:bookmarkStart w:id="41" w:name="_Toc152042322"/>
      <w:bookmarkStart w:id="42" w:name="_Toc14751"/>
      <w:bookmarkStart w:id="43" w:name="_Toc361508603"/>
      <w:bookmarkStart w:id="44" w:name="_Toc384308228"/>
      <w:bookmarkStart w:id="45" w:name="_Toc144974514"/>
      <w:bookmarkStart w:id="46" w:name="_Toc369531534"/>
      <w:bookmarkStart w:id="47" w:name="_Toc247513970"/>
      <w:bookmarkStart w:id="48" w:name="_Toc247527571"/>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2323"/>
      <w:bookmarkStart w:id="52" w:name="_Toc247527572"/>
      <w:bookmarkStart w:id="53" w:name="_Toc369531535"/>
      <w:bookmarkStart w:id="54" w:name="_Toc17952"/>
      <w:bookmarkStart w:id="55" w:name="_Toc247513971"/>
      <w:bookmarkStart w:id="56" w:name="_Toc152045547"/>
      <w:bookmarkStart w:id="57" w:name="_Toc361508604"/>
      <w:bookmarkStart w:id="58" w:name="_Toc352691492"/>
      <w:bookmarkStart w:id="59" w:name="_Toc300834968"/>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w:t>
      </w:r>
      <w:r>
        <w:rPr>
          <w:rFonts w:hint="eastAsia" w:ascii="仿宋" w:hAnsi="仿宋" w:eastAsia="仿宋" w:cs="仿宋"/>
          <w:color w:val="auto"/>
          <w:sz w:val="32"/>
          <w:szCs w:val="32"/>
          <w:lang w:val="en-US" w:eastAsia="zh-CN"/>
        </w:rPr>
        <w:t>同类浆化搅拌</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11月14日 13  时</w:t>
      </w:r>
      <w:r>
        <w:rPr>
          <w:rFonts w:hint="eastAsia" w:ascii="仿宋" w:hAnsi="仿宋" w:eastAsia="仿宋" w:cs="仿宋"/>
          <w:i w:val="0"/>
          <w:iCs w:val="0"/>
          <w:caps w:val="0"/>
          <w:color w:val="000000"/>
          <w:spacing w:val="0"/>
          <w:sz w:val="30"/>
          <w:szCs w:val="30"/>
          <w:lang w:eastAsia="zh-CN"/>
        </w:rPr>
        <w:t>。</w:t>
      </w:r>
    </w:p>
    <w:p w14:paraId="4A99CF58">
      <w:pPr>
        <w:pStyle w:val="9"/>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2025年11月14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300D60E6">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5A06B0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以材质、性能参数、设计、品牌等综合比较，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08815667">
      <w:pPr>
        <w:pageBreakBefore w:val="0"/>
        <w:numPr>
          <w:ilvl w:val="0"/>
          <w:numId w:val="0"/>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60207226">
      <w:pPr>
        <w:pageBreakBefore w:val="0"/>
        <w:numPr>
          <w:ilvl w:val="0"/>
          <w:numId w:val="0"/>
        </w:numPr>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p>
    <w:p w14:paraId="2E51330C">
      <w:pPr>
        <w:pageBreakBefore w:val="0"/>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近年来从事同类项目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89063C1">
      <w:pPr>
        <w:pageBreakBefore w:val="0"/>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2D142F8">
      <w:pPr>
        <w:pageBreakBefore w:val="0"/>
        <w:numPr>
          <w:ilvl w:val="0"/>
          <w:numId w:val="2"/>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5分</w:t>
      </w:r>
      <w:r>
        <w:rPr>
          <w:rFonts w:hint="eastAsia" w:ascii="仿宋" w:hAnsi="仿宋" w:eastAsia="仿宋" w:cs="仿宋"/>
          <w:color w:val="000000"/>
          <w:sz w:val="32"/>
          <w:szCs w:val="32"/>
          <w:lang w:eastAsia="zh-CN"/>
        </w:rPr>
        <w:t>）</w:t>
      </w:r>
    </w:p>
    <w:p w14:paraId="108D0DE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根据售后服务方案及应对措施等，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1FA88602">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9531582"/>
      <w:bookmarkStart w:id="67" w:name="_Toc152042380"/>
      <w:bookmarkStart w:id="68" w:name="_Toc352691538"/>
      <w:bookmarkStart w:id="69" w:name="_Toc384308277"/>
      <w:bookmarkStart w:id="70" w:name="_Toc361508651"/>
      <w:bookmarkStart w:id="71" w:name="_Toc300835013"/>
      <w:bookmarkStart w:id="72" w:name="_Toc144974570"/>
      <w:bookmarkStart w:id="73" w:name="_Toc152045603"/>
      <w:bookmarkStart w:id="74" w:name="_Toc2907"/>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69531549"/>
      <w:bookmarkStart w:id="97" w:name="_Toc144974529"/>
      <w:bookmarkStart w:id="98" w:name="_Toc300834982"/>
      <w:bookmarkStart w:id="99" w:name="_Toc152045561"/>
      <w:bookmarkStart w:id="100" w:name="_Toc247527586"/>
      <w:bookmarkStart w:id="101" w:name="_Toc384308243"/>
      <w:bookmarkStart w:id="102" w:name="_Toc247513985"/>
      <w:bookmarkStart w:id="103" w:name="_Toc352691505"/>
      <w:bookmarkStart w:id="104" w:name="_Toc3009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300834983"/>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384308247"/>
      <w:bookmarkStart w:id="134" w:name="_Toc247527589"/>
      <w:bookmarkStart w:id="135" w:name="_Toc361508622"/>
      <w:bookmarkStart w:id="136" w:name="_Toc152042340"/>
      <w:bookmarkStart w:id="137" w:name="_Toc144974532"/>
      <w:bookmarkStart w:id="138" w:name="_Toc300834986"/>
      <w:bookmarkStart w:id="139" w:name="_Toc352691509"/>
      <w:bookmarkStart w:id="140" w:name="_Toc152045564"/>
      <w:bookmarkStart w:id="141" w:name="_Toc4656"/>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152045565"/>
      <w:bookmarkStart w:id="145" w:name="_Toc247527590"/>
      <w:bookmarkStart w:id="146" w:name="_Toc384308248"/>
      <w:bookmarkStart w:id="147" w:name="_Toc152042341"/>
      <w:bookmarkStart w:id="148" w:name="_Toc300834987"/>
      <w:bookmarkStart w:id="149" w:name="_Toc369531554"/>
      <w:bookmarkStart w:id="150" w:name="_Toc352691510"/>
      <w:bookmarkStart w:id="151" w:name="_Toc247513989"/>
      <w:bookmarkStart w:id="152" w:name="_Toc36150862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44974536"/>
      <w:bookmarkStart w:id="158" w:name="_Toc152045568"/>
      <w:bookmarkStart w:id="159" w:name="_Toc247513992"/>
      <w:bookmarkStart w:id="160" w:name="_Toc152042344"/>
      <w:bookmarkStart w:id="161" w:name="_Toc247527593"/>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69531559"/>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46EF66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2E11CE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09F3135">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E707B4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9F8545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2025年11月10日</w:t>
      </w:r>
    </w:p>
    <w:p w14:paraId="771F5AA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285382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07CEFB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050784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XB20251110-01</w:t>
      </w:r>
      <w:bookmarkStart w:id="207" w:name="_GoBack"/>
      <w:bookmarkEnd w:id="207"/>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665CB75">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10月制液车间净化工段浆化搅拌</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573"/>
      <w:bookmarkStart w:id="187" w:name="_Toc247514248"/>
      <w:bookmarkStart w:id="188" w:name="_Toc152042578"/>
      <w:bookmarkStart w:id="189" w:name="_Toc361508754"/>
      <w:bookmarkStart w:id="190" w:name="_Toc300835211"/>
      <w:bookmarkStart w:id="191" w:name="_Toc369531699"/>
      <w:bookmarkStart w:id="192" w:name="_Toc144974858"/>
      <w:bookmarkStart w:id="193" w:name="_Toc152045789"/>
      <w:bookmarkStart w:id="194" w:name="_Toc24752782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3"/>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38DAA3BD">
      <w:pPr>
        <w:rPr>
          <w:rFonts w:hint="eastAsia" w:ascii="宋体" w:hAnsi="宋体" w:eastAsia="宋体" w:cs="宋体"/>
          <w:sz w:val="24"/>
          <w:szCs w:val="24"/>
          <w:lang w:val="en-US" w:eastAsia="zh-CN"/>
        </w:rPr>
      </w:pPr>
      <w:r>
        <w:rPr>
          <w:rFonts w:hint="eastAsia" w:ascii="黑体" w:hAnsi="黑体" w:eastAsia="黑体" w:cs="黑体"/>
          <w:b/>
          <w:bCs/>
          <w:sz w:val="32"/>
          <w:szCs w:val="32"/>
          <w:lang w:val="en-US" w:eastAsia="zh-CN"/>
        </w:rPr>
        <w:t>一、</w:t>
      </w:r>
      <w:r>
        <w:rPr>
          <w:rFonts w:hint="eastAsia"/>
          <w:lang w:val="en-US" w:eastAsia="zh-CN"/>
        </w:rPr>
        <w:t>（</w:t>
      </w:r>
      <w:r>
        <w:rPr>
          <w:rFonts w:hint="eastAsia" w:ascii="宋体" w:hAnsi="宋体" w:eastAsia="宋体" w:cs="宋体"/>
          <w:sz w:val="24"/>
          <w:szCs w:val="24"/>
          <w:lang w:val="en-US" w:eastAsia="zh-CN"/>
        </w:rPr>
        <w:t>10月制液车间净化工段浆化搅拌）</w:t>
      </w:r>
    </w:p>
    <w:p w14:paraId="185B44B3">
      <w:pPr>
        <w:rPr>
          <w:rFonts w:hint="eastAsia"/>
          <w:lang w:val="en-US" w:eastAsia="zh-CN"/>
        </w:rPr>
      </w:pPr>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4"/>
        <w:gridCol w:w="3200"/>
        <w:gridCol w:w="510"/>
        <w:gridCol w:w="540"/>
        <w:gridCol w:w="825"/>
        <w:gridCol w:w="900"/>
        <w:gridCol w:w="102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23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20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10"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540" w:type="dxa"/>
            <w:vAlign w:val="center"/>
          </w:tcPr>
          <w:p w14:paraId="7ECB62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5"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90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2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7" w:type="dxa"/>
            <w:vAlign w:val="center"/>
          </w:tcPr>
          <w:p w14:paraId="7E45312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仿宋" w:hAnsi="仿宋" w:eastAsia="仿宋" w:cs="仿宋"/>
                <w:b/>
                <w:bCs/>
                <w:color w:val="auto"/>
                <w:sz w:val="24"/>
                <w:szCs w:val="24"/>
                <w:vertAlign w:val="baseline"/>
                <w:lang w:val="en-US" w:eastAsia="zh-CN"/>
              </w:rPr>
              <w:t>1</w:t>
            </w:r>
          </w:p>
        </w:tc>
        <w:tc>
          <w:tcPr>
            <w:tcW w:w="123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200" w:type="dxa"/>
            <w:vAlign w:val="center"/>
          </w:tcPr>
          <w:p w14:paraId="7E50E195">
            <w:pPr>
              <w:ind w:firstLine="420" w:firstLineChars="200"/>
              <w:rPr>
                <w:rFonts w:hint="default"/>
                <w:sz w:val="21"/>
                <w:szCs w:val="21"/>
                <w:lang w:val="en-US" w:eastAsia="zh-CN"/>
              </w:rPr>
            </w:pPr>
            <w:r>
              <w:rPr>
                <w:rFonts w:hint="eastAsia"/>
                <w:sz w:val="21"/>
                <w:szCs w:val="21"/>
                <w:lang w:eastAsia="zh-CN"/>
              </w:rPr>
              <w:t>浆化罐直径/高度 3000X2500mm</w:t>
            </w:r>
            <w:r>
              <w:rPr>
                <w:rFonts w:hint="eastAsia"/>
                <w:sz w:val="21"/>
                <w:szCs w:val="21"/>
                <w:lang w:eastAsia="zh-CN"/>
              </w:rPr>
              <w:tab/>
            </w:r>
            <w:r>
              <w:rPr>
                <w:rFonts w:hint="eastAsia"/>
                <w:sz w:val="21"/>
                <w:szCs w:val="21"/>
                <w:lang w:eastAsia="zh-CN"/>
              </w:rPr>
              <w:t>，机架高度</w:t>
            </w:r>
            <w:r>
              <w:rPr>
                <w:rFonts w:hint="eastAsia"/>
                <w:sz w:val="21"/>
                <w:szCs w:val="21"/>
                <w:lang w:val="en-US" w:eastAsia="zh-CN"/>
              </w:rPr>
              <w:t>200mm工字钢、长度宽度750*750mm；</w:t>
            </w:r>
            <w:r>
              <w:rPr>
                <w:rFonts w:hint="eastAsia"/>
                <w:sz w:val="21"/>
                <w:szCs w:val="21"/>
                <w:lang w:eastAsia="zh-CN"/>
              </w:rPr>
              <w:t>工作压力：常压，工作温度≤65℃，介质：水、渣饼，出液方式为上出液,液固比:1:1,浆化液:水,渣饼厚度:30mm,渣饼尺寸:200*200mm,渣饼含水30，每台压滤机渣重量:3吨/台,拆渣时间:4分钟/台，间隔拆渣时间:10分钟，物料比重 1.8t/m3；永磁直驱变频电机与底座安装高度≤</w:t>
            </w:r>
            <w:r>
              <w:rPr>
                <w:rFonts w:hint="eastAsia"/>
                <w:sz w:val="21"/>
                <w:szCs w:val="21"/>
                <w:lang w:val="en-US" w:eastAsia="zh-CN"/>
              </w:rPr>
              <w:t>1900mm.</w:t>
            </w:r>
          </w:p>
          <w:p w14:paraId="74B4E6BC">
            <w:pPr>
              <w:ind w:firstLine="420" w:firstLineChars="200"/>
              <w:rPr>
                <w:rFonts w:hint="eastAsia"/>
                <w:sz w:val="28"/>
                <w:szCs w:val="28"/>
                <w:lang w:eastAsia="zh-CN"/>
              </w:rPr>
            </w:pPr>
            <w:r>
              <w:rPr>
                <w:rFonts w:hint="eastAsia"/>
                <w:sz w:val="21"/>
                <w:szCs w:val="21"/>
                <w:lang w:eastAsia="zh-CN"/>
              </w:rPr>
              <w:t>变频柜配置PLC与触摸屏，触摸屏画面需显示电机运行电流、电机转速、启停控制、温度检测、多段速控制调节、趋势显示、故障报警等其他不限于以上要求的功能。触摸屏、PLC程序均不得设置保护密码，预留</w:t>
            </w:r>
            <w:r>
              <w:rPr>
                <w:rFonts w:hint="eastAsia"/>
                <w:sz w:val="21"/>
                <w:szCs w:val="21"/>
                <w:lang w:val="en-US" w:eastAsia="zh-CN"/>
              </w:rPr>
              <w:t xml:space="preserve"> PLC监测控制中控接口</w:t>
            </w:r>
            <w:r>
              <w:rPr>
                <w:rFonts w:hint="eastAsia"/>
                <w:sz w:val="28"/>
                <w:szCs w:val="28"/>
                <w:lang w:eastAsia="zh-CN"/>
              </w:rPr>
              <w:t>。</w:t>
            </w:r>
          </w:p>
          <w:p w14:paraId="66616AFF">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p>
        </w:tc>
        <w:tc>
          <w:tcPr>
            <w:tcW w:w="510" w:type="dxa"/>
            <w:vAlign w:val="center"/>
          </w:tcPr>
          <w:p w14:paraId="0EE2B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2024B43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5" w:type="dxa"/>
            <w:vAlign w:val="center"/>
          </w:tcPr>
          <w:p w14:paraId="1F10AA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90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2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23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320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10"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40"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25" w:type="dxa"/>
            <w:vAlign w:val="center"/>
          </w:tcPr>
          <w:p w14:paraId="1EE68F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2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016" w:type="dxa"/>
            <w:gridSpan w:val="8"/>
            <w:vAlign w:val="center"/>
          </w:tcPr>
          <w:p w14:paraId="6796F07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6C07E9B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3F665DC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rPr>
            </w:pPr>
            <w:r>
              <w:rPr>
                <w:rFonts w:hint="eastAsia"/>
                <w:lang w:val="en-US" w:eastAsia="zh-CN"/>
              </w:rPr>
              <w:t>3、报价时除原有的PDF报价单还必须同时上传一份电子文档报价单。</w:t>
            </w:r>
          </w:p>
        </w:tc>
      </w:tr>
    </w:tbl>
    <w:p w14:paraId="624A8CA6">
      <w:pPr>
        <w:pStyle w:val="3"/>
        <w:spacing w:after="0"/>
        <w:ind w:firstLine="3534" w:firstLineChars="1100"/>
        <w:jc w:val="both"/>
        <w:rPr>
          <w:rFonts w:hint="eastAsia" w:ascii="宋体" w:hAnsi="宋体" w:eastAsia="宋体" w:cs="宋体"/>
          <w:b/>
          <w:bCs w:val="0"/>
          <w:color w:val="auto"/>
          <w:kern w:val="0"/>
          <w:sz w:val="30"/>
          <w:szCs w:val="30"/>
          <w:lang w:val="en-US" w:eastAsia="zh-CN"/>
        </w:rPr>
      </w:pPr>
      <w:r>
        <w:rPr>
          <w:rFonts w:hint="eastAsia" w:ascii="Times New Roman" w:hAnsi="Times New Roman"/>
          <w:color w:val="auto"/>
          <w:kern w:val="0"/>
          <w:lang w:val="en-US" w:eastAsia="zh-CN"/>
        </w:rPr>
        <w:t xml:space="preserve"> </w:t>
      </w:r>
      <w:r>
        <w:rPr>
          <w:rFonts w:hint="eastAsia" w:ascii="宋体" w:hAnsi="宋体" w:eastAsia="宋体" w:cs="宋体"/>
          <w:b/>
          <w:bCs w:val="0"/>
          <w:color w:val="auto"/>
          <w:kern w:val="0"/>
          <w:sz w:val="30"/>
          <w:szCs w:val="30"/>
          <w:lang w:val="en-US" w:eastAsia="zh-CN"/>
        </w:rPr>
        <w:t>报价单位（盖章）：</w:t>
      </w: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3FF146F3">
      <w:pPr>
        <w:pStyle w:val="3"/>
        <w:spacing w:after="0"/>
        <w:jc w:val="both"/>
        <w:rPr>
          <w:rFonts w:hint="default" w:ascii="Times New Roman" w:hAnsi="Times New Roman"/>
          <w:color w:val="auto"/>
          <w:kern w:val="0"/>
          <w:lang w:val="en-US" w:eastAsia="zh-CN"/>
        </w:rPr>
      </w:pPr>
      <w:r>
        <w:rPr>
          <w:rFonts w:hint="eastAsia" w:ascii="Times New Roman" w:hAnsi="Times New Roman"/>
          <w:color w:val="auto"/>
          <w:kern w:val="0"/>
          <w:lang w:val="en-US" w:eastAsia="zh-CN"/>
        </w:rPr>
        <w:t>二、技术规格及要求</w:t>
      </w:r>
    </w:p>
    <w:p w14:paraId="1B5A4568">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2"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浆化搅拌  数量：</w:t>
      </w:r>
      <w:r>
        <w:rPr>
          <w:rFonts w:hint="eastAsia" w:ascii="宋体" w:hAnsi="宋体" w:eastAsia="宋体" w:cs="宋体"/>
          <w:b/>
          <w:bCs/>
          <w:color w:val="auto"/>
          <w:sz w:val="21"/>
          <w:szCs w:val="21"/>
          <w:highlight w:val="none"/>
          <w:lang w:val="en-US" w:eastAsia="zh-CN" w:bidi="ar"/>
        </w:rPr>
        <w:t>6</w:t>
      </w:r>
      <w:r>
        <w:rPr>
          <w:rFonts w:hint="eastAsia" w:ascii="宋体" w:hAnsi="宋体" w:eastAsia="宋体" w:cs="宋体"/>
          <w:b/>
          <w:bCs/>
          <w:color w:val="auto"/>
          <w:sz w:val="21"/>
          <w:szCs w:val="21"/>
          <w:highlight w:val="none"/>
          <w:lang w:bidi="ar"/>
        </w:rPr>
        <w:t xml:space="preserve">套   </w:t>
      </w:r>
      <w:r>
        <w:rPr>
          <w:rFonts w:hint="eastAsia" w:ascii="宋体" w:hAnsi="宋体" w:eastAsia="宋体" w:cs="宋体"/>
          <w:b w:val="0"/>
          <w:bCs w:val="0"/>
          <w:color w:val="auto"/>
          <w:sz w:val="21"/>
          <w:szCs w:val="21"/>
          <w:highlight w:val="none"/>
          <w:lang w:val="en-US" w:eastAsia="zh-CN" w:bidi="ar"/>
        </w:rPr>
        <w:t>(单层叶片）</w:t>
      </w:r>
    </w:p>
    <w:p w14:paraId="652385FF">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.1浆化罐体</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 xml:space="preserve">φ3000*2500mm(内径）    </w:t>
      </w:r>
    </w:p>
    <w:p w14:paraId="65F4D6A1">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 xml:space="preserve">浆化罐内工作条件：   </w:t>
      </w:r>
    </w:p>
    <w:p w14:paraId="61BB19C2">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温度：≤65℃，液固比：</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:1，浆化液：水，浆化后液体比重1</w:t>
      </w:r>
      <w:r>
        <w:rPr>
          <w:rFonts w:hint="eastAsia" w:ascii="宋体" w:hAnsi="宋体" w:eastAsia="宋体" w:cs="宋体"/>
          <w:b w:val="0"/>
          <w:bCs w:val="0"/>
          <w:color w:val="auto"/>
          <w:sz w:val="21"/>
          <w:szCs w:val="21"/>
          <w:highlight w:val="none"/>
          <w:lang w:val="en-US" w:eastAsia="zh-CN" w:bidi="ar"/>
        </w:rPr>
        <w:t>.8</w:t>
      </w:r>
      <w:r>
        <w:rPr>
          <w:rFonts w:hint="eastAsia" w:ascii="宋体" w:hAnsi="宋体" w:eastAsia="宋体" w:cs="宋体"/>
          <w:b w:val="0"/>
          <w:bCs w:val="0"/>
          <w:color w:val="auto"/>
          <w:sz w:val="21"/>
          <w:szCs w:val="21"/>
          <w:highlight w:val="none"/>
          <w:lang w:bidi="ar"/>
        </w:rPr>
        <w:t>g/cm³</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olor w:val="000000"/>
          <w:kern w:val="0"/>
          <w:sz w:val="21"/>
          <w:szCs w:val="21"/>
          <w:u w:val="none"/>
          <w:lang w:val="en-US" w:eastAsia="zh-CN" w:bidi="ar"/>
        </w:rPr>
        <w:t>每次进渣3.0吨/约4分钟、间隔10分钟，循环作业。</w:t>
      </w:r>
    </w:p>
    <w:p w14:paraId="204EBBC5">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 xml:space="preserve"> 搅拌机</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 xml:space="preserve"> 转速及功率由卖方自行设计。</w:t>
      </w:r>
    </w:p>
    <w:p w14:paraId="255FFC53">
      <w:pPr>
        <w:pStyle w:val="9"/>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 xml:space="preserve">  搅拌</w:t>
      </w:r>
      <w:r>
        <w:rPr>
          <w:rFonts w:hint="eastAsia" w:ascii="宋体" w:hAnsi="宋体" w:eastAsia="宋体" w:cs="宋体"/>
          <w:b w:val="0"/>
          <w:bCs w:val="0"/>
          <w:color w:val="auto"/>
          <w:sz w:val="21"/>
          <w:szCs w:val="21"/>
          <w:highlight w:val="none"/>
          <w:lang w:val="en-US" w:eastAsia="zh-CN" w:bidi="ar"/>
        </w:rPr>
        <w:t>装置</w:t>
      </w:r>
      <w:r>
        <w:rPr>
          <w:rFonts w:hint="eastAsia" w:ascii="宋体" w:hAnsi="宋体" w:eastAsia="宋体" w:cs="宋体"/>
          <w:b w:val="0"/>
          <w:bCs w:val="0"/>
          <w:color w:val="auto"/>
          <w:sz w:val="21"/>
          <w:szCs w:val="21"/>
          <w:highlight w:val="none"/>
          <w:lang w:bidi="ar"/>
        </w:rPr>
        <w:t>与液体接触部分材质：316L</w:t>
      </w:r>
      <w:r>
        <w:rPr>
          <w:rFonts w:hint="eastAsia" w:ascii="宋体" w:hAnsi="宋体" w:eastAsia="宋体" w:cs="宋体"/>
          <w:b w:val="0"/>
          <w:bCs w:val="0"/>
          <w:color w:val="auto"/>
          <w:sz w:val="21"/>
          <w:szCs w:val="21"/>
          <w:highlight w:val="none"/>
          <w:lang w:val="en-US" w:eastAsia="zh-CN" w:bidi="ar"/>
        </w:rPr>
        <w:t>不锈钢</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其他为45钢。</w:t>
      </w:r>
    </w:p>
    <w:p w14:paraId="5C7BCF60">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1.5  控制方式：</w:t>
      </w:r>
      <w:r>
        <w:rPr>
          <w:rFonts w:hint="eastAsia" w:ascii="宋体" w:hAnsi="宋体" w:eastAsia="宋体" w:cs="宋体"/>
          <w:b w:val="0"/>
          <w:bCs w:val="0"/>
          <w:color w:val="auto"/>
          <w:sz w:val="21"/>
          <w:szCs w:val="21"/>
          <w:highlight w:val="none"/>
          <w:lang w:bidi="ar"/>
        </w:rPr>
        <w:t xml:space="preserve"> </w:t>
      </w:r>
      <w:r>
        <w:rPr>
          <w:rFonts w:hint="eastAsia" w:ascii="宋体" w:hAnsi="宋体" w:eastAsia="宋体" w:cs="宋体"/>
          <w:b w:val="0"/>
          <w:bCs w:val="0"/>
          <w:color w:val="auto"/>
          <w:sz w:val="21"/>
          <w:szCs w:val="21"/>
          <w:highlight w:val="none"/>
          <w:lang w:val="en-US" w:eastAsia="zh-CN" w:bidi="ar"/>
        </w:rPr>
        <w:t>就地+远程控制</w:t>
      </w:r>
      <w:r>
        <w:rPr>
          <w:rFonts w:hint="eastAsia" w:ascii="宋体" w:hAnsi="宋体" w:eastAsia="宋体" w:cs="宋体"/>
          <w:b w:val="0"/>
          <w:bCs w:val="0"/>
          <w:color w:val="auto"/>
          <w:sz w:val="21"/>
          <w:szCs w:val="21"/>
          <w:highlight w:val="none"/>
          <w:lang w:bidi="ar"/>
        </w:rPr>
        <w:t>，</w:t>
      </w:r>
      <w:r>
        <w:rPr>
          <w:rFonts w:hint="eastAsia"/>
          <w:sz w:val="21"/>
          <w:szCs w:val="21"/>
          <w:lang w:eastAsia="zh-CN"/>
        </w:rPr>
        <w:t>永磁直驱变频电机</w:t>
      </w:r>
      <w:r>
        <w:rPr>
          <w:rFonts w:hint="eastAsia" w:ascii="宋体" w:hAnsi="宋体" w:eastAsia="宋体" w:cs="宋体"/>
          <w:i w:val="0"/>
          <w:iCs w:val="0"/>
          <w:color w:val="000000"/>
          <w:kern w:val="0"/>
          <w:sz w:val="24"/>
          <w:szCs w:val="24"/>
          <w:u w:val="none"/>
          <w:lang w:val="en-US" w:eastAsia="zh-CN" w:bidi="ar"/>
        </w:rPr>
        <w:t>。</w:t>
      </w:r>
    </w:p>
    <w:p w14:paraId="7258BE2A">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1.6  搅拌叶片距罐底高度400mm</w:t>
      </w:r>
    </w:p>
    <w:p w14:paraId="00B55083">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1.7 配套的配电柜预留远传信号端子接口</w:t>
      </w:r>
    </w:p>
    <w:p w14:paraId="0F0E4C83">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val="0"/>
          <w:bCs w:val="0"/>
          <w:color w:val="auto"/>
          <w:sz w:val="21"/>
          <w:szCs w:val="21"/>
          <w:highlight w:val="none"/>
          <w:lang w:val="en-US" w:eastAsia="zh-CN" w:bidi="ar"/>
        </w:rPr>
        <w:t xml:space="preserve">1.8 </w:t>
      </w:r>
      <w:r>
        <w:rPr>
          <w:rFonts w:hint="eastAsia" w:ascii="宋体" w:hAnsi="宋体" w:eastAsia="宋体" w:cs="宋体"/>
          <w:b/>
          <w:bCs/>
          <w:color w:val="auto"/>
          <w:sz w:val="21"/>
          <w:szCs w:val="21"/>
          <w:highlight w:val="none"/>
          <w:lang w:val="en-US" w:eastAsia="zh-CN" w:bidi="ar"/>
        </w:rPr>
        <w:t>系统</w:t>
      </w:r>
      <w:r>
        <w:rPr>
          <w:rFonts w:hint="eastAsia" w:ascii="宋体" w:hAnsi="宋体" w:eastAsia="宋体" w:cs="宋体"/>
          <w:color w:val="auto"/>
          <w:spacing w:val="-3"/>
          <w:sz w:val="21"/>
          <w:szCs w:val="21"/>
          <w:highlight w:val="none"/>
        </w:rPr>
        <w:t>配套</w:t>
      </w:r>
      <w:r>
        <w:rPr>
          <w:rFonts w:hint="eastAsia" w:ascii="宋体" w:hAnsi="宋体" w:eastAsia="宋体" w:cs="宋体"/>
          <w:color w:val="auto"/>
          <w:spacing w:val="-3"/>
          <w:sz w:val="21"/>
          <w:szCs w:val="21"/>
          <w:highlight w:val="none"/>
          <w:lang w:val="en-US" w:eastAsia="zh-CN"/>
        </w:rPr>
        <w:t>电机、</w:t>
      </w:r>
      <w:r>
        <w:rPr>
          <w:rFonts w:hint="eastAsia" w:ascii="宋体" w:hAnsi="宋体" w:eastAsia="宋体" w:cs="宋体"/>
          <w:color w:val="auto"/>
          <w:spacing w:val="-3"/>
          <w:sz w:val="21"/>
          <w:szCs w:val="21"/>
          <w:highlight w:val="none"/>
        </w:rPr>
        <w:t>配电柜、双支点轴承座、</w:t>
      </w:r>
      <w:r>
        <w:rPr>
          <w:rFonts w:hint="eastAsia" w:ascii="宋体" w:hAnsi="宋体" w:eastAsia="宋体" w:cs="宋体"/>
          <w:color w:val="auto"/>
          <w:spacing w:val="-3"/>
          <w:sz w:val="21"/>
          <w:szCs w:val="21"/>
          <w:highlight w:val="none"/>
          <w:lang w:val="en-US" w:eastAsia="zh-CN"/>
        </w:rPr>
        <w:t>轴承座安装底板、</w:t>
      </w:r>
      <w:r>
        <w:rPr>
          <w:rFonts w:hint="eastAsia" w:ascii="宋体" w:hAnsi="宋体" w:eastAsia="宋体" w:cs="宋体"/>
          <w:color w:val="auto"/>
          <w:spacing w:val="-3"/>
          <w:sz w:val="21"/>
          <w:szCs w:val="21"/>
          <w:highlight w:val="none"/>
          <w:lang w:eastAsia="zh-CN"/>
        </w:rPr>
        <w:t>联轴器、</w:t>
      </w:r>
      <w:r>
        <w:rPr>
          <w:rFonts w:hint="eastAsia" w:ascii="宋体" w:hAnsi="宋体" w:eastAsia="宋体" w:cs="宋体"/>
          <w:color w:val="auto"/>
          <w:spacing w:val="-3"/>
          <w:sz w:val="21"/>
          <w:szCs w:val="21"/>
          <w:highlight w:val="none"/>
        </w:rPr>
        <w:t>搅拌</w:t>
      </w:r>
      <w:r>
        <w:rPr>
          <w:rFonts w:hint="eastAsia" w:ascii="宋体" w:hAnsi="宋体" w:eastAsia="宋体" w:cs="宋体"/>
          <w:color w:val="auto"/>
          <w:spacing w:val="-3"/>
          <w:sz w:val="21"/>
          <w:szCs w:val="21"/>
          <w:highlight w:val="none"/>
          <w:lang w:val="en-US" w:eastAsia="zh-CN"/>
        </w:rPr>
        <w:t>轴及</w:t>
      </w:r>
      <w:r>
        <w:rPr>
          <w:rFonts w:hint="eastAsia" w:ascii="宋体" w:hAnsi="宋体" w:eastAsia="宋体" w:cs="宋体"/>
          <w:color w:val="auto"/>
          <w:spacing w:val="-3"/>
          <w:sz w:val="21"/>
          <w:szCs w:val="21"/>
          <w:highlight w:val="none"/>
        </w:rPr>
        <w:t>叶片的设计及供货，含桥架设计（不含桥架供货）</w:t>
      </w:r>
    </w:p>
    <w:p w14:paraId="2955C9AB">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1.9 电机与轴承座采用弹性联轴器连接、轴承座与搅拌轴采用刚性联轴器连接、轮毂与搅拌轴采用键连接、搅拌叶片与轮毂采用螺栓连接。</w:t>
      </w:r>
    </w:p>
    <w:p w14:paraId="7A724792">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color w:val="auto"/>
          <w:spacing w:val="-3"/>
          <w:sz w:val="21"/>
          <w:szCs w:val="21"/>
          <w:highlight w:val="none"/>
          <w:lang w:val="en-US" w:eastAsia="zh-CN"/>
        </w:rPr>
        <w:t>1.10 搅拌叶片回转直径由卖方自行设计。</w:t>
      </w:r>
    </w:p>
    <w:p w14:paraId="526E939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三</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材质要求：</w:t>
      </w:r>
    </w:p>
    <w:p w14:paraId="2C6FFD77">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kern w:val="0"/>
          <w:sz w:val="21"/>
          <w:szCs w:val="21"/>
          <w:highlight w:val="none"/>
          <w:lang w:bidi="ar"/>
        </w:rPr>
        <w:t>搅拌</w:t>
      </w:r>
      <w:r>
        <w:rPr>
          <w:rFonts w:hint="eastAsia" w:ascii="宋体" w:hAnsi="宋体" w:eastAsia="宋体" w:cs="宋体"/>
          <w:b/>
          <w:bCs/>
          <w:color w:val="auto"/>
          <w:kern w:val="0"/>
          <w:sz w:val="21"/>
          <w:szCs w:val="21"/>
          <w:highlight w:val="none"/>
          <w:lang w:val="en-US" w:eastAsia="zh-CN" w:bidi="ar"/>
        </w:rPr>
        <w:t>装置</w:t>
      </w:r>
      <w:r>
        <w:rPr>
          <w:rFonts w:hint="eastAsia" w:ascii="宋体" w:hAnsi="宋体" w:eastAsia="宋体" w:cs="宋体"/>
          <w:b/>
          <w:bCs/>
          <w:color w:val="auto"/>
          <w:kern w:val="0"/>
          <w:sz w:val="21"/>
          <w:szCs w:val="21"/>
          <w:highlight w:val="none"/>
          <w:lang w:bidi="ar"/>
        </w:rPr>
        <w:t>与液体接触部分材质</w:t>
      </w:r>
      <w:r>
        <w:rPr>
          <w:rFonts w:hint="eastAsia" w:ascii="宋体" w:hAnsi="宋体" w:eastAsia="宋体" w:cs="宋体"/>
          <w:b/>
          <w:bCs/>
          <w:color w:val="auto"/>
          <w:kern w:val="0"/>
          <w:sz w:val="21"/>
          <w:szCs w:val="21"/>
          <w:highlight w:val="none"/>
          <w:lang w:val="en-US" w:eastAsia="zh-CN" w:bidi="ar"/>
        </w:rPr>
        <w:t>为</w:t>
      </w:r>
      <w:r>
        <w:rPr>
          <w:rFonts w:hint="eastAsia" w:ascii="宋体" w:hAnsi="宋体" w:eastAsia="宋体" w:cs="宋体"/>
          <w:b/>
          <w:bCs/>
          <w:color w:val="auto"/>
          <w:kern w:val="0"/>
          <w:sz w:val="21"/>
          <w:szCs w:val="21"/>
          <w:highlight w:val="none"/>
          <w:lang w:bidi="ar"/>
        </w:rPr>
        <w:t>316L</w:t>
      </w:r>
      <w:r>
        <w:rPr>
          <w:rFonts w:hint="eastAsia" w:ascii="宋体" w:hAnsi="宋体" w:eastAsia="宋体" w:cs="宋体"/>
          <w:b/>
          <w:bCs/>
          <w:color w:val="auto"/>
          <w:kern w:val="0"/>
          <w:sz w:val="21"/>
          <w:szCs w:val="21"/>
          <w:highlight w:val="none"/>
          <w:lang w:val="en-US" w:eastAsia="zh-CN" w:bidi="ar"/>
        </w:rPr>
        <w:t>不锈钢</w:t>
      </w:r>
      <w:r>
        <w:rPr>
          <w:rFonts w:hint="eastAsia" w:ascii="宋体" w:hAnsi="宋体" w:eastAsia="宋体" w:cs="宋体"/>
          <w:b/>
          <w:bCs/>
          <w:color w:val="auto"/>
          <w:kern w:val="0"/>
          <w:sz w:val="21"/>
          <w:szCs w:val="21"/>
          <w:highlight w:val="none"/>
          <w:lang w:bidi="ar"/>
        </w:rPr>
        <w:t>，即</w:t>
      </w:r>
      <w:r>
        <w:rPr>
          <w:rFonts w:hint="eastAsia" w:ascii="宋体" w:hAnsi="宋体" w:eastAsia="宋体" w:cs="宋体"/>
          <w:color w:val="auto"/>
          <w:spacing w:val="-3"/>
          <w:sz w:val="21"/>
          <w:szCs w:val="21"/>
          <w:highlight w:val="none"/>
        </w:rPr>
        <w:t>搅拌轴、轮毂、轮毂与叶片连接螺栓、叶片均为316L</w:t>
      </w:r>
      <w:r>
        <w:rPr>
          <w:rFonts w:hint="eastAsia" w:ascii="宋体" w:hAnsi="宋体" w:eastAsia="宋体" w:cs="宋体"/>
          <w:color w:val="auto"/>
          <w:spacing w:val="-3"/>
          <w:sz w:val="21"/>
          <w:szCs w:val="21"/>
          <w:highlight w:val="none"/>
          <w:lang w:val="en-US" w:eastAsia="zh-CN"/>
        </w:rPr>
        <w:t>不锈钢</w:t>
      </w:r>
      <w:r>
        <w:rPr>
          <w:rFonts w:hint="eastAsia" w:ascii="宋体" w:hAnsi="宋体" w:eastAsia="宋体" w:cs="宋体"/>
          <w:color w:val="auto"/>
          <w:spacing w:val="-3"/>
          <w:sz w:val="21"/>
          <w:szCs w:val="21"/>
          <w:highlight w:val="none"/>
        </w:rPr>
        <w:t>。其他联轴器</w:t>
      </w:r>
      <w:r>
        <w:rPr>
          <w:rFonts w:hint="eastAsia" w:ascii="宋体" w:hAnsi="宋体" w:eastAsia="宋体" w:cs="宋体"/>
          <w:color w:val="auto"/>
          <w:spacing w:val="-3"/>
          <w:sz w:val="21"/>
          <w:szCs w:val="21"/>
          <w:highlight w:val="none"/>
          <w:lang w:eastAsia="zh-CN"/>
        </w:rPr>
        <w:t>、轴承座等</w:t>
      </w:r>
      <w:r>
        <w:rPr>
          <w:rFonts w:hint="eastAsia" w:ascii="宋体" w:hAnsi="宋体" w:eastAsia="宋体" w:cs="宋体"/>
          <w:color w:val="auto"/>
          <w:spacing w:val="-3"/>
          <w:sz w:val="21"/>
          <w:szCs w:val="21"/>
          <w:highlight w:val="none"/>
          <w:lang w:val="en-US" w:eastAsia="zh-CN"/>
        </w:rPr>
        <w:t>为</w:t>
      </w:r>
      <w:r>
        <w:rPr>
          <w:rFonts w:hint="eastAsia" w:ascii="宋体" w:hAnsi="宋体" w:eastAsia="宋体" w:cs="宋体"/>
          <w:color w:val="auto"/>
          <w:spacing w:val="-3"/>
          <w:sz w:val="21"/>
          <w:szCs w:val="21"/>
          <w:highlight w:val="none"/>
        </w:rPr>
        <w:t xml:space="preserve">45钢。  </w:t>
      </w:r>
    </w:p>
    <w:p w14:paraId="14DABB0A">
      <w:pPr>
        <w:keepNext w:val="0"/>
        <w:keepLines w:val="0"/>
        <w:pageBreakBefore w:val="0"/>
        <w:kinsoku/>
        <w:wordWrap/>
        <w:overflowPunct/>
        <w:topLinePunct w:val="0"/>
        <w:autoSpaceDE/>
        <w:autoSpaceDN/>
        <w:bidi w:val="0"/>
        <w:spacing w:line="360" w:lineRule="auto"/>
        <w:ind w:left="0" w:firstLine="408"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四</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其他要求</w:t>
      </w:r>
    </w:p>
    <w:p w14:paraId="126E35AA">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1、搅拌装置安装前复检机座安装板的水平度和轴线垂直度；安装紧密接触面水平度误差不大于0.05:100,最大误差不大于0.25mm; 其轴线与安装紧密接触面垂直度误差不大于0.05:100。</w:t>
      </w:r>
    </w:p>
    <w:p w14:paraId="68BE4258">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2、因机座经长途运输和反复装卸，在搅拌装置安装前，应检查其各部螺栓是否连接牢固。</w:t>
      </w:r>
    </w:p>
    <w:p w14:paraId="31D242A9">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3、搅拌设备安装后，搅拌轴轴封处的径向跳动应≤0.15mm, 轴向窜动位移量应≤0.15mm; 搅拌轴悬臂端的径向摆动量不大于1:1000,最大不得大于5mm。</w:t>
      </w:r>
    </w:p>
    <w:p w14:paraId="5A0B1F45">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4、组装完成并检查无误后，以水代料进行试运转(注：不得空转),运转时间不小于6小时；试运转时，不得有异常的噪音(≯65dB(A))和振动，电机温升≯30℃,机座轴承室温升≯30℃。</w:t>
      </w:r>
    </w:p>
    <w:p w14:paraId="5B2BFAC3">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5、注：密封盖板和罐顶桥架须保证搅拌器的装卸，本装置配套搅拌轴(含轮毂)和搅拌桨叶为可拆卸结构，轮毂与桨叶用螺栓组紧固连接。</w:t>
      </w:r>
    </w:p>
    <w:p w14:paraId="5DBC23E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配置形式</w:t>
      </w:r>
    </w:p>
    <w:p w14:paraId="3FC5593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1、连续工作</w:t>
      </w:r>
    </w:p>
    <w:p w14:paraId="3A7A4B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卖方</w:t>
      </w:r>
      <w:r>
        <w:rPr>
          <w:rFonts w:hint="eastAsia" w:ascii="宋体" w:hAnsi="宋体" w:eastAsia="宋体" w:cs="宋体"/>
          <w:color w:val="auto"/>
          <w:sz w:val="21"/>
          <w:szCs w:val="21"/>
          <w:highlight w:val="none"/>
        </w:rPr>
        <w:t>自行设计搅拌装置全套</w:t>
      </w:r>
    </w:p>
    <w:p w14:paraId="3C8B2577">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、电机</w:t>
      </w:r>
    </w:p>
    <w:p w14:paraId="0890D4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永磁变频电机（内转子），</w:t>
      </w:r>
      <w:r>
        <w:rPr>
          <w:rFonts w:hint="eastAsia" w:ascii="宋体" w:hAnsi="宋体" w:eastAsia="宋体" w:cs="宋体"/>
          <w:color w:val="auto"/>
          <w:sz w:val="21"/>
          <w:szCs w:val="21"/>
          <w:highlight w:val="none"/>
        </w:rPr>
        <w:t>与搅拌配套，要求电机为最新高效节能电机。电动机防护等级不低于IP54,绝缘等级不低于F级，温升不超过F级绝缘使用的温度。</w:t>
      </w:r>
    </w:p>
    <w:p w14:paraId="43805FFA">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2、国内知名品牌电机。</w:t>
      </w:r>
    </w:p>
    <w:p w14:paraId="6A6C2ED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、供货范围</w:t>
      </w:r>
    </w:p>
    <w:p w14:paraId="49A3016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成套供货，包含但不限于永磁</w:t>
      </w:r>
      <w:r>
        <w:rPr>
          <w:rFonts w:hint="eastAsia" w:ascii="宋体" w:hAnsi="宋体" w:eastAsia="宋体" w:cs="宋体"/>
          <w:color w:val="auto"/>
          <w:sz w:val="21"/>
          <w:szCs w:val="21"/>
          <w:highlight w:val="none"/>
        </w:rPr>
        <w:t>变频</w:t>
      </w:r>
      <w:r>
        <w:rPr>
          <w:rFonts w:hint="eastAsia" w:ascii="宋体" w:hAnsi="宋体" w:eastAsia="宋体" w:cs="宋体"/>
          <w:color w:val="auto"/>
          <w:sz w:val="21"/>
          <w:szCs w:val="21"/>
          <w:highlight w:val="none"/>
          <w:lang w:val="en-US" w:eastAsia="zh-CN"/>
        </w:rPr>
        <w:t>电机、配套配电柜（</w:t>
      </w:r>
      <w:r>
        <w:rPr>
          <w:rFonts w:hint="eastAsia" w:ascii="宋体" w:hAnsi="宋体" w:eastAsia="宋体" w:cs="宋体"/>
          <w:color w:val="auto"/>
          <w:spacing w:val="-3"/>
          <w:sz w:val="21"/>
          <w:szCs w:val="21"/>
          <w:highlight w:val="none"/>
          <w:lang w:val="en-US" w:eastAsia="zh-CN"/>
        </w:rPr>
        <w:t>含变频器</w:t>
      </w:r>
      <w:r>
        <w:rPr>
          <w:rFonts w:hint="eastAsia" w:ascii="宋体" w:hAnsi="宋体" w:eastAsia="宋体" w:cs="宋体"/>
          <w:color w:val="auto"/>
          <w:sz w:val="21"/>
          <w:szCs w:val="21"/>
          <w:highlight w:val="none"/>
          <w:lang w:val="en-US" w:eastAsia="zh-CN"/>
        </w:rPr>
        <w:t>）、双支点轴承座、轴承座安装底板（含连接螺栓）、搅拌轴、水封、联轴器、轮毂、叶片及连接螺栓等。变频器品牌：汇川、英威腾等</w:t>
      </w:r>
      <w:r>
        <w:rPr>
          <w:rFonts w:hint="eastAsia" w:ascii="宋体" w:hAnsi="宋体" w:eastAsia="宋体" w:cs="宋体"/>
          <w:color w:val="auto"/>
          <w:sz w:val="21"/>
          <w:szCs w:val="21"/>
          <w:highlight w:val="none"/>
        </w:rPr>
        <w:t>国内知名品牌</w:t>
      </w:r>
      <w:r>
        <w:rPr>
          <w:rFonts w:hint="eastAsia" w:ascii="宋体" w:hAnsi="宋体" w:eastAsia="宋体" w:cs="宋体"/>
          <w:color w:val="auto"/>
          <w:sz w:val="21"/>
          <w:szCs w:val="21"/>
          <w:highlight w:val="none"/>
          <w:lang w:eastAsia="zh-CN"/>
        </w:rPr>
        <w:t>。</w:t>
      </w:r>
    </w:p>
    <w:p w14:paraId="69F48B5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2、一年运行所必需的备件。</w:t>
      </w:r>
    </w:p>
    <w:p w14:paraId="1B8F19F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、提供工程设计技术资料及技术要求</w:t>
      </w:r>
    </w:p>
    <w:p w14:paraId="6026CCB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1、提供设备型号、规格和主要零部件的材质情况，供货厂家</w:t>
      </w:r>
    </w:p>
    <w:p w14:paraId="4F355AC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2、提供设备的详细资料（含设备总图、安装尺寸、联轴器尺寸等）</w:t>
      </w:r>
    </w:p>
    <w:p w14:paraId="6C68321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3、提供设备安装、操作、维修说明书</w:t>
      </w:r>
    </w:p>
    <w:p w14:paraId="732A4D6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4、电气设备的详细资料</w:t>
      </w:r>
    </w:p>
    <w:p w14:paraId="05CF9EF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5、其它附件（如搅拌轴安装一整套非标件等）也应提供详细资料、图纸等</w:t>
      </w:r>
    </w:p>
    <w:p w14:paraId="506EFE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6、一年运行所必需的备件清单</w:t>
      </w:r>
    </w:p>
    <w:p w14:paraId="46CF723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、现场技术服务</w:t>
      </w:r>
    </w:p>
    <w:p w14:paraId="149EBCD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包括指导安装调试及72小时开车工作。</w:t>
      </w:r>
    </w:p>
    <w:p w14:paraId="4E10C02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、运输到买方厂内</w:t>
      </w:r>
    </w:p>
    <w:p w14:paraId="08B4D94E">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、质量保证：符合国家相关标准的规定。</w:t>
      </w:r>
    </w:p>
    <w:p w14:paraId="318BD58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设计、制造、测试和检验按照现有规格和标准进行。产品设计、制造（施工）及检验标准按照最新标准要求。</w:t>
      </w:r>
    </w:p>
    <w:p w14:paraId="55EF6F9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满足买方的技术条件要求</w:t>
      </w:r>
      <w:r>
        <w:rPr>
          <w:rFonts w:hint="eastAsia" w:ascii="宋体" w:hAnsi="宋体" w:eastAsia="宋体" w:cs="宋体"/>
          <w:color w:val="auto"/>
          <w:sz w:val="21"/>
          <w:szCs w:val="21"/>
          <w:highlight w:val="none"/>
          <w:lang w:val="zh-CN"/>
        </w:rPr>
        <w:t>。</w:t>
      </w:r>
    </w:p>
    <w:p w14:paraId="1FA0CFD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从验收合格之日起，质保期为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个月。在此期间出现问题，卖方应无偿给买方维修。</w:t>
      </w:r>
    </w:p>
    <w:p w14:paraId="5C61D82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、提交的技术文件如下但不限于：</w:t>
      </w:r>
    </w:p>
    <w:p w14:paraId="5B45764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提供CAD格式安装图纸：主要外型尺寸、总装图纸。</w:t>
      </w:r>
    </w:p>
    <w:p w14:paraId="509B7A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质量检测证明、材料检测报告。</w:t>
      </w:r>
    </w:p>
    <w:p w14:paraId="67D90B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4BE37C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现场服务</w:t>
      </w:r>
    </w:p>
    <w:p w14:paraId="127015D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卖方的基本服务：检查安装的正确与否；指导/培训买方人员。进行一次72小时的试车。</w:t>
      </w:r>
    </w:p>
    <w:p w14:paraId="5F79B10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试车期间做好检查；</w:t>
      </w:r>
    </w:p>
    <w:p w14:paraId="7A5085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在试车之后，卖方须保证下列：</w:t>
      </w:r>
    </w:p>
    <w:p w14:paraId="171CA85D">
      <w:pPr>
        <w:keepNext w:val="0"/>
        <w:keepLines w:val="0"/>
        <w:pageBreakBefore w:val="0"/>
        <w:kinsoku/>
        <w:wordWrap/>
        <w:overflowPunct/>
        <w:topLinePunct w:val="0"/>
        <w:autoSpaceDE/>
        <w:autoSpaceDN/>
        <w:bidi w:val="0"/>
        <w:adjustRightInd w:val="0"/>
        <w:snapToGrid w:val="0"/>
        <w:spacing w:line="360" w:lineRule="auto"/>
        <w:ind w:lef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设备工作正常；所有指标在正常范围内；符合国家相关标准的要求；各项值不超过合同规定。</w:t>
      </w:r>
    </w:p>
    <w:p w14:paraId="598D997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w:t>
      </w:r>
    </w:p>
    <w:p w14:paraId="3C7C99B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验收标准按合同及技术协议。</w:t>
      </w:r>
    </w:p>
    <w:p w14:paraId="6057427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2、卖方指导安装，</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工厂安装调试完毕，对设备进行各项性能测试等最终验收工作，同时进行操作、维修等技术培训，最终验收合格后双方签字生效。</w:t>
      </w:r>
    </w:p>
    <w:p w14:paraId="5DC420F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培训：卖方应对买方的技术人员进行现场培训，直至</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的技术人员熟练掌握设备操作。</w:t>
      </w:r>
    </w:p>
    <w:p w14:paraId="1041AC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其它技术文件</w:t>
      </w:r>
    </w:p>
    <w:p w14:paraId="560F2DF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卖方应免费提供完整的三套技术文件（设计文件提供图纸）。包括但不限于：</w:t>
      </w:r>
    </w:p>
    <w:p w14:paraId="26E5696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-外型尺寸图；-安装基础图；-设备总装图；运行维护手册；</w:t>
      </w:r>
    </w:p>
    <w:p w14:paraId="492F1F6F">
      <w:pPr>
        <w:pStyle w:val="6"/>
        <w:rPr>
          <w:rFonts w:hint="eastAsia" w:ascii="宋体" w:hAnsi="宋体" w:eastAsia="宋体" w:cs="宋体"/>
          <w:color w:val="auto"/>
          <w:sz w:val="21"/>
          <w:szCs w:val="21"/>
          <w:highlight w:val="none"/>
        </w:rPr>
      </w:pPr>
    </w:p>
    <w:p w14:paraId="2B2C0D12">
      <w:pPr>
        <w:pStyle w:val="6"/>
        <w:rPr>
          <w:rFonts w:hint="eastAsia" w:ascii="宋体" w:hAnsi="宋体" w:eastAsia="宋体" w:cs="宋体"/>
          <w:color w:val="auto"/>
          <w:sz w:val="21"/>
          <w:szCs w:val="21"/>
          <w:highlight w:val="none"/>
        </w:rPr>
      </w:pPr>
    </w:p>
    <w:p w14:paraId="656BEBB7">
      <w:pPr>
        <w:pStyle w:val="6"/>
        <w:rPr>
          <w:rFonts w:hint="eastAsia" w:ascii="宋体" w:hAnsi="宋体" w:eastAsia="宋体" w:cs="宋体"/>
          <w:color w:val="auto"/>
          <w:sz w:val="21"/>
          <w:szCs w:val="21"/>
          <w:highlight w:val="none"/>
        </w:rPr>
      </w:pPr>
    </w:p>
    <w:p w14:paraId="01849018">
      <w:pPr>
        <w:pStyle w:val="6"/>
        <w:rPr>
          <w:rFonts w:hint="eastAsia" w:ascii="宋体" w:hAnsi="宋体" w:eastAsia="宋体" w:cs="宋体"/>
          <w:color w:val="auto"/>
          <w:sz w:val="21"/>
          <w:szCs w:val="21"/>
          <w:highlight w:val="none"/>
        </w:rPr>
      </w:pPr>
    </w:p>
    <w:p w14:paraId="4950678C">
      <w:pPr>
        <w:pStyle w:val="6"/>
        <w:rPr>
          <w:rFonts w:hint="eastAsia" w:ascii="宋体" w:hAnsi="宋体" w:eastAsia="宋体" w:cs="宋体"/>
          <w:color w:val="auto"/>
          <w:sz w:val="21"/>
          <w:szCs w:val="21"/>
          <w:highlight w:val="none"/>
        </w:rPr>
      </w:pPr>
    </w:p>
    <w:p w14:paraId="1A5B2151">
      <w:pPr>
        <w:pStyle w:val="6"/>
        <w:rPr>
          <w:rFonts w:hint="eastAsia" w:ascii="宋体" w:hAnsi="宋体" w:eastAsia="宋体" w:cs="宋体"/>
          <w:color w:val="auto"/>
          <w:sz w:val="21"/>
          <w:szCs w:val="21"/>
          <w:highlight w:val="none"/>
        </w:rPr>
      </w:pPr>
    </w:p>
    <w:p w14:paraId="47A9B6C9">
      <w:pPr>
        <w:pStyle w:val="6"/>
        <w:rPr>
          <w:rFonts w:hint="eastAsia" w:ascii="宋体" w:hAnsi="宋体" w:eastAsia="宋体" w:cs="宋体"/>
          <w:color w:val="auto"/>
          <w:sz w:val="21"/>
          <w:szCs w:val="21"/>
          <w:highlight w:val="none"/>
        </w:rPr>
      </w:pPr>
    </w:p>
    <w:p w14:paraId="1FA70083">
      <w:pPr>
        <w:pStyle w:val="6"/>
        <w:rPr>
          <w:rFonts w:hint="eastAsia" w:ascii="宋体" w:hAnsi="宋体" w:eastAsia="宋体" w:cs="宋体"/>
          <w:color w:val="auto"/>
          <w:sz w:val="21"/>
          <w:szCs w:val="21"/>
          <w:highlight w:val="none"/>
        </w:rPr>
      </w:pPr>
    </w:p>
    <w:p w14:paraId="4A34A474">
      <w:pPr>
        <w:pStyle w:val="6"/>
        <w:rPr>
          <w:rFonts w:hint="eastAsia" w:ascii="宋体" w:hAnsi="宋体" w:eastAsia="宋体" w:cs="宋体"/>
          <w:color w:val="auto"/>
          <w:sz w:val="21"/>
          <w:szCs w:val="21"/>
          <w:highlight w:val="none"/>
        </w:rPr>
      </w:pPr>
    </w:p>
    <w:p w14:paraId="15462243">
      <w:pPr>
        <w:pStyle w:val="6"/>
        <w:rPr>
          <w:rFonts w:hint="eastAsia" w:ascii="宋体" w:hAnsi="宋体" w:eastAsia="宋体" w:cs="宋体"/>
          <w:color w:val="auto"/>
          <w:sz w:val="21"/>
          <w:szCs w:val="21"/>
          <w:highlight w:val="none"/>
        </w:rPr>
      </w:pPr>
    </w:p>
    <w:p w14:paraId="15094597">
      <w:pPr>
        <w:pStyle w:val="6"/>
        <w:rPr>
          <w:rFonts w:hint="eastAsia" w:ascii="宋体" w:hAnsi="宋体" w:eastAsia="宋体" w:cs="宋体"/>
          <w:color w:val="auto"/>
          <w:sz w:val="21"/>
          <w:szCs w:val="21"/>
          <w:highlight w:val="none"/>
        </w:rPr>
      </w:pPr>
    </w:p>
    <w:p w14:paraId="050B54AD">
      <w:pPr>
        <w:pStyle w:val="6"/>
        <w:rPr>
          <w:rFonts w:hint="eastAsia" w:ascii="宋体" w:hAnsi="宋体" w:eastAsia="宋体" w:cs="宋体"/>
          <w:color w:val="auto"/>
          <w:sz w:val="21"/>
          <w:szCs w:val="21"/>
          <w:highlight w:val="none"/>
        </w:rPr>
      </w:pPr>
    </w:p>
    <w:p w14:paraId="6EAE8694">
      <w:pPr>
        <w:pStyle w:val="6"/>
        <w:rPr>
          <w:rFonts w:hint="eastAsia" w:ascii="宋体" w:hAnsi="宋体" w:eastAsia="宋体" w:cs="宋体"/>
          <w:color w:val="auto"/>
          <w:sz w:val="21"/>
          <w:szCs w:val="21"/>
          <w:highlight w:val="none"/>
        </w:rPr>
      </w:pPr>
    </w:p>
    <w:p w14:paraId="606F495F">
      <w:pPr>
        <w:pStyle w:val="6"/>
        <w:rPr>
          <w:rFonts w:hint="eastAsia" w:ascii="宋体" w:hAnsi="宋体" w:eastAsia="宋体" w:cs="宋体"/>
          <w:color w:val="auto"/>
          <w:sz w:val="21"/>
          <w:szCs w:val="21"/>
          <w:highlight w:val="none"/>
        </w:rPr>
      </w:pPr>
    </w:p>
    <w:p w14:paraId="3138DEB6">
      <w:pPr>
        <w:pStyle w:val="6"/>
        <w:rPr>
          <w:rFonts w:hint="eastAsia" w:ascii="宋体" w:hAnsi="宋体" w:eastAsia="宋体" w:cs="宋体"/>
          <w:color w:val="auto"/>
          <w:sz w:val="21"/>
          <w:szCs w:val="21"/>
          <w:highlight w:val="none"/>
        </w:rPr>
      </w:pPr>
    </w:p>
    <w:p w14:paraId="1D2480A9">
      <w:pPr>
        <w:pStyle w:val="6"/>
        <w:rPr>
          <w:rFonts w:hint="eastAsia" w:ascii="宋体" w:hAnsi="宋体" w:eastAsia="宋体" w:cs="宋体"/>
          <w:color w:val="auto"/>
          <w:sz w:val="21"/>
          <w:szCs w:val="21"/>
          <w:highlight w:val="none"/>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w:t>
      </w:r>
      <w:r>
        <w:rPr>
          <w:rFonts w:hint="eastAsia" w:ascii="宋体" w:hAnsi="宋体" w:eastAsia="宋体" w:cs="宋体"/>
          <w:b/>
          <w:bCs/>
          <w:color w:val="auto"/>
          <w:sz w:val="32"/>
          <w:szCs w:val="32"/>
          <w:lang w:val="en-US" w:eastAsia="zh-CN"/>
        </w:rPr>
        <w:t>同类浆化搅拌</w:t>
      </w:r>
      <w:r>
        <w:rPr>
          <w:rFonts w:hint="eastAsia" w:ascii="Times New Roman"/>
          <w:color w:val="auto"/>
          <w:sz w:val="32"/>
          <w:szCs w:val="32"/>
        </w:rPr>
        <w:t>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212EED-F20D-41D8-B540-23974B0F5F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AA59CA2-6DFB-4B50-8BA8-78B1B6E3BEC0}"/>
  </w:font>
  <w:font w:name="方正小标宋简体">
    <w:panose1 w:val="02000000000000000000"/>
    <w:charset w:val="86"/>
    <w:family w:val="auto"/>
    <w:pitch w:val="default"/>
    <w:sig w:usb0="00000001" w:usb1="08000000" w:usb2="00000000" w:usb3="00000000" w:csb0="00040000" w:csb1="00000000"/>
    <w:embedRegular r:id="rId3" w:fontKey="{2519E990-301B-4577-B293-08D0EDFAFDCD}"/>
  </w:font>
  <w:font w:name="新宋体">
    <w:panose1 w:val="02010609030101010101"/>
    <w:charset w:val="86"/>
    <w:family w:val="auto"/>
    <w:pitch w:val="default"/>
    <w:sig w:usb0="00000203" w:usb1="288F0000" w:usb2="00000006" w:usb3="00000000" w:csb0="00040001" w:csb1="00000000"/>
    <w:embedRegular r:id="rId4" w:fontKey="{D0726D28-36E8-4691-B33E-3DC57FA4CFD6}"/>
  </w:font>
  <w:font w:name="微软雅黑">
    <w:panose1 w:val="020B0503020204020204"/>
    <w:charset w:val="86"/>
    <w:family w:val="auto"/>
    <w:pitch w:val="default"/>
    <w:sig w:usb0="80000287" w:usb1="2ACF3C50" w:usb2="00000016" w:usb3="00000000" w:csb0="0004001F" w:csb1="00000000"/>
    <w:embedRegular r:id="rId5" w:fontKey="{D9C372F4-0381-4ABB-A96F-E7BD0AE02FBB}"/>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04D68EEC"/>
    <w:multiLevelType w:val="singleLevel"/>
    <w:tmpl w:val="04D68EEC"/>
    <w:lvl w:ilvl="0" w:tentative="0">
      <w:start w:val="1"/>
      <w:numFmt w:val="decimal"/>
      <w:suff w:val="nothing"/>
      <w:lvlText w:val="%1、"/>
      <w:lvlJc w:val="left"/>
    </w:lvl>
  </w:abstractNum>
  <w:abstractNum w:abstractNumId="2">
    <w:nsid w:val="7CD3687B"/>
    <w:multiLevelType w:val="singleLevel"/>
    <w:tmpl w:val="7CD3687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23E2922"/>
    <w:rsid w:val="026A1189"/>
    <w:rsid w:val="03D35307"/>
    <w:rsid w:val="051379D8"/>
    <w:rsid w:val="05BE40FB"/>
    <w:rsid w:val="06141C07"/>
    <w:rsid w:val="066F5090"/>
    <w:rsid w:val="076A5F83"/>
    <w:rsid w:val="07720B9B"/>
    <w:rsid w:val="094353E9"/>
    <w:rsid w:val="09DE0562"/>
    <w:rsid w:val="0A8455AD"/>
    <w:rsid w:val="0AA3355A"/>
    <w:rsid w:val="0BC1013B"/>
    <w:rsid w:val="0CF75B07"/>
    <w:rsid w:val="0D1F511A"/>
    <w:rsid w:val="0EFF16A6"/>
    <w:rsid w:val="0F3E06C6"/>
    <w:rsid w:val="0FD77F2D"/>
    <w:rsid w:val="102F1EF5"/>
    <w:rsid w:val="105C48D7"/>
    <w:rsid w:val="10C81F6C"/>
    <w:rsid w:val="113B4E0B"/>
    <w:rsid w:val="114161E7"/>
    <w:rsid w:val="12F1539B"/>
    <w:rsid w:val="130628D8"/>
    <w:rsid w:val="131E5E73"/>
    <w:rsid w:val="14F21366"/>
    <w:rsid w:val="14F90946"/>
    <w:rsid w:val="14FD19B0"/>
    <w:rsid w:val="15350822"/>
    <w:rsid w:val="1562619C"/>
    <w:rsid w:val="166444E5"/>
    <w:rsid w:val="17725CE9"/>
    <w:rsid w:val="17B35C58"/>
    <w:rsid w:val="18147845"/>
    <w:rsid w:val="18237AE6"/>
    <w:rsid w:val="18F7519C"/>
    <w:rsid w:val="19B65298"/>
    <w:rsid w:val="19BF0744"/>
    <w:rsid w:val="19BF485E"/>
    <w:rsid w:val="19EF056A"/>
    <w:rsid w:val="1A21737F"/>
    <w:rsid w:val="1ACF6C75"/>
    <w:rsid w:val="1B177D78"/>
    <w:rsid w:val="1C43089F"/>
    <w:rsid w:val="1D1D719C"/>
    <w:rsid w:val="1DA8115B"/>
    <w:rsid w:val="1DB27CC5"/>
    <w:rsid w:val="1DB47B00"/>
    <w:rsid w:val="1DF736E7"/>
    <w:rsid w:val="1E34479D"/>
    <w:rsid w:val="1E6E1383"/>
    <w:rsid w:val="1E830638"/>
    <w:rsid w:val="1F040613"/>
    <w:rsid w:val="1F4D5417"/>
    <w:rsid w:val="1F52137F"/>
    <w:rsid w:val="207E073E"/>
    <w:rsid w:val="21787096"/>
    <w:rsid w:val="21834158"/>
    <w:rsid w:val="22F5715A"/>
    <w:rsid w:val="230F132C"/>
    <w:rsid w:val="234D370C"/>
    <w:rsid w:val="241430A6"/>
    <w:rsid w:val="2452597D"/>
    <w:rsid w:val="24C70119"/>
    <w:rsid w:val="24DB4284"/>
    <w:rsid w:val="24DD3157"/>
    <w:rsid w:val="263C0693"/>
    <w:rsid w:val="27402404"/>
    <w:rsid w:val="290F1E40"/>
    <w:rsid w:val="297D7484"/>
    <w:rsid w:val="2A2E0C3A"/>
    <w:rsid w:val="2C534988"/>
    <w:rsid w:val="2CD566B1"/>
    <w:rsid w:val="2DE05E9B"/>
    <w:rsid w:val="2DE97352"/>
    <w:rsid w:val="2DEE1567"/>
    <w:rsid w:val="2E033918"/>
    <w:rsid w:val="2EE713B8"/>
    <w:rsid w:val="2FD602BF"/>
    <w:rsid w:val="31832E12"/>
    <w:rsid w:val="318F0210"/>
    <w:rsid w:val="31C11B09"/>
    <w:rsid w:val="31EC7411"/>
    <w:rsid w:val="33260700"/>
    <w:rsid w:val="333C7F24"/>
    <w:rsid w:val="333D3C9C"/>
    <w:rsid w:val="33477DBB"/>
    <w:rsid w:val="339B5162"/>
    <w:rsid w:val="34DF16EF"/>
    <w:rsid w:val="35164541"/>
    <w:rsid w:val="352A3E47"/>
    <w:rsid w:val="358E6037"/>
    <w:rsid w:val="36B349A1"/>
    <w:rsid w:val="373553B6"/>
    <w:rsid w:val="37991DE9"/>
    <w:rsid w:val="384004B6"/>
    <w:rsid w:val="38C369F1"/>
    <w:rsid w:val="38F33322"/>
    <w:rsid w:val="39974106"/>
    <w:rsid w:val="3A3A65D2"/>
    <w:rsid w:val="3A561988"/>
    <w:rsid w:val="3B651551"/>
    <w:rsid w:val="3BFF184D"/>
    <w:rsid w:val="3CB63F34"/>
    <w:rsid w:val="3CFB6595"/>
    <w:rsid w:val="3CFD6BB7"/>
    <w:rsid w:val="3D1C6419"/>
    <w:rsid w:val="3DB25D85"/>
    <w:rsid w:val="3E100FD4"/>
    <w:rsid w:val="3E3C01FF"/>
    <w:rsid w:val="3EF21FA7"/>
    <w:rsid w:val="3F2C400C"/>
    <w:rsid w:val="3FA96941"/>
    <w:rsid w:val="403E2FEC"/>
    <w:rsid w:val="404B17A6"/>
    <w:rsid w:val="405A4224"/>
    <w:rsid w:val="40D7383D"/>
    <w:rsid w:val="414B0714"/>
    <w:rsid w:val="416F5968"/>
    <w:rsid w:val="41831414"/>
    <w:rsid w:val="427A5715"/>
    <w:rsid w:val="433C5D1E"/>
    <w:rsid w:val="43E51F12"/>
    <w:rsid w:val="44107006"/>
    <w:rsid w:val="447D214A"/>
    <w:rsid w:val="44920CB0"/>
    <w:rsid w:val="45726E52"/>
    <w:rsid w:val="45B63C5D"/>
    <w:rsid w:val="460F14C8"/>
    <w:rsid w:val="46637C62"/>
    <w:rsid w:val="482B6CCE"/>
    <w:rsid w:val="488937B4"/>
    <w:rsid w:val="4B896DF6"/>
    <w:rsid w:val="4BBE3774"/>
    <w:rsid w:val="4C3E7CD3"/>
    <w:rsid w:val="4CB27A82"/>
    <w:rsid w:val="4D66647C"/>
    <w:rsid w:val="4E6B74B7"/>
    <w:rsid w:val="4F18763F"/>
    <w:rsid w:val="500261D8"/>
    <w:rsid w:val="5007625F"/>
    <w:rsid w:val="501C4F0D"/>
    <w:rsid w:val="50212926"/>
    <w:rsid w:val="50610B72"/>
    <w:rsid w:val="509B2FD7"/>
    <w:rsid w:val="510559A1"/>
    <w:rsid w:val="512701D4"/>
    <w:rsid w:val="512B7333"/>
    <w:rsid w:val="51E952C3"/>
    <w:rsid w:val="52245D03"/>
    <w:rsid w:val="523676EA"/>
    <w:rsid w:val="524F1A19"/>
    <w:rsid w:val="54387E3C"/>
    <w:rsid w:val="554538AF"/>
    <w:rsid w:val="55BF6A67"/>
    <w:rsid w:val="55EF7BB3"/>
    <w:rsid w:val="55F20E2B"/>
    <w:rsid w:val="56737851"/>
    <w:rsid w:val="5680683F"/>
    <w:rsid w:val="56F815DC"/>
    <w:rsid w:val="571728EA"/>
    <w:rsid w:val="57682B02"/>
    <w:rsid w:val="57711FE2"/>
    <w:rsid w:val="578F1872"/>
    <w:rsid w:val="594E3FF0"/>
    <w:rsid w:val="59907EED"/>
    <w:rsid w:val="5A715E56"/>
    <w:rsid w:val="5B85620A"/>
    <w:rsid w:val="5B97061C"/>
    <w:rsid w:val="5C2B04AE"/>
    <w:rsid w:val="5C52112B"/>
    <w:rsid w:val="5D042FB1"/>
    <w:rsid w:val="5DCA09A3"/>
    <w:rsid w:val="5DE03A1E"/>
    <w:rsid w:val="5E7303EE"/>
    <w:rsid w:val="5E8D407E"/>
    <w:rsid w:val="5F164E84"/>
    <w:rsid w:val="5F213A10"/>
    <w:rsid w:val="5F784878"/>
    <w:rsid w:val="5F8C5DB5"/>
    <w:rsid w:val="61137C66"/>
    <w:rsid w:val="61483E9A"/>
    <w:rsid w:val="63260125"/>
    <w:rsid w:val="65071890"/>
    <w:rsid w:val="66452F0C"/>
    <w:rsid w:val="66D57E15"/>
    <w:rsid w:val="671D4BFD"/>
    <w:rsid w:val="677376B1"/>
    <w:rsid w:val="683A6742"/>
    <w:rsid w:val="699B2742"/>
    <w:rsid w:val="69E314DA"/>
    <w:rsid w:val="69F446AA"/>
    <w:rsid w:val="6A445335"/>
    <w:rsid w:val="6A674B7F"/>
    <w:rsid w:val="6BD87931"/>
    <w:rsid w:val="6C2347F8"/>
    <w:rsid w:val="6CCD1611"/>
    <w:rsid w:val="6CE26D5D"/>
    <w:rsid w:val="6D625E98"/>
    <w:rsid w:val="6DB30807"/>
    <w:rsid w:val="6DDD3AD6"/>
    <w:rsid w:val="6DDD441D"/>
    <w:rsid w:val="6E832C62"/>
    <w:rsid w:val="6F4D07E7"/>
    <w:rsid w:val="6FCA62DC"/>
    <w:rsid w:val="6FCF56A0"/>
    <w:rsid w:val="6FE50A20"/>
    <w:rsid w:val="70626755"/>
    <w:rsid w:val="707458D8"/>
    <w:rsid w:val="71C25CAC"/>
    <w:rsid w:val="72E3289C"/>
    <w:rsid w:val="736305DA"/>
    <w:rsid w:val="746A3800"/>
    <w:rsid w:val="74F87447"/>
    <w:rsid w:val="76086F57"/>
    <w:rsid w:val="76987E92"/>
    <w:rsid w:val="769F53C0"/>
    <w:rsid w:val="778B00FF"/>
    <w:rsid w:val="78312A6A"/>
    <w:rsid w:val="78764A5D"/>
    <w:rsid w:val="78964FAD"/>
    <w:rsid w:val="79E32474"/>
    <w:rsid w:val="7AB21E46"/>
    <w:rsid w:val="7AE12865"/>
    <w:rsid w:val="7B7C2705"/>
    <w:rsid w:val="7DB56486"/>
    <w:rsid w:val="7E3F1984"/>
    <w:rsid w:val="7E6E0173"/>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w:basedOn w:val="1"/>
    <w:qFormat/>
    <w:uiPriority w:val="0"/>
    <w:pPr>
      <w:spacing w:line="360" w:lineRule="auto"/>
    </w:pPr>
    <w:rPr>
      <w:rFonts w:ascii="楷体_GB2312" w:hAnsi="Times New Roman" w:eastAsia="楷体_GB2312" w:cs="Times New Roman"/>
      <w:sz w:val="28"/>
      <w:szCs w:val="20"/>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582</Words>
  <Characters>673</Characters>
  <Lines>0</Lines>
  <Paragraphs>0</Paragraphs>
  <TotalTime>9</TotalTime>
  <ScaleCrop>false</ScaleCrop>
  <LinksUpToDate>false</LinksUpToDate>
  <CharactersWithSpaces>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2025-11-10T02:35:24Z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FF19387F4A834688819529F5F3DB4245_13</vt:lpwstr>
  </property>
  <property fmtid="{D5CDD505-2E9C-101B-9397-08002B2CF9AE}" pid="4" name="KSOTemplateDocerSaveRecord">
    <vt:lpwstr>eyJoZGlkIjoiYjVjZDVhYWVmMTBiNTBjNzdjNjhhM2FmZTAyYmQ1ZTgifQ==</vt:lpwstr>
  </property>
</Properties>
</file>