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XB20251112-08</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FD7C067">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2025年11月输送设备配件配件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11月输送设备配件配件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输送设备配件</w:t>
      </w:r>
      <w:r>
        <w:rPr>
          <w:rFonts w:hint="eastAsia" w:ascii="宋体" w:hAnsi="宋体" w:eastAsia="宋体" w:cs="宋体"/>
          <w:b/>
          <w:bCs/>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1471"/>
      <w:bookmarkStart w:id="6" w:name="_Toc14565"/>
      <w:bookmarkStart w:id="7" w:name="_Toc33795776"/>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11月输送设备配件配件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GLS160管式螺旋输送机</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(不含减速机）</w:t>
            </w:r>
          </w:p>
        </w:tc>
        <w:tc>
          <w:tcPr>
            <w:tcW w:w="2933" w:type="dxa"/>
            <w:vAlign w:val="center"/>
          </w:tcPr>
          <w:p w14:paraId="510F16D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GLS160*1300见附图</w:t>
            </w:r>
          </w:p>
        </w:tc>
        <w:tc>
          <w:tcPr>
            <w:tcW w:w="652" w:type="dxa"/>
            <w:vAlign w:val="center"/>
          </w:tcPr>
          <w:p w14:paraId="190EE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525" w:type="dxa"/>
            <w:vAlign w:val="center"/>
          </w:tcPr>
          <w:p w14:paraId="31AF75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3E3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 w:type="dxa"/>
            <w:vAlign w:val="center"/>
          </w:tcPr>
          <w:p w14:paraId="4A5443D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972" w:type="dxa"/>
            <w:vAlign w:val="center"/>
          </w:tcPr>
          <w:p w14:paraId="61E57DB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倾斜螺旋输送螺旋</w:t>
            </w:r>
          </w:p>
        </w:tc>
        <w:tc>
          <w:tcPr>
            <w:tcW w:w="2933" w:type="dxa"/>
            <w:vAlign w:val="center"/>
          </w:tcPr>
          <w:p w14:paraId="20A0DD3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GL273×8.65m 含轴、轴承、轴承座、筒体</w:t>
            </w:r>
          </w:p>
        </w:tc>
        <w:tc>
          <w:tcPr>
            <w:tcW w:w="652" w:type="dxa"/>
            <w:vAlign w:val="center"/>
          </w:tcPr>
          <w:p w14:paraId="1107DF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1 </w:t>
            </w:r>
          </w:p>
        </w:tc>
        <w:tc>
          <w:tcPr>
            <w:tcW w:w="525" w:type="dxa"/>
            <w:vAlign w:val="center"/>
          </w:tcPr>
          <w:p w14:paraId="745A48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190CE5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0A6B3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79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CBBA9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972" w:type="dxa"/>
            <w:vAlign w:val="center"/>
          </w:tcPr>
          <w:p w14:paraId="4A3D59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皮带输送托辊调整支架</w:t>
            </w:r>
          </w:p>
        </w:tc>
        <w:tc>
          <w:tcPr>
            <w:tcW w:w="2933" w:type="dxa"/>
            <w:vAlign w:val="center"/>
          </w:tcPr>
          <w:p w14:paraId="76F2C98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TDY75-650 上皮带</w:t>
            </w:r>
          </w:p>
        </w:tc>
        <w:tc>
          <w:tcPr>
            <w:tcW w:w="652" w:type="dxa"/>
            <w:vAlign w:val="center"/>
          </w:tcPr>
          <w:p w14:paraId="713B6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525" w:type="dxa"/>
            <w:vAlign w:val="center"/>
          </w:tcPr>
          <w:p w14:paraId="2B858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3038BA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EE129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B0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5D0007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1972" w:type="dxa"/>
            <w:vAlign w:val="center"/>
          </w:tcPr>
          <w:p w14:paraId="510C0A9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皮带输送托辊调整支架</w:t>
            </w:r>
          </w:p>
        </w:tc>
        <w:tc>
          <w:tcPr>
            <w:tcW w:w="2933" w:type="dxa"/>
            <w:vAlign w:val="center"/>
          </w:tcPr>
          <w:p w14:paraId="38A94FC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TDY75-650 下皮带</w:t>
            </w:r>
          </w:p>
        </w:tc>
        <w:tc>
          <w:tcPr>
            <w:tcW w:w="652" w:type="dxa"/>
            <w:vAlign w:val="center"/>
          </w:tcPr>
          <w:p w14:paraId="2A3E93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525" w:type="dxa"/>
            <w:vAlign w:val="center"/>
          </w:tcPr>
          <w:p w14:paraId="34319E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5EA348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3B592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按要求报价，以上4项必须报全，</w:t>
            </w:r>
            <w:r>
              <w:rPr>
                <w:rFonts w:hint="eastAsia" w:ascii="宋体" w:hAnsi="宋体" w:eastAsia="宋体" w:cs="宋体"/>
                <w:i w:val="0"/>
                <w:iCs w:val="0"/>
                <w:color w:val="000000"/>
                <w:kern w:val="0"/>
                <w:sz w:val="21"/>
                <w:szCs w:val="21"/>
                <w:u w:val="none"/>
                <w:lang w:val="en-US" w:eastAsia="zh-CN" w:bidi="ar"/>
              </w:rPr>
              <w:t>缺项报价无效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29895"/>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152042318"/>
      <w:bookmarkStart w:id="14" w:name="_Toc144974510"/>
      <w:bookmarkStart w:id="15" w:name="_Toc352691486"/>
      <w:bookmarkStart w:id="16" w:name="_Toc247527567"/>
      <w:bookmarkStart w:id="17" w:name="_Toc300834963"/>
      <w:bookmarkStart w:id="18" w:name="_Toc384308223"/>
      <w:bookmarkStart w:id="19" w:name="_Toc25772"/>
      <w:bookmarkStart w:id="20" w:name="_Toc369531529"/>
      <w:bookmarkStart w:id="21" w:name="_Toc152045542"/>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15242"/>
      <w:bookmarkStart w:id="25" w:name="_Toc384308224"/>
      <w:bookmarkStart w:id="26" w:name="_Toc361508599"/>
      <w:bookmarkStart w:id="27" w:name="_Toc152042319"/>
      <w:bookmarkStart w:id="28" w:name="_Toc300834964"/>
      <w:bookmarkStart w:id="29" w:name="_Toc152045543"/>
      <w:bookmarkStart w:id="30" w:name="_Toc144974511"/>
      <w:bookmarkStart w:id="31" w:name="_Toc247527568"/>
      <w:bookmarkStart w:id="32" w:name="_Toc369531530"/>
      <w:bookmarkStart w:id="33" w:name="_Toc35269148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52691490"/>
      <w:bookmarkStart w:id="36" w:name="_Toc29025"/>
      <w:bookmarkStart w:id="37" w:name="_Toc384308227"/>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361508603"/>
      <w:bookmarkStart w:id="41" w:name="_Toc369531534"/>
      <w:bookmarkStart w:id="42" w:name="_Toc247527571"/>
      <w:bookmarkStart w:id="43" w:name="_Toc352691491"/>
      <w:bookmarkStart w:id="44" w:name="_Toc144974514"/>
      <w:bookmarkStart w:id="45" w:name="_Toc247513970"/>
      <w:bookmarkStart w:id="46" w:name="_Toc384308228"/>
      <w:bookmarkStart w:id="47" w:name="_Toc14751"/>
      <w:bookmarkStart w:id="48" w:name="_Toc152045546"/>
      <w:bookmarkStart w:id="49" w:name="_Toc300834967"/>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247527572"/>
      <w:bookmarkStart w:id="52" w:name="_Toc152042323"/>
      <w:bookmarkStart w:id="53" w:name="_Toc300834968"/>
      <w:bookmarkStart w:id="54" w:name="_Toc144974515"/>
      <w:bookmarkStart w:id="55" w:name="_Toc152045547"/>
      <w:bookmarkStart w:id="56" w:name="_Toc17952"/>
      <w:bookmarkStart w:id="57" w:name="_Toc361508604"/>
      <w:bookmarkStart w:id="58" w:name="_Toc247513971"/>
      <w:bookmarkStart w:id="59" w:name="_Toc384308229"/>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8216"/>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11月17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green"/>
        </w:rPr>
      </w:pPr>
      <w:r>
        <w:rPr>
          <w:rFonts w:hint="eastAsia" w:ascii="仿宋" w:hAnsi="仿宋" w:eastAsia="仿宋" w:cs="仿宋"/>
          <w:color w:val="auto"/>
          <w:sz w:val="32"/>
          <w:szCs w:val="32"/>
          <w:highlight w:val="green"/>
          <w:lang w:val="en-US" w:eastAsia="zh-CN"/>
        </w:rPr>
        <w:t>2.</w:t>
      </w:r>
      <w:r>
        <w:rPr>
          <w:rFonts w:hint="eastAsia" w:ascii="仿宋" w:hAnsi="仿宋" w:eastAsia="仿宋" w:cs="仿宋"/>
          <w:color w:val="auto"/>
          <w:sz w:val="32"/>
          <w:szCs w:val="32"/>
          <w:highlight w:val="green"/>
          <w:lang w:eastAsia="zh-CN"/>
        </w:rPr>
        <w:t>供应商</w:t>
      </w:r>
      <w:r>
        <w:rPr>
          <w:rFonts w:hint="eastAsia" w:ascii="仿宋" w:hAnsi="仿宋" w:eastAsia="仿宋" w:cs="仿宋"/>
          <w:color w:val="auto"/>
          <w:sz w:val="32"/>
          <w:szCs w:val="32"/>
          <w:highlight w:val="green"/>
        </w:rPr>
        <w:t>有以下情形之一的，</w:t>
      </w:r>
      <w:r>
        <w:rPr>
          <w:rFonts w:hint="eastAsia" w:ascii="仿宋" w:hAnsi="仿宋" w:eastAsia="仿宋" w:cs="仿宋"/>
          <w:color w:val="auto"/>
          <w:sz w:val="32"/>
          <w:szCs w:val="32"/>
          <w:highlight w:val="green"/>
          <w:lang w:eastAsia="zh-CN"/>
        </w:rPr>
        <w:t>评审小组</w:t>
      </w:r>
      <w:r>
        <w:rPr>
          <w:rFonts w:hint="eastAsia" w:ascii="仿宋" w:hAnsi="仿宋" w:eastAsia="仿宋" w:cs="仿宋"/>
          <w:color w:val="auto"/>
          <w:sz w:val="32"/>
          <w:szCs w:val="32"/>
          <w:highlight w:val="green"/>
        </w:rPr>
        <w:t>应当否决其</w:t>
      </w:r>
      <w:r>
        <w:rPr>
          <w:rFonts w:hint="eastAsia" w:ascii="仿宋" w:hAnsi="仿宋" w:eastAsia="仿宋" w:cs="仿宋"/>
          <w:color w:val="auto"/>
          <w:sz w:val="32"/>
          <w:szCs w:val="32"/>
          <w:highlight w:val="green"/>
          <w:lang w:val="en-US" w:eastAsia="zh-CN"/>
        </w:rPr>
        <w:t>响应</w:t>
      </w:r>
      <w:r>
        <w:rPr>
          <w:rFonts w:hint="eastAsia" w:ascii="仿宋" w:hAnsi="仿宋" w:eastAsia="仿宋" w:cs="仿宋"/>
          <w:color w:val="auto"/>
          <w:sz w:val="32"/>
          <w:szCs w:val="32"/>
          <w:highlight w:val="green"/>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green"/>
        </w:rPr>
      </w:pPr>
      <w:r>
        <w:rPr>
          <w:rFonts w:hint="eastAsia" w:ascii="仿宋" w:hAnsi="仿宋" w:eastAsia="仿宋" w:cs="仿宋"/>
          <w:color w:val="auto"/>
          <w:sz w:val="32"/>
          <w:szCs w:val="32"/>
          <w:highlight w:val="green"/>
          <w:lang w:eastAsia="zh-CN"/>
        </w:rPr>
        <w:t>（</w:t>
      </w:r>
      <w:r>
        <w:rPr>
          <w:rFonts w:hint="eastAsia" w:ascii="仿宋" w:hAnsi="仿宋" w:eastAsia="仿宋" w:cs="仿宋"/>
          <w:color w:val="auto"/>
          <w:sz w:val="32"/>
          <w:szCs w:val="32"/>
          <w:highlight w:val="green"/>
          <w:lang w:val="en-US" w:eastAsia="zh-CN"/>
        </w:rPr>
        <w:t>2</w:t>
      </w:r>
      <w:r>
        <w:rPr>
          <w:rFonts w:hint="eastAsia" w:ascii="仿宋" w:hAnsi="仿宋" w:eastAsia="仿宋" w:cs="仿宋"/>
          <w:color w:val="auto"/>
          <w:sz w:val="32"/>
          <w:szCs w:val="32"/>
          <w:highlight w:val="green"/>
          <w:lang w:eastAsia="zh-CN"/>
        </w:rPr>
        <w:t>）响应文件</w:t>
      </w:r>
      <w:r>
        <w:rPr>
          <w:rFonts w:hint="eastAsia" w:ascii="仿宋" w:hAnsi="仿宋" w:eastAsia="仿宋" w:cs="仿宋"/>
          <w:color w:val="auto"/>
          <w:sz w:val="32"/>
          <w:szCs w:val="32"/>
          <w:highlight w:val="green"/>
        </w:rPr>
        <w:t>未经</w:t>
      </w:r>
      <w:r>
        <w:rPr>
          <w:rFonts w:hint="eastAsia" w:ascii="仿宋" w:hAnsi="仿宋" w:eastAsia="仿宋" w:cs="仿宋"/>
          <w:color w:val="auto"/>
          <w:sz w:val="32"/>
          <w:szCs w:val="32"/>
          <w:highlight w:val="green"/>
          <w:lang w:val="en-US" w:eastAsia="zh-CN"/>
        </w:rPr>
        <w:t>响应供应商</w:t>
      </w:r>
      <w:r>
        <w:rPr>
          <w:rFonts w:hint="eastAsia" w:ascii="仿宋" w:hAnsi="仿宋" w:eastAsia="仿宋" w:cs="仿宋"/>
          <w:color w:val="auto"/>
          <w:sz w:val="32"/>
          <w:szCs w:val="32"/>
          <w:highlight w:val="green"/>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247514027"/>
      <w:bookmarkStart w:id="67" w:name="_Toc2907"/>
      <w:bookmarkStart w:id="68" w:name="_Toc361508651"/>
      <w:bookmarkStart w:id="69" w:name="_Toc152042380"/>
      <w:bookmarkStart w:id="70" w:name="_Toc384308277"/>
      <w:bookmarkStart w:id="71" w:name="_Toc152045603"/>
      <w:bookmarkStart w:id="72" w:name="_Toc144974570"/>
      <w:bookmarkStart w:id="73" w:name="_Toc352691538"/>
      <w:bookmarkStart w:id="74" w:name="_Toc247527628"/>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36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3795808"/>
      <w:bookmarkStart w:id="89" w:name="_Toc30852"/>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19079"/>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352691505"/>
      <w:bookmarkStart w:id="97" w:name="_Toc361508618"/>
      <w:bookmarkStart w:id="98" w:name="_Toc152042337"/>
      <w:bookmarkStart w:id="99" w:name="_Toc384308243"/>
      <w:bookmarkStart w:id="100" w:name="_Toc152045561"/>
      <w:bookmarkStart w:id="101" w:name="_Toc247527586"/>
      <w:bookmarkStart w:id="102" w:name="_Toc369531549"/>
      <w:bookmarkStart w:id="103" w:name="_Toc144974529"/>
      <w:bookmarkStart w:id="104" w:name="_Toc300834982"/>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33795810"/>
      <w:bookmarkStart w:id="108" w:name="_Toc28756"/>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6928"/>
      <w:bookmarkStart w:id="116" w:name="_Toc10813"/>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69531550"/>
      <w:bookmarkStart w:id="120" w:name="_Toc384308244"/>
      <w:bookmarkStart w:id="121" w:name="_Toc5668"/>
      <w:bookmarkStart w:id="122" w:name="_Toc300834983"/>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4342"/>
      <w:bookmarkStart w:id="126" w:name="_Toc30705"/>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3795814"/>
      <w:bookmarkStart w:id="129" w:name="_Toc14362"/>
      <w:bookmarkStart w:id="130" w:name="_Toc11183"/>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4656"/>
      <w:bookmarkStart w:id="133" w:name="_Toc361508622"/>
      <w:bookmarkStart w:id="134" w:name="_Toc369531553"/>
      <w:bookmarkStart w:id="135" w:name="_Toc352691509"/>
      <w:bookmarkStart w:id="136" w:name="_Toc384308247"/>
      <w:bookmarkStart w:id="137" w:name="_Toc152042340"/>
      <w:bookmarkStart w:id="138" w:name="_Toc144974532"/>
      <w:bookmarkStart w:id="139" w:name="_Toc300834986"/>
      <w:bookmarkStart w:id="140" w:name="_Toc247527589"/>
      <w:bookmarkStart w:id="141" w:name="_Toc247513988"/>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369531554"/>
      <w:bookmarkStart w:id="145" w:name="_Toc144974533"/>
      <w:bookmarkStart w:id="146" w:name="_Toc384308248"/>
      <w:bookmarkStart w:id="147" w:name="_Toc18247"/>
      <w:bookmarkStart w:id="148" w:name="_Toc300834987"/>
      <w:bookmarkStart w:id="149" w:name="_Toc152042341"/>
      <w:bookmarkStart w:id="150" w:name="_Toc247513989"/>
      <w:bookmarkStart w:id="151" w:name="_Toc361508623"/>
      <w:bookmarkStart w:id="152" w:name="_Toc247527590"/>
      <w:bookmarkStart w:id="153" w:name="_Toc152045565"/>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247527593"/>
      <w:bookmarkStart w:id="158" w:name="_Toc300834991"/>
      <w:bookmarkStart w:id="159" w:name="_Toc152045568"/>
      <w:bookmarkStart w:id="160" w:name="_Toc152042344"/>
      <w:bookmarkStart w:id="161" w:name="_Toc247513992"/>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1508628"/>
      <w:bookmarkStart w:id="168" w:name="_Toc369531559"/>
      <w:bookmarkStart w:id="169" w:name="_Toc384308253"/>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2025年11月12日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3FEFF25">
      <w:pPr>
        <w:pStyle w:val="2"/>
        <w:jc w:val="both"/>
        <w:rPr>
          <w:rFonts w:hint="eastAsia" w:ascii="宋体" w:hAnsi="宋体" w:eastAsia="宋体" w:cs="宋体"/>
          <w:color w:val="auto"/>
          <w:sz w:val="36"/>
          <w:szCs w:val="36"/>
          <w:lang w:val="en-US" w:eastAsia="zh-CN"/>
        </w:rPr>
      </w:pPr>
    </w:p>
    <w:p w14:paraId="245F46B2">
      <w:pPr>
        <w:rPr>
          <w:rFonts w:hint="eastAsia" w:ascii="宋体" w:hAnsi="宋体" w:eastAsia="宋体" w:cs="宋体"/>
          <w:color w:val="auto"/>
          <w:sz w:val="36"/>
          <w:szCs w:val="36"/>
          <w:lang w:val="en-US" w:eastAsia="zh-CN"/>
        </w:rPr>
      </w:pPr>
    </w:p>
    <w:p w14:paraId="6291E0DB">
      <w:pPr>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XB20251112-08</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11月输送设备配件配件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384308377"/>
      <w:bookmarkStart w:id="187" w:name="_Toc361508754"/>
      <w:bookmarkStart w:id="188" w:name="_Toc352691663"/>
      <w:bookmarkStart w:id="189" w:name="_Toc247527829"/>
      <w:bookmarkStart w:id="190" w:name="_Toc144974858"/>
      <w:bookmarkStart w:id="191" w:name="_Toc152045789"/>
      <w:bookmarkStart w:id="192" w:name="_Toc247514248"/>
      <w:bookmarkStart w:id="193" w:name="_Toc15573"/>
      <w:bookmarkStart w:id="194" w:name="_Toc300835211"/>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（11月输送设备配件配件）</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6E9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0F74D0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770" w:type="dxa"/>
            <w:vAlign w:val="center"/>
          </w:tcPr>
          <w:p w14:paraId="39E8026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GLS160管式螺旋输送机</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(不含减速机）</w:t>
            </w:r>
          </w:p>
        </w:tc>
        <w:tc>
          <w:tcPr>
            <w:tcW w:w="3000" w:type="dxa"/>
            <w:vAlign w:val="center"/>
          </w:tcPr>
          <w:p w14:paraId="0C6BE3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GLS160*1300见附图</w:t>
            </w:r>
          </w:p>
        </w:tc>
        <w:tc>
          <w:tcPr>
            <w:tcW w:w="555" w:type="dxa"/>
            <w:vAlign w:val="center"/>
          </w:tcPr>
          <w:p w14:paraId="24B53DD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583" w:type="dxa"/>
            <w:vAlign w:val="center"/>
          </w:tcPr>
          <w:p w14:paraId="4B1B5D6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0ACF24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DDE7F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FD925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71F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556" w:type="dxa"/>
            <w:vAlign w:val="center"/>
          </w:tcPr>
          <w:p w14:paraId="0BEA5A8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770" w:type="dxa"/>
            <w:vAlign w:val="center"/>
          </w:tcPr>
          <w:p w14:paraId="1074E02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倾斜螺旋输送螺旋</w:t>
            </w:r>
          </w:p>
        </w:tc>
        <w:tc>
          <w:tcPr>
            <w:tcW w:w="3000" w:type="dxa"/>
            <w:vAlign w:val="center"/>
          </w:tcPr>
          <w:p w14:paraId="3EF40E5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GL273×8.65m 含轴、轴承、轴承座、筒体</w:t>
            </w:r>
          </w:p>
        </w:tc>
        <w:tc>
          <w:tcPr>
            <w:tcW w:w="555" w:type="dxa"/>
            <w:vAlign w:val="center"/>
          </w:tcPr>
          <w:p w14:paraId="273117E0">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1 </w:t>
            </w:r>
          </w:p>
        </w:tc>
        <w:tc>
          <w:tcPr>
            <w:tcW w:w="583" w:type="dxa"/>
            <w:vAlign w:val="center"/>
          </w:tcPr>
          <w:p w14:paraId="4A7826D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0545507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50152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FCC833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483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1A7F5F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770" w:type="dxa"/>
            <w:vAlign w:val="center"/>
          </w:tcPr>
          <w:p w14:paraId="37BA7C3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皮带输送托辊调整支架</w:t>
            </w:r>
          </w:p>
        </w:tc>
        <w:tc>
          <w:tcPr>
            <w:tcW w:w="3000" w:type="dxa"/>
            <w:vAlign w:val="center"/>
          </w:tcPr>
          <w:p w14:paraId="3D3635D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TDY75-650 上皮带</w:t>
            </w:r>
          </w:p>
        </w:tc>
        <w:tc>
          <w:tcPr>
            <w:tcW w:w="555" w:type="dxa"/>
            <w:vAlign w:val="center"/>
          </w:tcPr>
          <w:p w14:paraId="3E3852B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583" w:type="dxa"/>
            <w:vAlign w:val="center"/>
          </w:tcPr>
          <w:p w14:paraId="4FCD703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34E57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B5C215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43D71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EA3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0FE19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1770" w:type="dxa"/>
            <w:vAlign w:val="center"/>
          </w:tcPr>
          <w:p w14:paraId="7C9DA0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皮带输送托辊调整支架</w:t>
            </w:r>
          </w:p>
        </w:tc>
        <w:tc>
          <w:tcPr>
            <w:tcW w:w="3000" w:type="dxa"/>
            <w:vAlign w:val="center"/>
          </w:tcPr>
          <w:p w14:paraId="062A6B0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TDY75-650 下皮带</w:t>
            </w:r>
          </w:p>
        </w:tc>
        <w:tc>
          <w:tcPr>
            <w:tcW w:w="555" w:type="dxa"/>
            <w:vAlign w:val="center"/>
          </w:tcPr>
          <w:p w14:paraId="5FB4B83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583" w:type="dxa"/>
            <w:vAlign w:val="center"/>
          </w:tcPr>
          <w:p w14:paraId="7CCCA0C7">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018AE3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5C4DD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A819D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按要求报价，以上4项必须报全，</w:t>
            </w:r>
            <w:r>
              <w:rPr>
                <w:rFonts w:hint="eastAsia" w:ascii="宋体" w:hAnsi="宋体" w:eastAsia="宋体" w:cs="宋体"/>
                <w:i w:val="0"/>
                <w:iCs w:val="0"/>
                <w:color w:val="000000"/>
                <w:kern w:val="0"/>
                <w:sz w:val="21"/>
                <w:szCs w:val="21"/>
                <w:u w:val="none"/>
                <w:lang w:val="en-US" w:eastAsia="zh-CN" w:bidi="ar"/>
              </w:rPr>
              <w:t>缺项报价无效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731DF6E">
      <w:pPr>
        <w:rPr>
          <w:rFonts w:hint="eastAsia" w:ascii="Times New Roman" w:hAnsi="Times New Roman"/>
          <w:color w:val="auto"/>
          <w:kern w:val="0"/>
          <w:lang w:val="en-US" w:eastAsia="zh-CN"/>
        </w:rPr>
      </w:pPr>
      <w:bookmarkStart w:id="207" w:name="_GoBack"/>
      <w:bookmarkEnd w:id="207"/>
    </w:p>
    <w:p w14:paraId="00030785">
      <w:pPr>
        <w:rPr>
          <w:rFonts w:hint="eastAsia" w:ascii="Times New Roman" w:hAnsi="Times New Roman"/>
          <w:color w:val="auto"/>
          <w:kern w:val="0"/>
          <w:lang w:val="en-US" w:eastAsia="zh-CN"/>
        </w:rPr>
      </w:pPr>
    </w:p>
    <w:p w14:paraId="6F5E22EA">
      <w:pPr>
        <w:rPr>
          <w:rFonts w:hint="eastAsia" w:ascii="Times New Roman" w:hAnsi="Times New Roman"/>
          <w:color w:val="auto"/>
          <w:kern w:val="0"/>
          <w:lang w:val="en-US" w:eastAsia="zh-CN"/>
        </w:rPr>
      </w:pPr>
    </w:p>
    <w:p w14:paraId="7EB11E27">
      <w:pPr>
        <w:rPr>
          <w:rFonts w:hint="eastAsia" w:ascii="Times New Roman" w:hAnsi="Times New Roman"/>
          <w:color w:val="auto"/>
          <w:kern w:val="0"/>
          <w:lang w:val="en-US" w:eastAsia="zh-CN"/>
        </w:rPr>
      </w:pPr>
    </w:p>
    <w:p w14:paraId="335E918E">
      <w:pPr>
        <w:rPr>
          <w:rFonts w:hint="eastAsia" w:ascii="Times New Roman" w:hAnsi="Times New Roman"/>
          <w:color w:val="auto"/>
          <w:kern w:val="0"/>
          <w:lang w:val="en-US" w:eastAsia="zh-CN"/>
        </w:rPr>
      </w:pPr>
    </w:p>
    <w:p w14:paraId="01CBA318">
      <w:pPr>
        <w:rPr>
          <w:rFonts w:hint="eastAsia" w:ascii="Times New Roman" w:hAnsi="Times New Roman"/>
          <w:color w:val="auto"/>
          <w:kern w:val="0"/>
          <w:lang w:val="en-US" w:eastAsia="zh-CN"/>
        </w:rPr>
      </w:pPr>
    </w:p>
    <w:p w14:paraId="6AA7E0D3">
      <w:pPr>
        <w:rPr>
          <w:rFonts w:hint="eastAsia" w:ascii="Times New Roman" w:hAnsi="Times New Roman"/>
          <w:color w:val="auto"/>
          <w:kern w:val="0"/>
          <w:lang w:val="en-US" w:eastAsia="zh-CN"/>
        </w:rPr>
      </w:pPr>
    </w:p>
    <w:p w14:paraId="2883D364">
      <w:pPr>
        <w:rPr>
          <w:rFonts w:hint="eastAsia" w:ascii="Times New Roman" w:hAnsi="Times New Roman"/>
          <w:color w:val="auto"/>
          <w:kern w:val="0"/>
          <w:lang w:val="en-US" w:eastAsia="zh-CN"/>
        </w:rPr>
      </w:pPr>
    </w:p>
    <w:p w14:paraId="624CE9ED">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04D31E-5337-4656-B1D7-C4AE511DC1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EE2913F1-23E0-4703-9F17-2EA17E83B9B2}"/>
  </w:font>
  <w:font w:name="方正小标宋简体">
    <w:panose1 w:val="02000000000000000000"/>
    <w:charset w:val="86"/>
    <w:family w:val="auto"/>
    <w:pitch w:val="default"/>
    <w:sig w:usb0="00000001" w:usb1="08000000" w:usb2="00000000" w:usb3="00000000" w:csb0="00040000" w:csb1="00000000"/>
    <w:embedRegular r:id="rId3" w:fontKey="{7C5ABD71-3B20-47CD-97C2-FC91137D5AFB}"/>
  </w:font>
  <w:font w:name="新宋体">
    <w:panose1 w:val="02010609030101010101"/>
    <w:charset w:val="86"/>
    <w:family w:val="auto"/>
    <w:pitch w:val="default"/>
    <w:sig w:usb0="00000203" w:usb1="288F0000" w:usb2="00000006" w:usb3="00000000" w:csb0="00040001" w:csb1="00000000"/>
    <w:embedRegular r:id="rId4" w:fontKey="{ED2B1136-2D28-4263-87CA-5B11F04755E9}"/>
  </w:font>
  <w:font w:name="微软雅黑">
    <w:panose1 w:val="020B0503020204020204"/>
    <w:charset w:val="86"/>
    <w:family w:val="auto"/>
    <w:pitch w:val="default"/>
    <w:sig w:usb0="80000287" w:usb1="2ACF3C50" w:usb2="00000016" w:usb3="00000000" w:csb0="0004001F" w:csb1="00000000"/>
    <w:embedRegular r:id="rId5" w:fontKey="{AC963C3A-DF55-489E-9EC5-1DEA638030C6}"/>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A67659"/>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ED44BE"/>
    <w:rsid w:val="08D00E36"/>
    <w:rsid w:val="08D15B8E"/>
    <w:rsid w:val="08F85810"/>
    <w:rsid w:val="08FA1588"/>
    <w:rsid w:val="09BC2218"/>
    <w:rsid w:val="0AA3355A"/>
    <w:rsid w:val="0CAF4DC4"/>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4079F0"/>
    <w:rsid w:val="17725CE9"/>
    <w:rsid w:val="18876269"/>
    <w:rsid w:val="188B3FAB"/>
    <w:rsid w:val="19B65298"/>
    <w:rsid w:val="19BF0744"/>
    <w:rsid w:val="19BF485E"/>
    <w:rsid w:val="19EF056A"/>
    <w:rsid w:val="1AEC4493"/>
    <w:rsid w:val="1B177D78"/>
    <w:rsid w:val="1B9E3FF5"/>
    <w:rsid w:val="1C321457"/>
    <w:rsid w:val="1C856F63"/>
    <w:rsid w:val="1D905BC0"/>
    <w:rsid w:val="1DA8115B"/>
    <w:rsid w:val="1DB01DBE"/>
    <w:rsid w:val="1DB27CC5"/>
    <w:rsid w:val="1DD30B53"/>
    <w:rsid w:val="1E011134"/>
    <w:rsid w:val="1E1E31CB"/>
    <w:rsid w:val="1E34479D"/>
    <w:rsid w:val="1FBE0451"/>
    <w:rsid w:val="204D790A"/>
    <w:rsid w:val="207E073E"/>
    <w:rsid w:val="20802E7B"/>
    <w:rsid w:val="20F3093F"/>
    <w:rsid w:val="21834158"/>
    <w:rsid w:val="21D42471"/>
    <w:rsid w:val="220426D8"/>
    <w:rsid w:val="22F5715A"/>
    <w:rsid w:val="241430A6"/>
    <w:rsid w:val="2452597D"/>
    <w:rsid w:val="24551DD6"/>
    <w:rsid w:val="246742B5"/>
    <w:rsid w:val="257B5469"/>
    <w:rsid w:val="27455C6D"/>
    <w:rsid w:val="27CC3C98"/>
    <w:rsid w:val="28033B5E"/>
    <w:rsid w:val="28164F13"/>
    <w:rsid w:val="28213FE4"/>
    <w:rsid w:val="295C2DFA"/>
    <w:rsid w:val="295F4A04"/>
    <w:rsid w:val="297D349C"/>
    <w:rsid w:val="297D7484"/>
    <w:rsid w:val="2A2E0C3A"/>
    <w:rsid w:val="2A4B3DED"/>
    <w:rsid w:val="2B9B22FF"/>
    <w:rsid w:val="2BF61145"/>
    <w:rsid w:val="2CA35285"/>
    <w:rsid w:val="2D331C6F"/>
    <w:rsid w:val="2DC36C18"/>
    <w:rsid w:val="2DE05E9B"/>
    <w:rsid w:val="2E033918"/>
    <w:rsid w:val="2EA4771D"/>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A1D70AA"/>
    <w:rsid w:val="3A3A65D2"/>
    <w:rsid w:val="3A561988"/>
    <w:rsid w:val="3B6B690D"/>
    <w:rsid w:val="3B860E72"/>
    <w:rsid w:val="3B952CE7"/>
    <w:rsid w:val="3BFF184D"/>
    <w:rsid w:val="3CB63F34"/>
    <w:rsid w:val="3CDF5789"/>
    <w:rsid w:val="3CEB6517"/>
    <w:rsid w:val="3CFB6595"/>
    <w:rsid w:val="3CFD6BB7"/>
    <w:rsid w:val="3D34475C"/>
    <w:rsid w:val="3E3C01FF"/>
    <w:rsid w:val="3FA4757D"/>
    <w:rsid w:val="3FE9293F"/>
    <w:rsid w:val="405A4224"/>
    <w:rsid w:val="407A652F"/>
    <w:rsid w:val="415648A7"/>
    <w:rsid w:val="415C23B6"/>
    <w:rsid w:val="4194717D"/>
    <w:rsid w:val="427A5715"/>
    <w:rsid w:val="433C5D1E"/>
    <w:rsid w:val="43D9531B"/>
    <w:rsid w:val="44093E52"/>
    <w:rsid w:val="44107006"/>
    <w:rsid w:val="44920CB0"/>
    <w:rsid w:val="454C4C9E"/>
    <w:rsid w:val="45726E52"/>
    <w:rsid w:val="45A00D58"/>
    <w:rsid w:val="460F14C8"/>
    <w:rsid w:val="46637C62"/>
    <w:rsid w:val="46933C70"/>
    <w:rsid w:val="478B4B7E"/>
    <w:rsid w:val="48F618EF"/>
    <w:rsid w:val="494E5765"/>
    <w:rsid w:val="49A81A17"/>
    <w:rsid w:val="4A3E412A"/>
    <w:rsid w:val="4B896DF6"/>
    <w:rsid w:val="4C561BFF"/>
    <w:rsid w:val="4CB27A82"/>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49E2395"/>
    <w:rsid w:val="54EB7CA8"/>
    <w:rsid w:val="551F0D2D"/>
    <w:rsid w:val="55EF7BB3"/>
    <w:rsid w:val="55F20E2B"/>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A87DE0"/>
    <w:rsid w:val="5DCA09A3"/>
    <w:rsid w:val="5DFE5C52"/>
    <w:rsid w:val="5E370D27"/>
    <w:rsid w:val="5E6301AB"/>
    <w:rsid w:val="5E8D407E"/>
    <w:rsid w:val="5EBE2EAC"/>
    <w:rsid w:val="5F213A10"/>
    <w:rsid w:val="5F8C5DB5"/>
    <w:rsid w:val="602C2F4B"/>
    <w:rsid w:val="60675D3C"/>
    <w:rsid w:val="6077565B"/>
    <w:rsid w:val="60C97FB7"/>
    <w:rsid w:val="60D507EB"/>
    <w:rsid w:val="61137C66"/>
    <w:rsid w:val="61483E9A"/>
    <w:rsid w:val="61D92AF5"/>
    <w:rsid w:val="6350271F"/>
    <w:rsid w:val="643248A8"/>
    <w:rsid w:val="64B22605"/>
    <w:rsid w:val="657809E0"/>
    <w:rsid w:val="66173D55"/>
    <w:rsid w:val="661E50E3"/>
    <w:rsid w:val="66452F0C"/>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8A4FC9"/>
    <w:rsid w:val="6BD87931"/>
    <w:rsid w:val="6C2347F8"/>
    <w:rsid w:val="6C553829"/>
    <w:rsid w:val="6C9E1CD6"/>
    <w:rsid w:val="6CCD1611"/>
    <w:rsid w:val="6CE26D5D"/>
    <w:rsid w:val="6DB30807"/>
    <w:rsid w:val="6E1F1379"/>
    <w:rsid w:val="6EAF6227"/>
    <w:rsid w:val="6EEA194B"/>
    <w:rsid w:val="6F4D07E7"/>
    <w:rsid w:val="703561B0"/>
    <w:rsid w:val="70626755"/>
    <w:rsid w:val="707458D8"/>
    <w:rsid w:val="70B054D2"/>
    <w:rsid w:val="7258372B"/>
    <w:rsid w:val="727F515C"/>
    <w:rsid w:val="72E3289C"/>
    <w:rsid w:val="735465E8"/>
    <w:rsid w:val="736305DA"/>
    <w:rsid w:val="7386251A"/>
    <w:rsid w:val="73AD5CF9"/>
    <w:rsid w:val="73D6524F"/>
    <w:rsid w:val="74F87447"/>
    <w:rsid w:val="7530098F"/>
    <w:rsid w:val="76987E92"/>
    <w:rsid w:val="777803CC"/>
    <w:rsid w:val="7930196F"/>
    <w:rsid w:val="7A293BFF"/>
    <w:rsid w:val="7AE219CA"/>
    <w:rsid w:val="7BF73FB5"/>
    <w:rsid w:val="7C4B2553"/>
    <w:rsid w:val="7D33726F"/>
    <w:rsid w:val="7D8E0949"/>
    <w:rsid w:val="7F06435D"/>
    <w:rsid w:val="7F0D7F93"/>
    <w:rsid w:val="7F442849"/>
    <w:rsid w:val="7FBB179D"/>
    <w:rsid w:val="7FD0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4142</Words>
  <Characters>4506</Characters>
  <Lines>0</Lines>
  <Paragraphs>0</Paragraphs>
  <TotalTime>0</TotalTime>
  <ScaleCrop>false</ScaleCrop>
  <LinksUpToDate>false</LinksUpToDate>
  <CharactersWithSpaces>4562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2025-11-13T07:05:45Z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