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黑体" w:hAnsi="黑体" w:eastAsia="黑体" w:cs="黑体"/>
          <w:i w:val="0"/>
          <w:iCs w:val="0"/>
          <w:caps w:val="0"/>
          <w:color w:val="000000"/>
          <w:spacing w:val="0"/>
          <w:sz w:val="36"/>
          <w:szCs w:val="36"/>
        </w:rPr>
      </w:pPr>
      <w:r>
        <w:rPr>
          <w:rStyle w:val="11"/>
          <w:rFonts w:hint="eastAsia" w:ascii="黑体" w:hAnsi="黑体" w:eastAsia="黑体" w:cs="黑体"/>
          <w:i w:val="0"/>
          <w:iCs w:val="0"/>
          <w:caps w:val="0"/>
          <w:color w:val="000000"/>
          <w:spacing w:val="0"/>
          <w:sz w:val="36"/>
          <w:szCs w:val="36"/>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6"/>
          <w:szCs w:val="36"/>
          <w:lang w:val="en-US" w:eastAsia="zh-CN"/>
        </w:rPr>
      </w:pPr>
      <w:r>
        <w:rPr>
          <w:rStyle w:val="11"/>
          <w:rFonts w:hint="eastAsia" w:ascii="黑体" w:hAnsi="黑体" w:eastAsia="黑体" w:cs="黑体"/>
          <w:i w:val="0"/>
          <w:iCs w:val="0"/>
          <w:caps w:val="0"/>
          <w:color w:val="000000"/>
          <w:spacing w:val="0"/>
          <w:sz w:val="36"/>
          <w:szCs w:val="36"/>
          <w:lang w:val="en-US" w:eastAsia="zh-CN"/>
        </w:rPr>
        <w:t>2026年一季度硫酸锰采购项目二次</w:t>
      </w:r>
      <w:r>
        <w:rPr>
          <w:rStyle w:val="11"/>
          <w:rFonts w:hint="eastAsia" w:ascii="黑体" w:hAnsi="黑体" w:eastAsia="黑体" w:cs="黑体"/>
          <w:i w:val="0"/>
          <w:iCs w:val="0"/>
          <w:caps w:val="0"/>
          <w:color w:val="000000"/>
          <w:spacing w:val="0"/>
          <w:sz w:val="36"/>
          <w:szCs w:val="36"/>
        </w:rPr>
        <w:t>询比采购</w:t>
      </w:r>
      <w:r>
        <w:rPr>
          <w:rStyle w:val="11"/>
          <w:rFonts w:hint="eastAsia" w:ascii="黑体" w:hAnsi="黑体" w:eastAsia="黑体" w:cs="黑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采购硫酸锰若干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4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4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14565"/>
      <w:bookmarkStart w:id="7" w:name="_Toc7037"/>
      <w:r>
        <w:rPr>
          <w:rFonts w:hint="eastAsia" w:ascii="仿宋" w:hAnsi="仿宋" w:eastAsia="仿宋" w:cs="仿宋"/>
          <w:color w:val="auto"/>
          <w:sz w:val="28"/>
          <w:szCs w:val="28"/>
          <w:lang w:eastAsia="zh-CN"/>
        </w:rPr>
        <w:t>陕西锌业有限公司</w:t>
      </w:r>
      <w:r>
        <w:rPr>
          <w:rFonts w:hint="eastAsia" w:ascii="仿宋" w:hAnsi="仿宋" w:eastAsia="仿宋" w:cs="仿宋"/>
          <w:i w:val="0"/>
          <w:iCs w:val="0"/>
          <w:caps w:val="0"/>
          <w:color w:val="000000"/>
          <w:spacing w:val="0"/>
          <w:sz w:val="28"/>
          <w:szCs w:val="28"/>
          <w:lang w:val="en-US" w:eastAsia="zh-CN"/>
        </w:rPr>
        <w:t>硫酸锰</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2026年3月31日前，在此期间，如遇采购人检修、减产、生产工艺调整等，采购人根据实际情况适时调整采购量。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（五）数量：硫酸锰约96吨。</w:t>
      </w:r>
    </w:p>
    <w:p w14:paraId="70B87450">
      <w:pPr>
        <w:keepNext w:val="0"/>
        <w:keepLines w:val="0"/>
        <w:pageBreakBefore w:val="0"/>
        <w:widowControl w:val="0"/>
        <w:kinsoku/>
        <w:wordWrap/>
        <w:overflowPunct/>
        <w:topLinePunct w:val="0"/>
        <w:autoSpaceDE/>
        <w:autoSpaceDN/>
        <w:bidi w:val="0"/>
        <w:adjustRightInd w:val="0"/>
        <w:snapToGrid/>
        <w:spacing w:line="44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FAA3692">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color w:val="auto"/>
          <w:sz w:val="28"/>
          <w:szCs w:val="28"/>
          <w:lang w:val="en-US" w:eastAsia="zh-CN"/>
        </w:rPr>
        <w:t>按</w:t>
      </w:r>
      <w:r>
        <w:rPr>
          <w:rFonts w:hint="eastAsia" w:ascii="仿宋" w:hAnsi="仿宋" w:eastAsia="仿宋" w:cs="仿宋"/>
          <w:sz w:val="28"/>
          <w:szCs w:val="28"/>
          <w:lang w:val="en-US" w:eastAsia="zh-CN"/>
        </w:rPr>
        <w:t>HG/T2962-2010执行，</w:t>
      </w:r>
      <w:r>
        <w:rPr>
          <w:rFonts w:hint="eastAsia" w:ascii="仿宋" w:hAnsi="仿宋" w:eastAsia="仿宋" w:cs="仿宋"/>
          <w:b w:val="0"/>
          <w:bCs/>
          <w:sz w:val="28"/>
          <w:szCs w:val="28"/>
        </w:rPr>
        <w:t>硫酸锰≥98%</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Mn≥31.8%±0.5%</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Cl≤0.03%</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F≤0.02%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水不容物≤0.04%</w:t>
      </w:r>
    </w:p>
    <w:p w14:paraId="0B4DFD63">
      <w:pPr>
        <w:keepNext w:val="0"/>
        <w:keepLines w:val="0"/>
        <w:pageBreakBefore w:val="0"/>
        <w:widowControl w:val="0"/>
        <w:kinsoku/>
        <w:wordWrap/>
        <w:overflowPunct/>
        <w:topLinePunct w:val="0"/>
        <w:autoSpaceDE/>
        <w:autoSpaceDN/>
        <w:bidi w:val="0"/>
        <w:adjustRightInd w:val="0"/>
        <w:snapToGrid/>
        <w:spacing w:line="44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袋装，包装物不回收</w:t>
      </w:r>
      <w:r>
        <w:rPr>
          <w:rFonts w:hint="eastAsia" w:ascii="仿宋" w:hAnsi="仿宋" w:eastAsia="仿宋" w:cs="仿宋"/>
          <w:b w:val="0"/>
          <w:bCs w:val="0"/>
          <w:sz w:val="28"/>
          <w:szCs w:val="28"/>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55FD364B">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69A2641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各单项指标符合</w:t>
      </w:r>
      <w:r>
        <w:rPr>
          <w:rFonts w:hint="eastAsia" w:ascii="仿宋" w:hAnsi="仿宋" w:eastAsia="仿宋" w:cs="仿宋"/>
          <w:b w:val="0"/>
          <w:bCs/>
          <w:sz w:val="28"/>
          <w:szCs w:val="28"/>
          <w:lang w:eastAsia="zh-CN"/>
        </w:rPr>
        <w:t>质量要求</w:t>
      </w:r>
      <w:r>
        <w:rPr>
          <w:rFonts w:hint="eastAsia" w:ascii="仿宋" w:hAnsi="仿宋" w:eastAsia="仿宋" w:cs="仿宋"/>
          <w:b w:val="0"/>
          <w:bCs/>
          <w:sz w:val="28"/>
          <w:szCs w:val="28"/>
        </w:rPr>
        <w:t>，合同价结算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若Mn＜31.0%时不予结算</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四舍五入</w:t>
      </w:r>
      <w:r>
        <w:rPr>
          <w:rFonts w:hint="eastAsia" w:ascii="仿宋" w:hAnsi="仿宋" w:eastAsia="仿宋" w:cs="仿宋"/>
          <w:b w:val="0"/>
          <w:bCs/>
          <w:sz w:val="28"/>
          <w:szCs w:val="28"/>
          <w:lang w:eastAsia="zh-CN"/>
        </w:rPr>
        <w:t>计算；</w:t>
      </w:r>
      <w:r>
        <w:rPr>
          <w:rFonts w:hint="eastAsia" w:ascii="仿宋" w:hAnsi="仿宋" w:eastAsia="仿宋" w:cs="仿宋"/>
          <w:b w:val="0"/>
          <w:bCs/>
          <w:sz w:val="28"/>
          <w:szCs w:val="28"/>
        </w:rPr>
        <w:t>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氯</w:t>
      </w:r>
      <w:r>
        <w:rPr>
          <w:rFonts w:hint="eastAsia" w:ascii="仿宋" w:hAnsi="仿宋" w:eastAsia="仿宋" w:cs="仿宋"/>
          <w:b w:val="0"/>
          <w:bCs/>
          <w:sz w:val="28"/>
          <w:szCs w:val="28"/>
          <w:lang w:eastAsia="zh-CN"/>
        </w:rPr>
        <w:t>每上升</w:t>
      </w:r>
      <w:r>
        <w:rPr>
          <w:rFonts w:hint="eastAsia" w:ascii="仿宋" w:hAnsi="仿宋" w:eastAsia="仿宋" w:cs="仿宋"/>
          <w:b w:val="0"/>
          <w:bCs/>
          <w:sz w:val="28"/>
          <w:szCs w:val="28"/>
          <w:lang w:val="en-US" w:eastAsia="zh-CN"/>
        </w:rPr>
        <w:t>0.01个百分点扣10元/吨，主品位</w:t>
      </w:r>
      <w:r>
        <w:rPr>
          <w:rFonts w:hint="eastAsia" w:ascii="仿宋" w:hAnsi="仿宋" w:eastAsia="仿宋" w:cs="仿宋"/>
          <w:b w:val="0"/>
          <w:bCs w:val="0"/>
          <w:color w:val="auto"/>
          <w:sz w:val="28"/>
          <w:szCs w:val="28"/>
          <w:u w:val="none"/>
        </w:rPr>
        <w:t>Mn</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32.3%</w:t>
      </w:r>
      <w:r>
        <w:rPr>
          <w:rFonts w:hint="eastAsia" w:ascii="仿宋" w:hAnsi="仿宋" w:eastAsia="仿宋" w:cs="仿宋"/>
          <w:b w:val="0"/>
          <w:bCs/>
          <w:sz w:val="28"/>
          <w:szCs w:val="28"/>
          <w:lang w:val="en-US" w:eastAsia="zh-CN"/>
        </w:rPr>
        <w:t>不奖。</w:t>
      </w:r>
    </w:p>
    <w:p w14:paraId="602105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2、验收合格后，报价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84308223"/>
      <w:bookmarkStart w:id="13" w:name="_Toc152045542"/>
      <w:bookmarkStart w:id="14" w:name="_Toc247527567"/>
      <w:bookmarkStart w:id="15" w:name="_Toc300834963"/>
      <w:bookmarkStart w:id="16" w:name="_Toc361508598"/>
      <w:bookmarkStart w:id="17" w:name="_Toc369531529"/>
      <w:bookmarkStart w:id="18" w:name="_Toc247513966"/>
      <w:bookmarkStart w:id="19" w:name="_Toc25772"/>
      <w:bookmarkStart w:id="20" w:name="_Toc352691486"/>
      <w:bookmarkStart w:id="21" w:name="_Toc152042318"/>
      <w:bookmarkStart w:id="22"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247513967"/>
      <w:bookmarkStart w:id="25" w:name="_Toc300834964"/>
      <w:bookmarkStart w:id="26" w:name="_Toc247527568"/>
      <w:bookmarkStart w:id="27" w:name="_Toc152042319"/>
      <w:bookmarkStart w:id="28" w:name="_Toc15242"/>
      <w:bookmarkStart w:id="29" w:name="_Toc352691487"/>
      <w:bookmarkStart w:id="30" w:name="_Toc361508599"/>
      <w:bookmarkStart w:id="31" w:name="_Toc152045543"/>
      <w:bookmarkStart w:id="32" w:name="_Toc384308224"/>
      <w:bookmarkStart w:id="33" w:name="_Toc144974511"/>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0.5万元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361508602"/>
      <w:bookmarkStart w:id="36" w:name="_Toc352691490"/>
      <w:bookmarkStart w:id="37" w:name="_Toc29025"/>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384308228"/>
      <w:bookmarkStart w:id="41" w:name="_Toc144974514"/>
      <w:bookmarkStart w:id="42" w:name="_Toc14751"/>
      <w:bookmarkStart w:id="43" w:name="_Toc300834967"/>
      <w:bookmarkStart w:id="44" w:name="_Toc247513970"/>
      <w:bookmarkStart w:id="45" w:name="_Toc352691491"/>
      <w:bookmarkStart w:id="46" w:name="_Toc152042322"/>
      <w:bookmarkStart w:id="47" w:name="_Toc361508603"/>
      <w:bookmarkStart w:id="48" w:name="_Toc369531534"/>
      <w:bookmarkStart w:id="49" w:name="_Toc24752757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7952"/>
      <w:bookmarkStart w:id="51" w:name="_Toc352691492"/>
      <w:bookmarkStart w:id="52" w:name="_Toc300834968"/>
      <w:bookmarkStart w:id="53" w:name="_Toc144974515"/>
      <w:bookmarkStart w:id="54" w:name="_Toc384308229"/>
      <w:bookmarkStart w:id="55" w:name="_Toc369531535"/>
      <w:bookmarkStart w:id="56" w:name="_Toc247513971"/>
      <w:bookmarkStart w:id="57" w:name="_Toc247527572"/>
      <w:bookmarkStart w:id="58" w:name="_Toc152045547"/>
      <w:bookmarkStart w:id="59" w:name="_Toc361508604"/>
      <w:bookmarkStart w:id="60" w:name="_Toc152042323"/>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7FA5A846">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8216"/>
      <w:bookmarkStart w:id="62" w:name="_Toc33795794"/>
      <w:bookmarkStart w:id="63" w:name="_Toc21871"/>
      <w:bookmarkStart w:id="64" w:name="_Toc24514"/>
    </w:p>
    <w:p w14:paraId="2E276884">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ageBreakBefore w:val="0"/>
        <w:kinsoku/>
        <w:wordWrap/>
        <w:overflowPunct/>
        <w:topLinePunct w:val="0"/>
        <w:autoSpaceDE/>
        <w:autoSpaceDN/>
        <w:bidi w:val="0"/>
        <w:adjustRightInd/>
        <w:snapToGrid/>
        <w:spacing w:line="44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361242E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23179AB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highlight w:val="none"/>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begin"/>
      </w:r>
      <w:r>
        <w:rPr>
          <w:rFonts w:hint="eastAsia" w:ascii="仿宋" w:hAnsi="仿宋" w:eastAsia="仿宋" w:cs="仿宋"/>
          <w:b w:val="0"/>
          <w:bCs w:val="0"/>
          <w:i w:val="0"/>
          <w:iCs w:val="0"/>
          <w:caps w:val="0"/>
          <w:color w:val="000000"/>
          <w:spacing w:val="0"/>
          <w:sz w:val="28"/>
          <w:szCs w:val="28"/>
          <w:highlight w:val="none"/>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highlight w:val="none"/>
          <w:u w:val="none"/>
          <w:shd w:val="clear" w:fill="FEFEFE"/>
        </w:rPr>
        <w:t>www.sxxyjjpt.com</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end"/>
      </w:r>
      <w:r>
        <w:rPr>
          <w:rFonts w:hint="eastAsia" w:ascii="仿宋" w:hAnsi="仿宋" w:eastAsia="仿宋" w:cs="仿宋"/>
          <w:b w:val="0"/>
          <w:bCs w:val="0"/>
          <w:i w:val="0"/>
          <w:iCs w:val="0"/>
          <w:caps w:val="0"/>
          <w:color w:val="333333"/>
          <w:spacing w:val="0"/>
          <w:sz w:val="28"/>
          <w:szCs w:val="28"/>
          <w:highlight w:val="none"/>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6C591A12">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w:t>
      </w:r>
    </w:p>
    <w:p w14:paraId="719500DB">
      <w:pPr>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247514027"/>
      <w:bookmarkStart w:id="67" w:name="_Toc369531582"/>
      <w:bookmarkStart w:id="68" w:name="_Toc352691538"/>
      <w:bookmarkStart w:id="69" w:name="_Toc152042380"/>
      <w:bookmarkStart w:id="70" w:name="_Toc152045603"/>
      <w:bookmarkStart w:id="71" w:name="_Toc361508651"/>
      <w:bookmarkStart w:id="72" w:name="_Toc384308277"/>
      <w:bookmarkStart w:id="73" w:name="_Toc247527628"/>
      <w:bookmarkStart w:id="74" w:name="_Toc144974570"/>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33795835"/>
      <w:bookmarkStart w:id="78" w:name="_Toc13563"/>
      <w:bookmarkStart w:id="79" w:name="_Toc29291"/>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66"/>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rPr>
      </w:pPr>
      <w:bookmarkStart w:id="84" w:name="_Toc33795807"/>
      <w:bookmarkStart w:id="85" w:name="_Toc8518"/>
      <w:bookmarkStart w:id="86"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0852"/>
      <w:bookmarkStart w:id="89" w:name="_Toc33795808"/>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10372"/>
      <w:bookmarkStart w:id="93" w:name="_Toc33795809"/>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84308243"/>
      <w:bookmarkStart w:id="96" w:name="_Toc247527586"/>
      <w:bookmarkStart w:id="97" w:name="_Toc361508618"/>
      <w:bookmarkStart w:id="98" w:name="_Toc300834982"/>
      <w:bookmarkStart w:id="99" w:name="_Toc30095"/>
      <w:bookmarkStart w:id="100" w:name="_Toc152045561"/>
      <w:bookmarkStart w:id="101" w:name="_Toc144974529"/>
      <w:bookmarkStart w:id="102" w:name="_Toc247513985"/>
      <w:bookmarkStart w:id="103" w:name="_Toc152042337"/>
      <w:bookmarkStart w:id="104" w:name="_Toc352691505"/>
      <w:bookmarkStart w:id="105" w:name="_Toc36953154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06" w:name="_Toc33795810"/>
      <w:bookmarkStart w:id="107" w:name="_Toc25590"/>
      <w:bookmarkStart w:id="108" w:name="_Toc21648"/>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14" w:name="_Toc33795812"/>
      <w:bookmarkStart w:id="115" w:name="_Toc6928"/>
      <w:bookmarkStart w:id="116" w:name="_Toc10813"/>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61508619"/>
      <w:bookmarkStart w:id="120" w:name="_Toc384308244"/>
      <w:bookmarkStart w:id="121" w:name="_Toc369531550"/>
      <w:bookmarkStart w:id="122" w:name="_Toc5668"/>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4" w:name="_Toc4342"/>
      <w:bookmarkStart w:id="125" w:name="_Toc21613"/>
      <w:bookmarkStart w:id="126" w:name="_Toc30705"/>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rPr>
      </w:pPr>
      <w:bookmarkStart w:id="128" w:name="_Toc11183"/>
      <w:bookmarkStart w:id="129" w:name="_Toc33795814"/>
      <w:bookmarkStart w:id="130" w:name="_Toc3671"/>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52691509"/>
      <w:bookmarkStart w:id="133" w:name="_Toc4656"/>
      <w:bookmarkStart w:id="134" w:name="_Toc300834986"/>
      <w:bookmarkStart w:id="135" w:name="_Toc152042340"/>
      <w:bookmarkStart w:id="136" w:name="_Toc144974532"/>
      <w:bookmarkStart w:id="137" w:name="_Toc152045564"/>
      <w:bookmarkStart w:id="138" w:name="_Toc384308247"/>
      <w:bookmarkStart w:id="139" w:name="_Toc361508622"/>
      <w:bookmarkStart w:id="140" w:name="_Toc247527589"/>
      <w:bookmarkStart w:id="141" w:name="_Toc247513988"/>
      <w:bookmarkStart w:id="142" w:name="_Toc369531553"/>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84308248"/>
      <w:bookmarkStart w:id="144" w:name="_Toc152042341"/>
      <w:bookmarkStart w:id="145" w:name="_Toc247513989"/>
      <w:bookmarkStart w:id="146" w:name="_Toc352691510"/>
      <w:bookmarkStart w:id="147" w:name="_Toc369531554"/>
      <w:bookmarkStart w:id="148" w:name="_Toc300834987"/>
      <w:bookmarkStart w:id="149" w:name="_Toc361508623"/>
      <w:bookmarkStart w:id="150" w:name="_Toc152045565"/>
      <w:bookmarkStart w:id="151" w:name="_Toc247527590"/>
      <w:bookmarkStart w:id="152" w:name="_Toc18247"/>
      <w:bookmarkStart w:id="153" w:name="_Toc14497453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300834991"/>
      <w:bookmarkStart w:id="158" w:name="_Toc144974536"/>
      <w:bookmarkStart w:id="159" w:name="_Toc152042344"/>
      <w:bookmarkStart w:id="160" w:name="_Toc152045568"/>
      <w:bookmarkStart w:id="161" w:name="_Toc247527593"/>
      <w:bookmarkStart w:id="162" w:name="_Toc247513992"/>
    </w:p>
    <w:bookmarkEnd w:id="154"/>
    <w:bookmarkEnd w:id="155"/>
    <w:bookmarkEnd w:id="156"/>
    <w:p w14:paraId="5C60697D">
      <w:pPr>
        <w:pStyle w:val="2"/>
        <w:pageBreakBefore w:val="0"/>
        <w:widowControl w:val="0"/>
        <w:kinsoku/>
        <w:wordWrap/>
        <w:overflowPunct/>
        <w:topLinePunct w:val="0"/>
        <w:autoSpaceDE/>
        <w:autoSpaceDN/>
        <w:bidi w:val="0"/>
        <w:adjustRightInd/>
        <w:snapToGrid/>
        <w:spacing w:before="0" w:after="0" w:line="440" w:lineRule="exact"/>
        <w:ind w:left="0" w:firstLine="562" w:firstLineChars="200"/>
        <w:jc w:val="both"/>
        <w:textAlignment w:val="auto"/>
        <w:rPr>
          <w:rFonts w:hint="eastAsia" w:ascii="仿宋" w:hAnsi="仿宋" w:eastAsia="仿宋" w:cs="仿宋"/>
          <w:color w:val="auto"/>
          <w:sz w:val="28"/>
          <w:szCs w:val="28"/>
        </w:rPr>
      </w:pPr>
      <w:bookmarkStart w:id="163" w:name="_Toc14752"/>
      <w:bookmarkStart w:id="164" w:name="_Toc25347"/>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widowControl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9531559"/>
      <w:bookmarkStart w:id="168" w:name="_Toc361508628"/>
      <w:bookmarkStart w:id="169" w:name="_Toc384308253"/>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widowControl w:val="0"/>
        <w:numPr>
          <w:ilvl w:val="0"/>
          <w:numId w:val="0"/>
        </w:numPr>
        <w:kinsoku/>
        <w:wordWrap/>
        <w:overflowPunct/>
        <w:topLinePunct w:val="0"/>
        <w:autoSpaceDE/>
        <w:autoSpaceDN/>
        <w:bidi w:val="0"/>
        <w:adjustRightInd/>
        <w:snapToGrid/>
        <w:spacing w:before="0" w:after="0" w:line="440" w:lineRule="exact"/>
        <w:ind w:left="0" w:firstLine="560" w:firstLineChars="200"/>
        <w:jc w:val="both"/>
        <w:textAlignment w:val="auto"/>
        <w:rPr>
          <w:rFonts w:hint="eastAsia" w:ascii="仿宋" w:hAnsi="仿宋" w:eastAsia="仿宋" w:cs="仿宋"/>
          <w:color w:val="auto"/>
          <w:sz w:val="28"/>
          <w:szCs w:val="28"/>
        </w:rPr>
      </w:pPr>
      <w:bookmarkStart w:id="171" w:name="_Toc24957"/>
      <w:bookmarkStart w:id="172" w:name="_Toc33795820"/>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kern w:val="0"/>
          <w:sz w:val="28"/>
          <w:szCs w:val="28"/>
          <w:lang w:val="en-US" w:eastAsia="zh-CN" w:bidi="ar"/>
        </w:rPr>
      </w:pPr>
    </w:p>
    <w:p w14:paraId="54AF1419">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textAlignment w:val="auto"/>
        <w:rPr>
          <w:rFonts w:hint="eastAsia" w:ascii="仿宋" w:hAnsi="仿宋" w:eastAsia="仿宋" w:cs="仿宋"/>
          <w:color w:val="auto"/>
          <w:kern w:val="0"/>
          <w:sz w:val="28"/>
          <w:szCs w:val="28"/>
          <w:lang w:val="en-US" w:eastAsia="zh-CN" w:bidi="ar"/>
        </w:rPr>
      </w:pPr>
    </w:p>
    <w:p w14:paraId="13F92530">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19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3BAC1077">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023E5CCB">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09DD35AC">
      <w:pPr>
        <w:keepNext w:val="0"/>
        <w:keepLines w:val="0"/>
        <w:pageBreakBefore w:val="0"/>
        <w:widowControl w:val="0"/>
        <w:suppressLineNumbers w:val="0"/>
        <w:kinsoku/>
        <w:wordWrap/>
        <w:overflowPunct/>
        <w:topLinePunct w:val="0"/>
        <w:autoSpaceDE/>
        <w:autoSpaceDN/>
        <w:bidi w:val="0"/>
        <w:adjustRightInd/>
        <w:snapToGrid/>
        <w:spacing w:line="440" w:lineRule="exact"/>
        <w:ind w:firstLine="5040" w:firstLineChars="1800"/>
        <w:jc w:val="both"/>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2025年12月22日</w:t>
      </w:r>
    </w:p>
    <w:p w14:paraId="629DF80B">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overflowPunct/>
        <w:topLinePunct w:val="0"/>
        <w:autoSpaceDE/>
        <w:autoSpaceDN/>
        <w:bidi w:val="0"/>
        <w:snapToGrid/>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5FDBF1D">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2026年一季度硫酸锰二次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4A5E63A2">
      <w:pPr>
        <w:spacing w:line="360" w:lineRule="auto"/>
        <w:ind w:firstLine="643" w:firstLineChars="2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27829"/>
      <w:bookmarkStart w:id="185" w:name="_Toc247514248"/>
      <w:bookmarkStart w:id="186" w:name="_Toc384308377"/>
      <w:bookmarkStart w:id="187" w:name="_Toc369531699"/>
      <w:bookmarkStart w:id="188" w:name="_Toc144974858"/>
      <w:bookmarkStart w:id="189" w:name="_Toc352691663"/>
      <w:bookmarkStart w:id="190" w:name="_Toc361508754"/>
      <w:bookmarkStart w:id="191" w:name="_Toc15573"/>
      <w:bookmarkStart w:id="192" w:name="_Toc300835211"/>
      <w:bookmarkStart w:id="193" w:name="_Toc152042578"/>
      <w:bookmarkStart w:id="194" w:name="_Toc15204578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504488775"/>
      <w:bookmarkStart w:id="201" w:name="_Toc175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p w14:paraId="4F5CB21B">
      <w:pPr>
        <w:keepNext w:val="0"/>
        <w:keepLines w:val="0"/>
        <w:pageBreakBefore w:val="0"/>
        <w:kinsoku/>
        <w:wordWrap/>
        <w:overflowPunct/>
        <w:topLinePunct w:val="0"/>
        <w:autoSpaceDE/>
        <w:autoSpaceDN/>
        <w:bidi w:val="0"/>
        <w:adjustRightInd/>
        <w:snapToGrid/>
        <w:spacing w:line="400" w:lineRule="exact"/>
        <w:ind w:firstLine="3012" w:firstLineChars="1000"/>
        <w:rPr>
          <w:rFonts w:hint="default" w:ascii="仿宋" w:hAnsi="仿宋" w:eastAsia="仿宋" w:cs="仿宋"/>
          <w:b/>
          <w:bCs w:val="0"/>
          <w:color w:val="auto"/>
          <w:sz w:val="30"/>
          <w:szCs w:val="30"/>
          <w:lang w:val="en-US" w:eastAsia="zh-CN"/>
        </w:rPr>
      </w:pPr>
      <w:r>
        <w:rPr>
          <w:rFonts w:hint="eastAsia" w:ascii="仿宋" w:hAnsi="仿宋" w:eastAsia="仿宋" w:cs="仿宋"/>
          <w:b/>
          <w:bCs w:val="0"/>
          <w:color w:val="auto"/>
          <w:sz w:val="30"/>
          <w:szCs w:val="30"/>
          <w:lang w:val="en-US" w:eastAsia="zh-CN"/>
        </w:rPr>
        <w:t xml:space="preserve">  </w:t>
      </w:r>
    </w:p>
    <w:p w14:paraId="63687C7D">
      <w:pPr>
        <w:keepNext w:val="0"/>
        <w:keepLines w:val="0"/>
        <w:pageBreakBefore w:val="0"/>
        <w:kinsoku/>
        <w:wordWrap/>
        <w:overflowPunct/>
        <w:topLinePunct w:val="0"/>
        <w:autoSpaceDE/>
        <w:autoSpaceDN/>
        <w:bidi w:val="0"/>
        <w:adjustRightInd/>
        <w:snapToGrid/>
        <w:spacing w:line="400" w:lineRule="exact"/>
        <w:ind w:firstLine="1807" w:firstLineChars="600"/>
        <w:rPr>
          <w:rFonts w:hint="default" w:ascii="仿宋" w:hAnsi="仿宋" w:eastAsia="仿宋" w:cs="仿宋"/>
          <w:b w:val="0"/>
          <w:bCs/>
          <w:color w:val="auto"/>
          <w:sz w:val="28"/>
          <w:szCs w:val="28"/>
          <w:lang w:val="en-US" w:eastAsia="zh-CN"/>
        </w:rPr>
      </w:pPr>
      <w:r>
        <w:rPr>
          <w:rFonts w:hint="eastAsia" w:ascii="仿宋" w:hAnsi="仿宋" w:eastAsia="仿宋" w:cs="仿宋"/>
          <w:b/>
          <w:bCs w:val="0"/>
          <w:color w:val="auto"/>
          <w:sz w:val="30"/>
          <w:szCs w:val="30"/>
          <w:lang w:val="en-US" w:eastAsia="zh-CN"/>
        </w:rPr>
        <w:t xml:space="preserve">                             </w:t>
      </w:r>
      <w:r>
        <w:rPr>
          <w:rFonts w:hint="eastAsia" w:ascii="仿宋" w:hAnsi="仿宋" w:eastAsia="仿宋" w:cs="仿宋"/>
          <w:b w:val="0"/>
          <w:bCs/>
          <w:color w:val="auto"/>
          <w:sz w:val="28"/>
          <w:szCs w:val="28"/>
          <w:lang w:val="en-US" w:eastAsia="zh-CN"/>
        </w:rPr>
        <w:t>计量单位：元/吨</w:t>
      </w:r>
    </w:p>
    <w:tbl>
      <w:tblPr>
        <w:tblStyle w:val="9"/>
        <w:tblpPr w:leftFromText="180" w:rightFromText="180" w:vertAnchor="text" w:horzAnchor="page" w:tblpX="1511" w:tblpY="300"/>
        <w:tblOverlap w:val="never"/>
        <w:tblW w:w="9151" w:type="dxa"/>
        <w:tblInd w:w="0" w:type="dxa"/>
        <w:tblLayout w:type="fixed"/>
        <w:tblCellMar>
          <w:top w:w="0" w:type="dxa"/>
          <w:left w:w="0" w:type="dxa"/>
          <w:bottom w:w="0" w:type="dxa"/>
          <w:right w:w="0" w:type="dxa"/>
        </w:tblCellMar>
      </w:tblPr>
      <w:tblGrid>
        <w:gridCol w:w="575"/>
        <w:gridCol w:w="1152"/>
        <w:gridCol w:w="3524"/>
        <w:gridCol w:w="1020"/>
        <w:gridCol w:w="1296"/>
        <w:gridCol w:w="1584"/>
      </w:tblGrid>
      <w:tr w14:paraId="2355CB2B">
        <w:tblPrEx>
          <w:tblCellMar>
            <w:top w:w="0" w:type="dxa"/>
            <w:left w:w="0" w:type="dxa"/>
            <w:bottom w:w="0" w:type="dxa"/>
            <w:right w:w="0" w:type="dxa"/>
          </w:tblCellMar>
        </w:tblPrEx>
        <w:trPr>
          <w:trHeight w:val="753" w:hRule="atLeast"/>
        </w:trPr>
        <w:tc>
          <w:tcPr>
            <w:tcW w:w="5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DE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序号</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352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物品名称</w:t>
            </w:r>
          </w:p>
        </w:tc>
        <w:tc>
          <w:tcPr>
            <w:tcW w:w="35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FE9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10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0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w:t>
            </w:r>
          </w:p>
        </w:tc>
        <w:tc>
          <w:tcPr>
            <w:tcW w:w="12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E32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 xml:space="preserve">报价   </w:t>
            </w:r>
          </w:p>
        </w:tc>
        <w:tc>
          <w:tcPr>
            <w:tcW w:w="158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001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金额</w:t>
            </w:r>
          </w:p>
        </w:tc>
      </w:tr>
      <w:tr w14:paraId="72D3AE7B">
        <w:tblPrEx>
          <w:tblCellMar>
            <w:top w:w="0" w:type="dxa"/>
            <w:left w:w="0" w:type="dxa"/>
            <w:bottom w:w="0" w:type="dxa"/>
            <w:right w:w="0" w:type="dxa"/>
          </w:tblCellMar>
        </w:tblPrEx>
        <w:trPr>
          <w:trHeight w:val="1929"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2E640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6CB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硫酸锰</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22F8EE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HG/T2962-2010执行，</w:t>
            </w:r>
            <w:r>
              <w:rPr>
                <w:rFonts w:hint="eastAsia" w:ascii="宋体" w:hAnsi="宋体" w:eastAsia="宋体" w:cs="宋体"/>
                <w:b w:val="0"/>
                <w:bCs/>
                <w:sz w:val="24"/>
                <w:szCs w:val="24"/>
              </w:rPr>
              <w:t>硫酸锰≥98%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Mn≥31.8%±0.5%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Cl≤0.03%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F≤0.02%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水不容物≤0.04%</w:t>
            </w: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2EE9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96</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EFFB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6B57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r w14:paraId="3EAB8F55">
        <w:tblPrEx>
          <w:tblCellMar>
            <w:top w:w="0" w:type="dxa"/>
            <w:left w:w="0" w:type="dxa"/>
            <w:bottom w:w="0" w:type="dxa"/>
            <w:right w:w="0" w:type="dxa"/>
          </w:tblCellMar>
        </w:tblPrEx>
        <w:trPr>
          <w:trHeight w:val="692" w:hRule="atLeast"/>
        </w:trPr>
        <w:tc>
          <w:tcPr>
            <w:tcW w:w="57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9DAA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0016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352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9D01A6D">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138E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2127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D764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i w:val="0"/>
                <w:color w:val="000000"/>
                <w:sz w:val="24"/>
                <w:szCs w:val="24"/>
                <w:u w:val="none"/>
                <w:lang w:val="en-US" w:eastAsia="zh-CN"/>
              </w:rPr>
            </w:pPr>
          </w:p>
        </w:tc>
      </w:tr>
    </w:tbl>
    <w:p w14:paraId="3839C16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8"/>
        <w:gridCol w:w="986"/>
        <w:gridCol w:w="2130"/>
        <w:gridCol w:w="1290"/>
        <w:gridCol w:w="1984"/>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990710F"/>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C0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84A4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E84A4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7FB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B7CC6"/>
    <w:rsid w:val="09773E97"/>
    <w:rsid w:val="3F2A740F"/>
    <w:rsid w:val="53A44451"/>
    <w:rsid w:val="7DAB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7329</Words>
  <Characters>7579</Characters>
  <Lines>0</Lines>
  <Paragraphs>0</Paragraphs>
  <TotalTime>10</TotalTime>
  <ScaleCrop>false</ScaleCrop>
  <LinksUpToDate>false</LinksUpToDate>
  <CharactersWithSpaces>8093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2025-12-18T03:27:00Z</dcterms:created>
  <dc:creator>瞬间无语</dc:creator>
  <cp:lastModifiedBy>李晶</cp:lastModifiedBy>
  <cp:lastPrinted>2025-12-18T03:36:00Z</cp:lastPrinted>
  <dcterms:modified xsi:type="dcterms:W3CDTF">2025-12-22T09:38:40Z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85A742A7976445E6B2D3D5917ACC90C8_11</vt:lpwstr>
  </property>
  <property fmtid="{D5CDD505-2E9C-101B-9397-08002B2CF9AE}" pid="4" name="KSOTemplateDocerSaveRecord">
    <vt:lpwstr>eyJoZGlkIjoiM2ExNjY5MWQ0OWUzYjcxZjUxYWY0YjAzMjk0YjQ0NDAiLCJ1c2VySWQiOiI2Mjg3MjA1MDUifQ==</vt:lpwstr>
  </property>
</Properties>
</file>