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XB20251219-01</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2025年12月中心化验室化学试剂等</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十二月二十三日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5C59B78B">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陕西锌业有限公司</w:t>
      </w:r>
    </w:p>
    <w:p w14:paraId="7F96A005">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i w:val="0"/>
          <w:iCs w:val="0"/>
          <w:caps w:val="0"/>
          <w:color w:val="000000"/>
          <w:spacing w:val="0"/>
          <w:sz w:val="36"/>
          <w:szCs w:val="36"/>
        </w:rPr>
      </w:pPr>
      <w:r>
        <w:rPr>
          <w:rStyle w:val="12"/>
          <w:rFonts w:hint="eastAsia" w:ascii="宋体" w:hAnsi="宋体" w:eastAsia="宋体" w:cs="宋体"/>
          <w:i w:val="0"/>
          <w:iCs w:val="0"/>
          <w:caps w:val="0"/>
          <w:color w:val="000000"/>
          <w:spacing w:val="0"/>
          <w:sz w:val="36"/>
          <w:szCs w:val="36"/>
        </w:rPr>
        <w:t>2025年</w:t>
      </w:r>
      <w:r>
        <w:rPr>
          <w:rStyle w:val="12"/>
          <w:rFonts w:hint="eastAsia" w:ascii="宋体" w:hAnsi="宋体" w:eastAsia="宋体" w:cs="宋体"/>
          <w:i w:val="0"/>
          <w:iCs w:val="0"/>
          <w:caps w:val="0"/>
          <w:color w:val="000000"/>
          <w:spacing w:val="0"/>
          <w:sz w:val="36"/>
          <w:szCs w:val="36"/>
          <w:lang w:val="en-US" w:eastAsia="zh-CN"/>
        </w:rPr>
        <w:t>12</w:t>
      </w:r>
      <w:r>
        <w:rPr>
          <w:rStyle w:val="12"/>
          <w:rFonts w:hint="eastAsia" w:ascii="宋体" w:hAnsi="宋体" w:eastAsia="宋体" w:cs="宋体"/>
          <w:i w:val="0"/>
          <w:iCs w:val="0"/>
          <w:caps w:val="0"/>
          <w:color w:val="000000"/>
          <w:spacing w:val="0"/>
          <w:sz w:val="36"/>
          <w:szCs w:val="36"/>
        </w:rPr>
        <w:t>月</w:t>
      </w:r>
      <w:r>
        <w:rPr>
          <w:rStyle w:val="12"/>
          <w:rFonts w:hint="eastAsia" w:ascii="宋体" w:hAnsi="宋体" w:eastAsia="宋体" w:cs="宋体"/>
          <w:i w:val="0"/>
          <w:iCs w:val="0"/>
          <w:caps w:val="0"/>
          <w:color w:val="000000"/>
          <w:spacing w:val="0"/>
          <w:sz w:val="36"/>
          <w:szCs w:val="36"/>
          <w:lang w:val="en-US" w:eastAsia="zh-CN"/>
        </w:rPr>
        <w:t>中心化验室</w:t>
      </w:r>
      <w:r>
        <w:rPr>
          <w:rStyle w:val="12"/>
          <w:rFonts w:hint="eastAsia" w:ascii="宋体" w:hAnsi="宋体" w:eastAsia="宋体" w:cs="宋体"/>
          <w:i w:val="0"/>
          <w:iCs w:val="0"/>
          <w:caps w:val="0"/>
          <w:color w:val="000000"/>
          <w:spacing w:val="0"/>
          <w:sz w:val="36"/>
          <w:szCs w:val="36"/>
        </w:rPr>
        <w:t>化学试剂</w:t>
      </w:r>
      <w:r>
        <w:rPr>
          <w:rStyle w:val="12"/>
          <w:rFonts w:hint="eastAsia" w:ascii="宋体" w:hAnsi="宋体" w:eastAsia="宋体" w:cs="宋体"/>
          <w:i w:val="0"/>
          <w:iCs w:val="0"/>
          <w:caps w:val="0"/>
          <w:color w:val="000000"/>
          <w:spacing w:val="0"/>
          <w:sz w:val="36"/>
          <w:szCs w:val="36"/>
          <w:lang w:val="en-US" w:eastAsia="zh-CN"/>
        </w:rPr>
        <w:t>等</w:t>
      </w:r>
      <w:r>
        <w:rPr>
          <w:rStyle w:val="12"/>
          <w:rFonts w:hint="eastAsia" w:ascii="宋体" w:hAnsi="宋体" w:eastAsia="宋体" w:cs="宋体"/>
          <w:i w:val="0"/>
          <w:iCs w:val="0"/>
          <w:caps w:val="0"/>
          <w:color w:val="000000"/>
          <w:spacing w:val="0"/>
          <w:sz w:val="36"/>
          <w:szCs w:val="36"/>
        </w:rPr>
        <w:t>采购项目</w:t>
      </w:r>
    </w:p>
    <w:p w14:paraId="6B88A9D2">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lang w:val="en-US" w:eastAsia="zh-CN"/>
        </w:rPr>
        <w:t>二次</w:t>
      </w:r>
      <w:r>
        <w:rPr>
          <w:rStyle w:val="12"/>
          <w:rFonts w:hint="eastAsia" w:ascii="宋体" w:hAnsi="宋体" w:eastAsia="宋体" w:cs="宋体"/>
          <w:i w:val="0"/>
          <w:iCs w:val="0"/>
          <w:caps w:val="0"/>
          <w:color w:val="000000"/>
          <w:spacing w:val="0"/>
          <w:sz w:val="36"/>
          <w:szCs w:val="36"/>
        </w:rPr>
        <w:t>询比采购邀请函</w:t>
      </w:r>
    </w:p>
    <w:p w14:paraId="74EECFE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rPr>
        <w:t>陕西锌业有限公司因生产造需要，拟采购化学试剂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一批，按照公司有关规定，拟通过询比方式确定供应商，欢迎具备相应资质及能力的单位参与该项目询比采购，具体内容如下：</w:t>
      </w:r>
    </w:p>
    <w:p w14:paraId="1CF6C26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textAlignment w:val="auto"/>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一、采购项目基本要求</w:t>
      </w:r>
    </w:p>
    <w:p w14:paraId="04AD354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（一）采购人：陕西锌业有限公司</w:t>
      </w:r>
    </w:p>
    <w:p w14:paraId="57BACCD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（二）采购项目名称：陕西锌业有限公司</w:t>
      </w:r>
      <w:r>
        <w:rPr>
          <w:rFonts w:hint="eastAsia" w:ascii="仿宋" w:hAnsi="仿宋" w:eastAsia="仿宋" w:cs="仿宋"/>
          <w:i w:val="0"/>
          <w:iCs w:val="0"/>
          <w:caps w:val="0"/>
          <w:color w:val="000000"/>
          <w:spacing w:val="0"/>
          <w:sz w:val="31"/>
          <w:szCs w:val="31"/>
          <w:lang w:val="en-US" w:eastAsia="zh-CN"/>
        </w:rPr>
        <w:t>中心化验室</w:t>
      </w:r>
      <w:r>
        <w:rPr>
          <w:rFonts w:hint="eastAsia" w:ascii="仿宋" w:hAnsi="仿宋" w:eastAsia="仿宋" w:cs="仿宋"/>
          <w:i w:val="0"/>
          <w:iCs w:val="0"/>
          <w:caps w:val="0"/>
          <w:color w:val="000000"/>
          <w:spacing w:val="0"/>
          <w:sz w:val="31"/>
          <w:szCs w:val="31"/>
        </w:rPr>
        <w:t>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采购项目。</w:t>
      </w:r>
    </w:p>
    <w:p w14:paraId="3B46249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（三）交货时间：合同签订15日内到货。</w:t>
      </w:r>
    </w:p>
    <w:p w14:paraId="0F196C3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（四）交货地点：采购方公司库房。</w:t>
      </w:r>
    </w:p>
    <w:p w14:paraId="3DD3990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default" w:ascii="Noto Sans SC" w:hAnsi="Noto Sans SC" w:eastAsia="仿宋" w:cs="Noto Sans SC"/>
          <w:i w:val="0"/>
          <w:iCs w:val="0"/>
          <w:caps w:val="0"/>
          <w:color w:val="000000"/>
          <w:spacing w:val="0"/>
          <w:sz w:val="27"/>
          <w:szCs w:val="27"/>
          <w:lang w:val="en-US" w:eastAsia="zh-CN"/>
        </w:rPr>
      </w:pPr>
      <w:r>
        <w:rPr>
          <w:rFonts w:hint="eastAsia" w:ascii="仿宋" w:hAnsi="仿宋" w:eastAsia="仿宋" w:cs="仿宋"/>
          <w:i w:val="0"/>
          <w:iCs w:val="0"/>
          <w:caps w:val="0"/>
          <w:color w:val="000000"/>
          <w:spacing w:val="0"/>
          <w:sz w:val="31"/>
          <w:szCs w:val="31"/>
        </w:rPr>
        <w:t>（五）采购货物一览表</w:t>
      </w:r>
      <w:r>
        <w:rPr>
          <w:rFonts w:hint="eastAsia" w:ascii="仿宋" w:hAnsi="仿宋" w:eastAsia="仿宋" w:cs="仿宋"/>
          <w:i w:val="0"/>
          <w:iCs w:val="0"/>
          <w:caps w:val="0"/>
          <w:color w:val="000000"/>
          <w:spacing w:val="0"/>
          <w:sz w:val="31"/>
          <w:szCs w:val="31"/>
          <w:lang w:val="en-US" w:eastAsia="zh-CN"/>
        </w:rPr>
        <w:t>详见报价清单（另附）。</w:t>
      </w:r>
    </w:p>
    <w:p w14:paraId="1B23AC3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baseline"/>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vertAlign w:val="baseline"/>
        </w:rPr>
        <w:t>（六）质量要求：</w:t>
      </w:r>
    </w:p>
    <w:p w14:paraId="0B35BA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1.产品质量符合国标。</w:t>
      </w:r>
    </w:p>
    <w:p w14:paraId="0F123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2.产品合格证、材质报告等随货同行。</w:t>
      </w:r>
    </w:p>
    <w:p w14:paraId="4D27A5A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3.质量符合国家标准，在质保期内出现质量问题，出卖方免费更换。</w:t>
      </w:r>
    </w:p>
    <w:p w14:paraId="3ED16E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4.在质保期内，因质量问题影响生产，造成损失的，出卖方须赔偿生产损失。费用双方协商解决。</w:t>
      </w:r>
    </w:p>
    <w:p w14:paraId="467A717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（七）付款方式：货到验收合格一个月，付款60%，出卖方开具合同全额13%增值税发票给采购方。采购方收到发票后一个月内付清。</w:t>
      </w:r>
    </w:p>
    <w:p w14:paraId="6642A18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（八）报价为含税、含运费一票制（13%全额增值税专用发票）。</w:t>
      </w:r>
    </w:p>
    <w:p w14:paraId="1C8C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（九）包装要求：木箱包装。包装物不计价，不回收。</w:t>
      </w:r>
    </w:p>
    <w:p w14:paraId="214CD0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（十一）运输方式及到达站港和费用负担：汽车运输，运输费用由供方承担，运输车辆应加装符合国家安全管理需要的防火安全设备，如灭火器、防火罩等，否则不得进入采购人厂内。</w:t>
      </w:r>
    </w:p>
    <w:p w14:paraId="11E3A3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（十二）合理损耗及计算方法：无损耗，以采购方计量为准。</w:t>
      </w:r>
    </w:p>
    <w:p w14:paraId="1E172B0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（十三）验收标准、方法：依据本条第六款质量标准验收。</w:t>
      </w:r>
    </w:p>
    <w:p w14:paraId="11C1C62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（十四）供应商资格和履约能力要求：</w:t>
      </w:r>
    </w:p>
    <w:p w14:paraId="56B2C1B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1.资质要求：</w:t>
      </w:r>
    </w:p>
    <w:p w14:paraId="671A1BB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（1）供应商须为中华人民共和国境内依法注册的法人或者其他组织，有能力完成本项目的厂家或经销商，具备合法的营业执照；</w:t>
      </w:r>
    </w:p>
    <w:p w14:paraId="08D8137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（2）供应商已取得陕西锌业有限公司供应商库该类产品入库供应商资格。</w:t>
      </w:r>
    </w:p>
    <w:p w14:paraId="2891F01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w:t>
      </w:r>
      <w:r>
        <w:rPr>
          <w:rStyle w:val="12"/>
          <w:rFonts w:hint="eastAsia" w:ascii="仿宋" w:hAnsi="仿宋" w:eastAsia="仿宋" w:cs="仿宋"/>
          <w:i w:val="0"/>
          <w:iCs w:val="0"/>
          <w:caps w:val="0"/>
          <w:color w:val="000000"/>
          <w:spacing w:val="0"/>
          <w:sz w:val="31"/>
          <w:szCs w:val="31"/>
        </w:rPr>
        <w:t>3）供应商必须有易制毒经营相关手续方可参与，否则报价无效。</w:t>
      </w:r>
    </w:p>
    <w:p w14:paraId="1E8805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2.信用要求：</w:t>
      </w:r>
    </w:p>
    <w:p w14:paraId="172E3B8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（1）供应商具有良好的银行资信和商业信誉，没有处于被责令停业、财产被接管、冻结、破产状态（附承诺书）；</w:t>
      </w:r>
    </w:p>
    <w:p w14:paraId="55F3CF4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（2）供应商不得在“信用中国-中国执行信息公开网”被列为失信被执行人；</w:t>
      </w:r>
    </w:p>
    <w:p w14:paraId="2936E8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3.业绩要求：供应商2022年3月至今具有类似业绩（提供合同复印件，时间以合同签订时间为准）；</w:t>
      </w:r>
    </w:p>
    <w:p w14:paraId="5F22D38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4.联合体响应：本项目不接受联合体响应。</w:t>
      </w:r>
    </w:p>
    <w:p w14:paraId="1053C9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5.其他要求：</w:t>
      </w:r>
    </w:p>
    <w:p w14:paraId="379130B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供应商不得存在下列情形之一：</w:t>
      </w:r>
    </w:p>
    <w:p w14:paraId="6BF81E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（1）与采购人存在利害关系可能影响询比采购公正性；</w:t>
      </w:r>
    </w:p>
    <w:p w14:paraId="21B8A30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（2）法定代表人（单位负责人）为同一人或者存在控股、管理关系的不同法人或其他组织同时参加询比采购；</w:t>
      </w:r>
    </w:p>
    <w:p w14:paraId="4EBED36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（3）被依法暂停或者取消询比采购资格；</w:t>
      </w:r>
    </w:p>
    <w:p w14:paraId="26B8152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（4）被责令停产停业、暂扣或者吊销许可证、暂扣或者吊销执照；</w:t>
      </w:r>
    </w:p>
    <w:p w14:paraId="044D4ED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（5）进入清算程序，或被宣告破产，或其他丧失履约能力的情形；</w:t>
      </w:r>
    </w:p>
    <w:p w14:paraId="72DD581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（6）在最近三年内发生重大产品质量问题；</w:t>
      </w:r>
    </w:p>
    <w:p w14:paraId="3C566FA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（7）法律法规规定的其他情形。</w:t>
      </w:r>
    </w:p>
    <w:p w14:paraId="52D62A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二、询比采购文件的获取</w:t>
      </w:r>
    </w:p>
    <w:p w14:paraId="2217322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询比采购文件在陕西锌业有限公司网络询比采购平台（www.sxxyjjpt.com）发布，符合条件的供应商可自行下载采购文件。</w:t>
      </w:r>
    </w:p>
    <w:p w14:paraId="6F9769B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三、供应商响应</w:t>
      </w:r>
    </w:p>
    <w:p w14:paraId="2E4F6F3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（一）响应报价</w:t>
      </w:r>
    </w:p>
    <w:p w14:paraId="3C21995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1.供应商应按“响应文件格式”要求在响应函中进行报价并填写响应文件的开启一览表。</w:t>
      </w:r>
    </w:p>
    <w:p w14:paraId="1DC5480D">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2.报价包括商检费、运输费、保险费、税费以及采购人指定地点全包价。该价款不因原料、材料、劳务、能源等市场价格的变动而变动。</w:t>
      </w:r>
    </w:p>
    <w:p w14:paraId="4A375A62">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3.供应商在响应文件递交截止时间前修改响应函中的响应报价总额，应同时修改响应文件“响应文件的开启一览表”、“分项报价表”中的相应报价。</w:t>
      </w:r>
    </w:p>
    <w:p w14:paraId="3738920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4.响应报价为各分项报价金额之和，响应报价与分项报价的合价不一致的，应以各分项合价累计数为准，修正响应报价。</w:t>
      </w:r>
    </w:p>
    <w:p w14:paraId="324E40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5.成交供应商的响应报价是成交、签订合同及合同执行过程中的依据，不得进行实质性变动。</w:t>
      </w:r>
    </w:p>
    <w:p w14:paraId="273FA4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（二）响应有效期</w:t>
      </w:r>
    </w:p>
    <w:p w14:paraId="7EE9FA4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1.响应有效期从提交响应文件截止之日起算30天。</w:t>
      </w:r>
    </w:p>
    <w:p w14:paraId="436C12E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2.在响应有效期内，供应商撤销响应文件的，应承担询比采购文件和法律规定的责任。</w:t>
      </w:r>
    </w:p>
    <w:p w14:paraId="3279759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（三）响应保证金</w:t>
      </w:r>
    </w:p>
    <w:p w14:paraId="1281E28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1.供应商在递交响应文件的同时，应按规定的响应保证金格式递交响应保证金壹仟元，并作为其响应文件的组成部分。</w:t>
      </w:r>
    </w:p>
    <w:p w14:paraId="1CBFB44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保证金支付账户如下：</w:t>
      </w:r>
    </w:p>
    <w:p w14:paraId="38ACC9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收款人：陕西锌业有限公司</w:t>
      </w:r>
    </w:p>
    <w:p w14:paraId="6F63F0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账号：26805701040010332</w:t>
      </w:r>
    </w:p>
    <w:p w14:paraId="541EC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开户行：中国农业银行商洛商州区支行</w:t>
      </w:r>
    </w:p>
    <w:p w14:paraId="3075D31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2.响应保证金的形式：转账、保函、支票、签订保证金协议等任何一种。供应商以现金或者支票形式提交的响应保证金，应当从其基本账户转出并在响应文件中附上基本账户开户证明。</w:t>
      </w:r>
    </w:p>
    <w:p w14:paraId="6CF2C0D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3.响应保证金必须在响应文件递交截止时间前到达指定帐户。以保函形式缴纳保证金其保函须由银行或具有出具保函资格的单位出具，并于响应文件的开启现场递交保函原件，响应文件中附保函复印件。</w:t>
      </w:r>
    </w:p>
    <w:p w14:paraId="7416F5F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4.响应保证金有效期与响应有效期一致。</w:t>
      </w:r>
    </w:p>
    <w:p w14:paraId="1D8D8B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5.供应商不按前述要求提交响应保证金的，评审小组将否决其响应文件。</w:t>
      </w:r>
    </w:p>
    <w:p w14:paraId="20CC9CA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6.采购人最迟应当在与成交人签订合同后7日内，向未成交的供应商和成交人无息退还响应保证金。</w:t>
      </w:r>
    </w:p>
    <w:p w14:paraId="1BAB51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7.有下列情形之一的，响应保证金将不予退还：</w:t>
      </w:r>
    </w:p>
    <w:p w14:paraId="2B05F0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（1）供应商在响应有效期内撤销响应文件；</w:t>
      </w:r>
    </w:p>
    <w:p w14:paraId="32B20A0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在收到成交通知书后，成交人放弃成交项目的，无正当理由不与采购人订立合同的，在签订合同时向采购人提出附加条件或者更改合同实质性内容的，或者拒不按照询比采购文件要求提交履约担保的。</w:t>
      </w:r>
    </w:p>
    <w:p w14:paraId="5AE261F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（四）资格审查资料</w:t>
      </w:r>
    </w:p>
    <w:p w14:paraId="23B48A5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供应商应按下列规定提供相关的证明材料，以证明其满足资质、财务、业绩、信誉要求。</w:t>
      </w:r>
    </w:p>
    <w:p w14:paraId="40019FA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基本情况表”应附供应商资格或者资质证书副本等材料的复印件，供应商为企业的，应提交营业执照复印件；供应商为依法允许经营的事业单位的，应提交事业单位法人证书和组织机构代码证的复印件。</w:t>
      </w:r>
    </w:p>
    <w:p w14:paraId="1BE3858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近年财务状况表”应附近两年来的供应商财务报表或经审计机构审计的财务会计报表，包括资产负债表、现金流量表、利润表和财务情况说明书的复印件，成立的时间不足两年的，应提供成立以来的财务状况。</w:t>
      </w:r>
    </w:p>
    <w:p w14:paraId="3B70E12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3.“近年完成的类似项目情况表”应附从2022年3月至今的合同复印件，每张表格只填写一个项目，并标明序号。</w:t>
      </w:r>
    </w:p>
    <w:p w14:paraId="47FF248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4.“近年发生的诉讼及仲裁情况”应说明相关情况，并附2022年3月至今的法院或仲裁机构作出的判决、裁决等有关法律文书复印件。</w:t>
      </w:r>
    </w:p>
    <w:p w14:paraId="3D611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（五）响应文件的提交</w:t>
      </w:r>
    </w:p>
    <w:p w14:paraId="7E380A9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 响应文件提交截止时间：2025年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25</w:t>
      </w:r>
      <w:r>
        <w:rPr>
          <w:rFonts w:hint="eastAsia" w:ascii="仿宋" w:hAnsi="仿宋" w:eastAsia="仿宋" w:cs="仿宋"/>
          <w:i w:val="0"/>
          <w:iCs w:val="0"/>
          <w:caps w:val="0"/>
          <w:color w:val="000000"/>
          <w:spacing w:val="0"/>
          <w:sz w:val="31"/>
          <w:szCs w:val="31"/>
        </w:rPr>
        <w:t>日1</w:t>
      </w:r>
      <w:r>
        <w:rPr>
          <w:rFonts w:hint="eastAsia" w:ascii="仿宋" w:hAnsi="仿宋" w:eastAsia="仿宋" w:cs="仿宋"/>
          <w:i w:val="0"/>
          <w:iCs w:val="0"/>
          <w:caps w:val="0"/>
          <w:color w:val="000000"/>
          <w:spacing w:val="0"/>
          <w:sz w:val="31"/>
          <w:szCs w:val="31"/>
          <w:lang w:val="en-US" w:eastAsia="zh-CN"/>
        </w:rPr>
        <w:t>3</w:t>
      </w:r>
      <w:r>
        <w:rPr>
          <w:rFonts w:hint="eastAsia" w:ascii="仿宋" w:hAnsi="仿宋" w:eastAsia="仿宋" w:cs="仿宋"/>
          <w:i w:val="0"/>
          <w:iCs w:val="0"/>
          <w:caps w:val="0"/>
          <w:color w:val="000000"/>
          <w:spacing w:val="0"/>
          <w:sz w:val="31"/>
          <w:szCs w:val="31"/>
        </w:rPr>
        <w:t>时；</w:t>
      </w:r>
    </w:p>
    <w:p w14:paraId="5302CE6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2.提交方法：陕西锌业有限公司网络询比采购平台（www.sxxyjjpt.com）</w:t>
      </w:r>
    </w:p>
    <w:p w14:paraId="6E51B8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联系人：</w:t>
      </w:r>
      <w:r>
        <w:rPr>
          <w:rFonts w:hint="eastAsia" w:ascii="仿宋" w:hAnsi="仿宋" w:eastAsia="仿宋" w:cs="仿宋"/>
          <w:i w:val="0"/>
          <w:iCs w:val="0"/>
          <w:caps w:val="0"/>
          <w:color w:val="000000"/>
          <w:spacing w:val="0"/>
          <w:sz w:val="31"/>
          <w:szCs w:val="31"/>
          <w:lang w:val="en-US" w:eastAsia="zh-CN"/>
        </w:rPr>
        <w:t>张小兵</w:t>
      </w:r>
      <w:r>
        <w:rPr>
          <w:rFonts w:hint="eastAsia" w:ascii="仿宋" w:hAnsi="仿宋" w:eastAsia="仿宋" w:cs="仿宋"/>
          <w:i w:val="0"/>
          <w:iCs w:val="0"/>
          <w:caps w:val="0"/>
          <w:color w:val="000000"/>
          <w:spacing w:val="0"/>
          <w:sz w:val="31"/>
          <w:szCs w:val="31"/>
        </w:rPr>
        <w:t>     电话： 0914-2552484</w:t>
      </w:r>
    </w:p>
    <w:p w14:paraId="03A5E7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四、响应文件开启时间及地点</w:t>
      </w:r>
    </w:p>
    <w:p w14:paraId="3C3193F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（一）响应文件的开启时间：2025年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25</w:t>
      </w:r>
      <w:r>
        <w:rPr>
          <w:rFonts w:hint="eastAsia" w:ascii="仿宋" w:hAnsi="仿宋" w:eastAsia="仿宋" w:cs="仿宋"/>
          <w:i w:val="0"/>
          <w:iCs w:val="0"/>
          <w:caps w:val="0"/>
          <w:color w:val="000000"/>
          <w:spacing w:val="0"/>
          <w:sz w:val="31"/>
          <w:szCs w:val="31"/>
        </w:rPr>
        <w:t>日14时；</w:t>
      </w:r>
    </w:p>
    <w:p w14:paraId="66E414D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五、响应文件的评审</w:t>
      </w:r>
    </w:p>
    <w:p w14:paraId="7C62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最低价法（所有报价项合计打包最低价法）。是在响应文件满足采购文件实质性要求的前提下，按照供应商经评审的价格由低到高的顺序确定供应商优先次序的评审方法。</w:t>
      </w:r>
    </w:p>
    <w:p w14:paraId="34D0F1B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（二）响应文件评审程序</w:t>
      </w:r>
    </w:p>
    <w:p w14:paraId="144BAC6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1.评审小组可以要求供应商提交第一条第五款规定的有关证明和证件的原件，评审小组对前述响应文件进行初步评审，有一项不符合评审标准的，评审小组应当否决其响应文件。</w:t>
      </w:r>
    </w:p>
    <w:p w14:paraId="26BB2E5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2.供应商有以下情形之一的，评审小组应当否决其响应：</w:t>
      </w:r>
    </w:p>
    <w:p w14:paraId="0BD03C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（1）供应商未经过正常途径获取标书或供应商名称或组织结构与询比采购文件不一致且未提供有效证明的；</w:t>
      </w:r>
    </w:p>
    <w:p w14:paraId="11E1B74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（2）响应文件未经响应供应商单位盖章和单位负责人签字或盖章的；</w:t>
      </w:r>
    </w:p>
    <w:p w14:paraId="47402E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（3）供应商未按询比采购文件要求交纳响应保证金的；</w:t>
      </w:r>
    </w:p>
    <w:p w14:paraId="7F1A67F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（4）供应商不符合询比采购文件规定的资格条件的；</w:t>
      </w:r>
    </w:p>
    <w:p w14:paraId="0C2338A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（5）供应商提交两份或多份内容不同的响应文件，或在同一份响应文件中有两个或多个报价，且未声明哪一个为最终报价的；</w:t>
      </w:r>
    </w:p>
    <w:p w14:paraId="590FFB7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（6）报价明显低于其他响应报价，且供应商不能合理说明或者提供相关证明材料，评审小组认定该供应商以低于成本价竞标的；</w:t>
      </w:r>
    </w:p>
    <w:p w14:paraId="28D3952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（7）响应文件有效期达不到询比采购文件要求的；</w:t>
      </w:r>
    </w:p>
    <w:p w14:paraId="3A8FDC2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（8）供应商方案出现严重漏项，已影响到该项目的实施的；</w:t>
      </w:r>
    </w:p>
    <w:p w14:paraId="7CF1ADB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（9）供应商有串通投标、弄虚作假、行贿等违法行为的。</w:t>
      </w:r>
    </w:p>
    <w:p w14:paraId="4BE5E27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3.响应报价有算术错误的，评审小组按以下原则要求供应商对响应报价进行书面澄清确认。供应商拒不澄清确认的，评审小组应当否决其响应文件：</w:t>
      </w:r>
    </w:p>
    <w:p w14:paraId="444A7F0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（1）响应文件中的大写金额与小写金额不一致的，以大写金额为准；</w:t>
      </w:r>
    </w:p>
    <w:p w14:paraId="084D6EA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（2）总价金额与单价金额不一致的，以单价金额为准，但单价金额小数点有明显错误的除外；</w:t>
      </w:r>
    </w:p>
    <w:p w14:paraId="12067DB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（3）响应报价为各分项报价金额之和，响应报价与分项报价的合价不一致的，应以各分项合价累计数为准，修正响应报价。</w:t>
      </w:r>
    </w:p>
    <w:p w14:paraId="30E72A5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评审小组发现供应商的报价明显低于其他响应报价，使得其响应报价可能低于其个别成本的，应当要求该供应商作出书面说明并提供相应的证明材料。供应商不能合理说明或者不能提供相应证明材料的，评审小组应当认定该供应商以低于成本报价竞标，并否决其响应文件。</w:t>
      </w:r>
    </w:p>
    <w:p w14:paraId="6714827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（四）响应文件的澄清</w:t>
      </w:r>
    </w:p>
    <w:p w14:paraId="2EC5664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在评审过程中，评审小组对响应文件中含义不明确、对同类问题表述不一致或者有明显文字和计算错误的内容可以书面形式要求供应商作必要的澄清、说明或补正。评审小组不接受供应商主动提出的澄清、说明或补正。</w:t>
      </w:r>
    </w:p>
    <w:p w14:paraId="7E42D4E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2.澄清、说明或补正不得超出响应文件的范围且不得改变响应文件的实质性内容，并构成响应文件的组成部分。</w:t>
      </w:r>
    </w:p>
    <w:p w14:paraId="1F34EC8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3.评审小组对供应商提交的澄清、说明或补正有疑问的，可以要求供应商进一步澄清、说明或补正，直至满足评审小组的要求。</w:t>
      </w:r>
    </w:p>
    <w:p w14:paraId="0D3DF06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（五）评审结果</w:t>
      </w:r>
    </w:p>
    <w:p w14:paraId="26C392D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1.评审小组按照评分格由高到低的顺序推荐成交候选人，并标明排序。</w:t>
      </w:r>
    </w:p>
    <w:p w14:paraId="5B673E4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2.评审小组完成评标后，应当向招标办公室提交书面评审报告和成交候选人名单。</w:t>
      </w:r>
    </w:p>
    <w:p w14:paraId="750BC9E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六、合同授予</w:t>
      </w:r>
    </w:p>
    <w:p w14:paraId="5B5E67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（一）成交候选人公示</w:t>
      </w:r>
    </w:p>
    <w:p w14:paraId="7CA5130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采购人招标办收到评审报告之日起3日内确定成交人，并在陕西锌业有限公司网络采购平台www.sxxyjjpt.com公示成交候选人，公示期不少于3天。</w:t>
      </w:r>
    </w:p>
    <w:p w14:paraId="4A4A23E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（二）评审结果异议</w:t>
      </w:r>
    </w:p>
    <w:p w14:paraId="7444C8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供应商或者其他利害关系人对评审结果有异议的，应当在成交候选人公示期间提出。采购人在收到异议之日起3日内对异议作出答复；作出答复前，将暂停询比采购活动。</w:t>
      </w:r>
    </w:p>
    <w:p w14:paraId="5F60E1C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（三）成交候选人履约能力审查</w:t>
      </w:r>
    </w:p>
    <w:p w14:paraId="595A53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成交候选人的经营、财务状况发生较大变化或存在违法行为，采购人认为可能影响其履约能力的，采购人招标办公室将在发出成交通知书前提请原评审小组按照询比采购文件规定的标准和方法进行审查和确认。</w:t>
      </w:r>
    </w:p>
    <w:p w14:paraId="139BAC1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（四）确定成交人</w:t>
      </w:r>
    </w:p>
    <w:p w14:paraId="5917709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采购人单位履行内部审批程序，根据评审小组的评审报告及成交人候选人名单确定成交人。</w:t>
      </w:r>
    </w:p>
    <w:p w14:paraId="3FDB8A2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（五）成交通知</w:t>
      </w:r>
    </w:p>
    <w:p w14:paraId="3E7F570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在响应有效期内，采购人采购主责部门以书面形式向成交人发出成交通知书，同时将成交结果通知未成交的供应商。</w:t>
      </w:r>
    </w:p>
    <w:p w14:paraId="7211CF8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（六）履约担保</w:t>
      </w:r>
    </w:p>
    <w:p w14:paraId="71FE52A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1.成交人应按合同金额的10%以担保函或转账形式在收到成交通知后3日内向采购人提交履约担保。</w:t>
      </w:r>
    </w:p>
    <w:p w14:paraId="0D2E84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2.成交人不能按前述要求提交履约担保的，视为放弃成交，其响应保证金不予退还，给采购人造成的损失超出响应保证金数额的，成交人还应当对超出部分予以赔偿。</w:t>
      </w:r>
    </w:p>
    <w:p w14:paraId="367B242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（七）签订合同</w:t>
      </w:r>
    </w:p>
    <w:p w14:paraId="7FC3C8B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采购人和成交供应商应当在响应有效期内，且在自成交通知书发出之日起7日内，根据询比采购文件和成交人的响应文件订立书面合同。成交人无正当理由拒签合同，或者提出其他附加条件的，采购人有权取消其成交资格，其响应保证金不予退还；给采购人造成的损失超出响应保证金数额的，成交供应商还应当对超出部分予以赔偿。</w:t>
      </w:r>
    </w:p>
    <w:p w14:paraId="5BBA2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2.发出成交通知书后，采购人无正当理由拒签合同的，或者提出其他附加条件的，采购人向成交人退还响应保证金；给成交人造成损失的，还应当赔偿损失。</w:t>
      </w:r>
    </w:p>
    <w:p w14:paraId="5FE4881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七、纪律和监督</w:t>
      </w:r>
    </w:p>
    <w:p w14:paraId="737AD5C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（一）供应商不得相互串通投标或者与采购人串通投标，不得向采购人或者评审小组成员行贿谋取成交，不得以他人名义投标或者以其他方式弄虚作假骗取成交；供应商不得以任何方式干扰、影响评标工作。</w:t>
      </w:r>
    </w:p>
    <w:p w14:paraId="3299ABE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评审小组成员及相关工作人员不得收受他人的财物或者其他好处，不得向他人透露对响应文件的评审和比较、成交候选人的推荐情况以及评标有关的其他情况。在评审活动中，评审小组成员应当客观、公正地履行职责，遵守职业道德，不得擅离职守，影响评审程序正常进行，不得使用“评审办法”没有规定的评审因素和标准进行评审。</w:t>
      </w:r>
    </w:p>
    <w:p w14:paraId="25C96F3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（三）异议</w:t>
      </w:r>
    </w:p>
    <w:p w14:paraId="75F45C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1.供应商或者其他利害关系人认为采购人采购活动存在不合法或违反民事活动中平等自愿、公平诚信原则情形的，可以直接向采购人单位招标办公室提出提出异议。</w:t>
      </w:r>
    </w:p>
    <w:p w14:paraId="34DAA3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2.招标办收到供应商提出的异议，应当依法、依规、妥善处理异议，并在收到异议之日起三个工作日内，对异议提出人做出答复。答复前，可暂停下一程序的采购活动。</w:t>
      </w:r>
    </w:p>
    <w:p w14:paraId="6842662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3.对响应采购供应商提出的异议，如属异议提出人对相关问题理解有误的，招标办应当详细做出解释；如经核查发现采购活动确实存在违法或违反本办法相关规定的，招标办应及时予以改正或补救。       </w:t>
      </w:r>
    </w:p>
    <w:p w14:paraId="5E456E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05286B6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 </w:t>
      </w:r>
    </w:p>
    <w:p w14:paraId="578A742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p>
    <w:p w14:paraId="484E612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p>
    <w:p w14:paraId="2C6F711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陕西锌业有限公司</w:t>
      </w:r>
    </w:p>
    <w:p w14:paraId="1051A6D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23</w:t>
      </w:r>
      <w:r>
        <w:rPr>
          <w:rFonts w:hint="eastAsia" w:ascii="仿宋" w:hAnsi="仿宋" w:eastAsia="仿宋" w:cs="仿宋"/>
          <w:i w:val="0"/>
          <w:iCs w:val="0"/>
          <w:caps w:val="0"/>
          <w:color w:val="000000"/>
          <w:spacing w:val="0"/>
          <w:sz w:val="31"/>
          <w:szCs w:val="31"/>
        </w:rPr>
        <w:t>日</w:t>
      </w:r>
    </w:p>
    <w:p w14:paraId="339E2F4E">
      <w:pPr>
        <w:pStyle w:val="2"/>
        <w:keepNext w:val="0"/>
        <w:keepLines w:val="0"/>
        <w:widowControl/>
        <w:suppressLineNumbers w:val="0"/>
        <w:ind w:left="0" w:firstLine="720"/>
        <w:jc w:val="both"/>
        <w:rPr>
          <w:rStyle w:val="12"/>
          <w:rFonts w:hint="eastAsia" w:ascii="宋体" w:hAnsi="宋体" w:eastAsia="宋体" w:cs="宋体"/>
          <w:b/>
          <w:i w:val="0"/>
          <w:iCs w:val="0"/>
          <w:caps w:val="0"/>
          <w:color w:val="000000"/>
          <w:spacing w:val="0"/>
          <w:sz w:val="36"/>
          <w:szCs w:val="36"/>
        </w:rPr>
      </w:pPr>
      <w:r>
        <w:rPr>
          <w:rStyle w:val="12"/>
          <w:rFonts w:hint="eastAsia" w:ascii="宋体" w:hAnsi="宋体" w:eastAsia="宋体" w:cs="宋体"/>
          <w:b/>
          <w:i w:val="0"/>
          <w:iCs w:val="0"/>
          <w:caps w:val="0"/>
          <w:color w:val="000000"/>
          <w:spacing w:val="0"/>
          <w:sz w:val="36"/>
          <w:szCs w:val="36"/>
        </w:rPr>
        <w:t> </w:t>
      </w:r>
    </w:p>
    <w:p w14:paraId="05E98BD6">
      <w:pPr>
        <w:rPr>
          <w:rFonts w:hint="eastAsia"/>
        </w:rPr>
      </w:pPr>
    </w:p>
    <w:p w14:paraId="34DC7D3F">
      <w:pPr>
        <w:pStyle w:val="8"/>
        <w:keepNext w:val="0"/>
        <w:keepLines w:val="0"/>
        <w:widowControl/>
        <w:suppressLineNumbers w:val="0"/>
        <w:ind w:left="0" w:firstLine="0"/>
        <w:rPr>
          <w:rFonts w:hint="eastAsia" w:ascii="Noto Sans SC" w:hAnsi="Noto Sans SC" w:eastAsia="Noto Sans SC" w:cs="Noto Sans SC"/>
          <w:i w:val="0"/>
          <w:iCs w:val="0"/>
          <w:caps w:val="0"/>
          <w:color w:val="000000"/>
          <w:spacing w:val="0"/>
          <w:sz w:val="27"/>
          <w:szCs w:val="27"/>
        </w:rPr>
      </w:pPr>
      <w:r>
        <w:rPr>
          <w:rFonts w:hint="eastAsia" w:ascii="宋体" w:hAnsi="宋体" w:eastAsia="宋体" w:cs="宋体"/>
          <w:i w:val="0"/>
          <w:iCs w:val="0"/>
          <w:caps w:val="0"/>
          <w:color w:val="000000"/>
          <w:spacing w:val="0"/>
          <w:sz w:val="36"/>
          <w:szCs w:val="36"/>
        </w:rPr>
        <w:t>附：响应文件格式</w:t>
      </w:r>
    </w:p>
    <w:p w14:paraId="12AD27B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8"/>
          <w:szCs w:val="28"/>
          <w:highlight w:val="none"/>
        </w:rPr>
        <w:t>项目编号：</w:t>
      </w:r>
      <w:r>
        <w:rPr>
          <w:rFonts w:hint="eastAsia" w:asciiTheme="minorEastAsia" w:hAnsiTheme="minorEastAsia" w:eastAsiaTheme="minorEastAsia" w:cstheme="minorEastAsia"/>
          <w:color w:val="auto"/>
          <w:sz w:val="28"/>
          <w:szCs w:val="28"/>
          <w:highlight w:val="none"/>
          <w:lang w:val="en-US" w:eastAsia="zh-CN"/>
        </w:rPr>
        <w:t>XB2025</w:t>
      </w:r>
      <w:r>
        <w:rPr>
          <w:rFonts w:hint="eastAsia" w:asciiTheme="minorEastAsia" w:hAnsiTheme="minorEastAsia" w:cstheme="minorEastAsia"/>
          <w:color w:val="auto"/>
          <w:sz w:val="28"/>
          <w:szCs w:val="28"/>
          <w:highlight w:val="none"/>
          <w:lang w:val="en-US" w:eastAsia="zh-CN"/>
        </w:rPr>
        <w:t>1219-01</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7B70CE1F">
      <w:pPr>
        <w:spacing w:line="360" w:lineRule="auto"/>
        <w:jc w:val="center"/>
        <w:rPr>
          <w:rFonts w:hint="eastAsia" w:asciiTheme="minorEastAsia" w:hAnsiTheme="minorEastAsia" w:eastAsiaTheme="minorEastAsia" w:cstheme="minorEastAsia"/>
          <w:b/>
          <w:bCs/>
          <w:color w:val="auto"/>
          <w:sz w:val="44"/>
          <w:szCs w:val="44"/>
          <w:lang w:eastAsia="zh-CN"/>
        </w:rPr>
      </w:pPr>
      <w:r>
        <w:rPr>
          <w:rFonts w:hint="eastAsia" w:asciiTheme="minorEastAsia" w:hAnsiTheme="minorEastAsia" w:eastAsiaTheme="minorEastAsia" w:cstheme="minorEastAsia"/>
          <w:b/>
          <w:bCs/>
          <w:color w:val="auto"/>
          <w:sz w:val="44"/>
          <w:szCs w:val="44"/>
          <w:lang w:eastAsia="zh-CN"/>
        </w:rPr>
        <w:t>陕西锌业有限公司</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2025年</w:t>
      </w:r>
      <w:r>
        <w:rPr>
          <w:rFonts w:hint="eastAsia" w:asciiTheme="minorEastAsia" w:hAnsiTheme="minorEastAsia" w:cstheme="minorEastAsia"/>
          <w:b/>
          <w:bCs/>
          <w:color w:val="auto"/>
          <w:sz w:val="44"/>
          <w:szCs w:val="44"/>
          <w:lang w:val="en-US" w:eastAsia="zh-CN"/>
        </w:rPr>
        <w:t>12</w:t>
      </w:r>
      <w:r>
        <w:rPr>
          <w:rFonts w:hint="eastAsia" w:asciiTheme="minorEastAsia" w:hAnsiTheme="minorEastAsia" w:eastAsiaTheme="minorEastAsia" w:cstheme="minorEastAsia"/>
          <w:b/>
          <w:bCs/>
          <w:color w:val="auto"/>
          <w:sz w:val="44"/>
          <w:szCs w:val="44"/>
          <w:lang w:val="en-US" w:eastAsia="zh-CN"/>
        </w:rPr>
        <w:t>月</w:t>
      </w:r>
      <w:r>
        <w:rPr>
          <w:rFonts w:hint="eastAsia" w:asciiTheme="minorEastAsia" w:hAnsiTheme="minorEastAsia" w:cstheme="minorEastAsia"/>
          <w:b/>
          <w:bCs/>
          <w:color w:val="auto"/>
          <w:sz w:val="44"/>
          <w:szCs w:val="44"/>
          <w:lang w:val="en-US" w:eastAsia="zh-CN"/>
        </w:rPr>
        <w:t>中心化验室</w:t>
      </w:r>
      <w:r>
        <w:rPr>
          <w:rFonts w:hint="eastAsia" w:asciiTheme="minorEastAsia" w:hAnsiTheme="minorEastAsia" w:eastAsiaTheme="minorEastAsia" w:cstheme="minorEastAsia"/>
          <w:b/>
          <w:bCs/>
          <w:color w:val="auto"/>
          <w:sz w:val="44"/>
          <w:szCs w:val="44"/>
          <w:lang w:val="en-US" w:eastAsia="zh-CN"/>
        </w:rPr>
        <w:t>化学试剂等采购项目</w:t>
      </w:r>
      <w:r>
        <w:rPr>
          <w:rFonts w:hint="eastAsia" w:asciiTheme="minorEastAsia" w:hAnsiTheme="minorEastAsia" w:cstheme="minorEastAsia"/>
          <w:b/>
          <w:bCs/>
          <w:color w:val="auto"/>
          <w:sz w:val="44"/>
          <w:szCs w:val="44"/>
          <w:lang w:val="en-US" w:eastAsia="zh-CN"/>
        </w:rPr>
        <w:t>二次</w:t>
      </w:r>
      <w:r>
        <w:rPr>
          <w:rFonts w:hint="eastAsia" w:asciiTheme="minorEastAsia" w:hAnsiTheme="minorEastAsia" w:eastAsiaTheme="minorEastAsia" w:cstheme="minorEastAsia"/>
          <w:b/>
          <w:bCs/>
          <w:color w:val="auto"/>
          <w:sz w:val="44"/>
          <w:szCs w:val="44"/>
          <w:lang w:val="en-US" w:eastAsia="zh-CN"/>
        </w:rPr>
        <w:t>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0" w:name="_Toc3885"/>
      <w:bookmarkStart w:id="1"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0"/>
      <w:bookmarkEnd w:id="1"/>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2" w:name="_Toc16531"/>
      <w:bookmarkStart w:id="3" w:name="_Toc504488768"/>
      <w:r>
        <w:rPr>
          <w:rFonts w:hint="eastAsia" w:ascii="黑体" w:hAnsi="黑体" w:eastAsia="黑体" w:cs="黑体"/>
          <w:b w:val="0"/>
          <w:bCs/>
          <w:color w:val="auto"/>
          <w:sz w:val="36"/>
          <w:szCs w:val="36"/>
        </w:rPr>
        <w:t>一、</w:t>
      </w:r>
      <w:bookmarkEnd w:id="2"/>
      <w:bookmarkEnd w:id="3"/>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4" w:name="_Toc504488769"/>
      <w:bookmarkStart w:id="5" w:name="_Toc28734"/>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4"/>
      <w:bookmarkEnd w:id="5"/>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6" w:name="_Toc27897"/>
      <w:bookmarkStart w:id="7" w:name="_Toc352691662"/>
      <w:bookmarkStart w:id="8"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6"/>
      <w:bookmarkEnd w:id="7"/>
      <w:bookmarkEnd w:id="8"/>
      <w:r>
        <w:rPr>
          <w:rFonts w:hint="eastAsia" w:ascii="仿宋" w:hAnsi="仿宋" w:eastAsia="仿宋" w:cs="仿宋"/>
          <w:color w:val="auto"/>
          <w:sz w:val="32"/>
          <w:szCs w:val="32"/>
        </w:rPr>
        <w:t>龄</w:t>
      </w:r>
      <w:bookmarkStart w:id="9" w:name="_Toc152045789"/>
      <w:bookmarkStart w:id="10" w:name="_Toc300835211"/>
      <w:bookmarkStart w:id="11" w:name="_Toc15573"/>
      <w:bookmarkStart w:id="12" w:name="_Toc144974858"/>
      <w:bookmarkStart w:id="13" w:name="_Toc247514248"/>
      <w:bookmarkStart w:id="14" w:name="_Toc361508754"/>
      <w:bookmarkStart w:id="15" w:name="_Toc152042578"/>
      <w:bookmarkStart w:id="16" w:name="_Toc384308377"/>
      <w:bookmarkStart w:id="17" w:name="_Toc247527829"/>
      <w:bookmarkStart w:id="18" w:name="_Toc369531699"/>
      <w:bookmarkStart w:id="19" w:name="_Toc352691663"/>
      <w:r>
        <w:rPr>
          <w:rFonts w:hint="eastAsia" w:ascii="仿宋" w:hAnsi="仿宋" w:eastAsia="仿宋" w:cs="仿宋"/>
          <w:color w:val="auto"/>
          <w:sz w:val="32"/>
          <w:szCs w:val="32"/>
        </w:rPr>
        <w:t>：</w:t>
      </w:r>
      <w:bookmarkEnd w:id="9"/>
      <w:bookmarkEnd w:id="10"/>
      <w:bookmarkEnd w:id="11"/>
      <w:bookmarkEnd w:id="12"/>
      <w:bookmarkEnd w:id="13"/>
      <w:bookmarkEnd w:id="14"/>
      <w:bookmarkEnd w:id="15"/>
      <w:bookmarkEnd w:id="16"/>
      <w:bookmarkEnd w:id="17"/>
      <w:bookmarkEnd w:id="18"/>
      <w:bookmarkEnd w:id="19"/>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20" w:name="_Toc504488770"/>
      <w:bookmarkStart w:id="21" w:name="_Toc2777"/>
      <w:r>
        <w:rPr>
          <w:rFonts w:hint="eastAsia" w:ascii="黑体" w:hAnsi="黑体" w:eastAsia="黑体" w:cs="黑体"/>
          <w:color w:val="auto"/>
          <w:sz w:val="36"/>
          <w:szCs w:val="36"/>
        </w:rPr>
        <w:t>二、授权委托书</w:t>
      </w:r>
      <w:bookmarkEnd w:id="20"/>
      <w:bookmarkEnd w:id="21"/>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22" w:name="_Toc7842"/>
      <w:bookmarkStart w:id="23"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22"/>
      <w:bookmarkEnd w:id="23"/>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24"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4"/>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0"/>
        </w:numPr>
        <w:jc w:val="left"/>
        <w:rPr>
          <w:rFonts w:hint="eastAsia" w:ascii="黑体" w:hAnsi="黑体" w:eastAsia="黑体" w:cs="黑体"/>
          <w:b/>
          <w:bCs/>
          <w:color w:val="auto"/>
          <w:kern w:val="2"/>
          <w:sz w:val="36"/>
          <w:szCs w:val="36"/>
          <w:lang w:val="en-US" w:eastAsia="zh-CN" w:bidi="ar-SA"/>
        </w:rPr>
      </w:pPr>
      <w:bookmarkStart w:id="25" w:name="_Toc1755"/>
      <w:bookmarkStart w:id="26" w:name="_Toc504488775"/>
      <w:r>
        <w:rPr>
          <w:rFonts w:hint="eastAsia" w:ascii="黑体" w:hAnsi="黑体" w:cs="黑体"/>
          <w:b/>
          <w:bCs/>
          <w:color w:val="auto"/>
          <w:kern w:val="2"/>
          <w:sz w:val="36"/>
          <w:szCs w:val="36"/>
          <w:lang w:val="en-US" w:eastAsia="zh-CN" w:bidi="ar-SA"/>
        </w:rPr>
        <w:t>五、</w:t>
      </w:r>
      <w:r>
        <w:rPr>
          <w:rFonts w:hint="eastAsia" w:ascii="黑体" w:hAnsi="黑体" w:eastAsia="黑体" w:cs="黑体"/>
          <w:b/>
          <w:bCs/>
          <w:color w:val="auto"/>
          <w:kern w:val="2"/>
          <w:sz w:val="36"/>
          <w:szCs w:val="36"/>
          <w:lang w:val="en-US" w:eastAsia="zh-CN" w:bidi="ar-SA"/>
        </w:rPr>
        <w:t>分项报价表</w:t>
      </w:r>
      <w:r>
        <w:rPr>
          <w:rFonts w:hint="eastAsia" w:ascii="宋体" w:hAnsi="宋体" w:eastAsia="宋体" w:cs="宋体"/>
          <w:color w:val="auto"/>
          <w:sz w:val="28"/>
          <w:szCs w:val="28"/>
          <w:highlight w:val="none"/>
          <w:lang w:val="en-US" w:eastAsia="zh-CN"/>
        </w:rPr>
        <w:t>（12月中心化验室化学试剂等采购项目二次</w:t>
      </w:r>
      <w:r>
        <w:rPr>
          <w:rFonts w:hint="eastAsia" w:ascii="宋体" w:hAnsi="宋体" w:eastAsia="宋体" w:cs="宋体"/>
          <w:color w:val="auto"/>
          <w:sz w:val="28"/>
          <w:szCs w:val="28"/>
          <w:lang w:eastAsia="zh-CN"/>
        </w:rPr>
        <w:t>询比</w:t>
      </w:r>
      <w:r>
        <w:rPr>
          <w:rFonts w:hint="eastAsia" w:ascii="宋体" w:hAnsi="宋体" w:eastAsia="宋体" w:cs="宋体"/>
          <w:color w:val="auto"/>
          <w:sz w:val="28"/>
          <w:szCs w:val="28"/>
          <w:highlight w:val="none"/>
          <w:lang w:val="en-US" w:eastAsia="zh-CN"/>
        </w:rPr>
        <w:t>）</w:t>
      </w:r>
    </w:p>
    <w:p w14:paraId="1C168F68">
      <w:pPr>
        <w:pStyle w:val="3"/>
        <w:spacing w:after="0"/>
        <w:ind w:firstLine="562" w:firstLineChars="200"/>
        <w:jc w:val="both"/>
        <w:rPr>
          <w:rFonts w:hint="eastAsia"/>
          <w:lang w:val="en-US" w:eastAsia="zh-CN"/>
        </w:rPr>
      </w:pPr>
      <w:r>
        <w:rPr>
          <w:rFonts w:hint="eastAsia" w:ascii="宋体" w:hAnsi="宋体" w:eastAsia="宋体" w:cs="宋体"/>
          <w:color w:val="auto"/>
          <w:sz w:val="28"/>
          <w:szCs w:val="28"/>
          <w:highlight w:val="none"/>
          <w:lang w:val="en-US" w:eastAsia="zh-CN"/>
        </w:rPr>
        <w:t xml:space="preserve">详见报价清单 （另附）                </w:t>
      </w:r>
      <w:bookmarkStart w:id="35" w:name="_GoBack"/>
      <w:bookmarkEnd w:id="35"/>
    </w:p>
    <w:p w14:paraId="622D2AB2">
      <w:pPr>
        <w:spacing w:line="360" w:lineRule="auto"/>
        <w:jc w:val="both"/>
        <w:rPr>
          <w:rFonts w:hint="eastAsia" w:ascii="Times New Roman" w:hAnsi="Times New Roman"/>
          <w:color w:val="auto"/>
          <w:kern w:val="0"/>
          <w:lang w:val="en-US" w:eastAsia="zh-CN"/>
        </w:rPr>
      </w:pPr>
    </w:p>
    <w:p w14:paraId="6EEEE7D3">
      <w:pPr>
        <w:spacing w:line="360" w:lineRule="auto"/>
        <w:jc w:val="both"/>
        <w:rPr>
          <w:rFonts w:hint="eastAsia" w:ascii="Times New Roman" w:hAnsi="Times New Roman"/>
          <w:color w:val="auto"/>
          <w:kern w:val="0"/>
          <w:lang w:val="en-US" w:eastAsia="zh-CN"/>
        </w:rPr>
      </w:pPr>
    </w:p>
    <w:p w14:paraId="49F5056E">
      <w:pPr>
        <w:spacing w:line="360" w:lineRule="auto"/>
        <w:jc w:val="both"/>
        <w:rPr>
          <w:rFonts w:hint="eastAsia" w:ascii="Times New Roman" w:hAnsi="Times New Roman"/>
          <w:color w:val="auto"/>
          <w:kern w:val="0"/>
          <w:lang w:val="en-US" w:eastAsia="zh-CN"/>
        </w:rPr>
      </w:pPr>
    </w:p>
    <w:p w14:paraId="4DA98B1A">
      <w:pPr>
        <w:spacing w:line="360" w:lineRule="auto"/>
        <w:jc w:val="both"/>
        <w:rPr>
          <w:rFonts w:hint="eastAsia" w:ascii="Times New Roman" w:hAnsi="Times New Roman"/>
          <w:color w:val="auto"/>
          <w:kern w:val="0"/>
          <w:lang w:val="en-US" w:eastAsia="zh-CN"/>
        </w:rPr>
      </w:pPr>
    </w:p>
    <w:p w14:paraId="40100A8D">
      <w:pPr>
        <w:spacing w:line="360" w:lineRule="auto"/>
        <w:jc w:val="both"/>
        <w:rPr>
          <w:rFonts w:hint="eastAsia" w:ascii="Times New Roman" w:hAnsi="Times New Roman"/>
          <w:color w:val="auto"/>
          <w:kern w:val="0"/>
          <w:lang w:val="en-US" w:eastAsia="zh-CN"/>
        </w:rPr>
      </w:pPr>
    </w:p>
    <w:p w14:paraId="76DA114B">
      <w:pPr>
        <w:spacing w:line="360" w:lineRule="auto"/>
        <w:jc w:val="both"/>
        <w:rPr>
          <w:rFonts w:hint="eastAsia" w:ascii="Times New Roman" w:hAnsi="Times New Roman"/>
          <w:color w:val="auto"/>
          <w:kern w:val="0"/>
          <w:lang w:val="en-US" w:eastAsia="zh-CN"/>
        </w:rPr>
      </w:pPr>
    </w:p>
    <w:p w14:paraId="1EA80B64">
      <w:pPr>
        <w:spacing w:line="360" w:lineRule="auto"/>
        <w:jc w:val="both"/>
        <w:rPr>
          <w:rFonts w:hint="eastAsia" w:ascii="Times New Roman" w:hAnsi="Times New Roman"/>
          <w:color w:val="auto"/>
          <w:kern w:val="0"/>
          <w:lang w:val="en-US" w:eastAsia="zh-CN"/>
        </w:rPr>
      </w:pPr>
    </w:p>
    <w:p w14:paraId="5A3A090A">
      <w:pPr>
        <w:spacing w:line="360" w:lineRule="auto"/>
        <w:jc w:val="both"/>
        <w:rPr>
          <w:rFonts w:hint="eastAsia" w:ascii="Times New Roman" w:hAnsi="Times New Roman"/>
          <w:color w:val="auto"/>
          <w:kern w:val="0"/>
          <w:lang w:val="en-US" w:eastAsia="zh-CN"/>
        </w:rPr>
      </w:pPr>
    </w:p>
    <w:p w14:paraId="4780C287">
      <w:pPr>
        <w:spacing w:line="360" w:lineRule="auto"/>
        <w:jc w:val="both"/>
        <w:rPr>
          <w:rFonts w:hint="eastAsia" w:ascii="Times New Roman" w:hAnsi="Times New Roman"/>
          <w:color w:val="auto"/>
          <w:kern w:val="0"/>
          <w:lang w:val="en-US" w:eastAsia="zh-CN"/>
        </w:rPr>
      </w:pPr>
    </w:p>
    <w:p w14:paraId="259C7874">
      <w:pPr>
        <w:spacing w:line="360" w:lineRule="auto"/>
        <w:jc w:val="both"/>
        <w:rPr>
          <w:rFonts w:hint="eastAsia" w:ascii="Times New Roman" w:hAnsi="Times New Roman"/>
          <w:color w:val="auto"/>
          <w:kern w:val="0"/>
          <w:lang w:val="en-US" w:eastAsia="zh-CN"/>
        </w:rPr>
      </w:pPr>
    </w:p>
    <w:p w14:paraId="5DD7F789">
      <w:pPr>
        <w:spacing w:line="360" w:lineRule="auto"/>
        <w:jc w:val="both"/>
        <w:rPr>
          <w:rFonts w:hint="eastAsia" w:ascii="Times New Roman" w:hAnsi="Times New Roman"/>
          <w:color w:val="auto"/>
          <w:kern w:val="0"/>
          <w:lang w:val="en-US" w:eastAsia="zh-CN"/>
        </w:rPr>
      </w:pPr>
    </w:p>
    <w:p w14:paraId="2D8CE643">
      <w:pPr>
        <w:spacing w:line="360" w:lineRule="auto"/>
        <w:jc w:val="both"/>
        <w:rPr>
          <w:rFonts w:hint="eastAsia" w:ascii="Times New Roman" w:hAnsi="Times New Roman"/>
          <w:color w:val="auto"/>
          <w:kern w:val="0"/>
          <w:lang w:val="en-US" w:eastAsia="zh-CN"/>
        </w:rPr>
      </w:pPr>
    </w:p>
    <w:p w14:paraId="67844D87">
      <w:pPr>
        <w:spacing w:line="360" w:lineRule="auto"/>
        <w:jc w:val="both"/>
        <w:rPr>
          <w:rFonts w:hint="eastAsia" w:ascii="Times New Roman" w:hAnsi="Times New Roman"/>
          <w:color w:val="auto"/>
          <w:kern w:val="0"/>
          <w:lang w:val="en-US" w:eastAsia="zh-CN"/>
        </w:rPr>
      </w:pPr>
    </w:p>
    <w:p w14:paraId="48CD3116">
      <w:pPr>
        <w:spacing w:line="360" w:lineRule="auto"/>
        <w:jc w:val="both"/>
        <w:rPr>
          <w:rFonts w:hint="eastAsia" w:ascii="Times New Roman" w:hAnsi="Times New Roman"/>
          <w:color w:val="auto"/>
          <w:kern w:val="0"/>
          <w:lang w:val="en-US" w:eastAsia="zh-CN"/>
        </w:rPr>
      </w:pPr>
    </w:p>
    <w:p w14:paraId="681D0FB5">
      <w:pPr>
        <w:spacing w:line="360" w:lineRule="auto"/>
        <w:jc w:val="both"/>
        <w:rPr>
          <w:rFonts w:hint="eastAsia" w:ascii="Times New Roman" w:hAnsi="Times New Roman"/>
          <w:color w:val="auto"/>
          <w:kern w:val="0"/>
          <w:lang w:val="en-US" w:eastAsia="zh-CN"/>
        </w:rPr>
      </w:pPr>
    </w:p>
    <w:p w14:paraId="7D3194DE">
      <w:pPr>
        <w:spacing w:line="360" w:lineRule="auto"/>
        <w:jc w:val="both"/>
        <w:rPr>
          <w:rFonts w:hint="eastAsia" w:ascii="Times New Roman" w:hAnsi="Times New Roman"/>
          <w:color w:val="auto"/>
          <w:kern w:val="0"/>
          <w:lang w:val="en-US" w:eastAsia="zh-CN"/>
        </w:rPr>
      </w:pPr>
    </w:p>
    <w:p w14:paraId="15502080">
      <w:pPr>
        <w:spacing w:line="360" w:lineRule="auto"/>
        <w:jc w:val="both"/>
        <w:rPr>
          <w:rFonts w:hint="eastAsia" w:ascii="Times New Roman" w:hAnsi="Times New Roman"/>
          <w:color w:val="auto"/>
          <w:kern w:val="0"/>
          <w:lang w:val="en-US" w:eastAsia="zh-CN"/>
        </w:rPr>
      </w:pPr>
    </w:p>
    <w:p w14:paraId="73B5CBC3">
      <w:pPr>
        <w:spacing w:line="360" w:lineRule="auto"/>
        <w:jc w:val="both"/>
        <w:rPr>
          <w:rFonts w:hint="eastAsia" w:ascii="Times New Roman" w:hAnsi="Times New Roman"/>
          <w:color w:val="auto"/>
          <w:kern w:val="0"/>
          <w:lang w:val="en-US" w:eastAsia="zh-CN"/>
        </w:rPr>
      </w:pPr>
    </w:p>
    <w:p w14:paraId="51A7ECEE">
      <w:pPr>
        <w:spacing w:line="360" w:lineRule="auto"/>
        <w:jc w:val="both"/>
        <w:rPr>
          <w:rFonts w:hint="eastAsia" w:ascii="Times New Roman" w:hAnsi="Times New Roman"/>
          <w:color w:val="auto"/>
          <w:kern w:val="0"/>
          <w:lang w:val="en-US" w:eastAsia="zh-CN"/>
        </w:rPr>
      </w:pPr>
    </w:p>
    <w:p w14:paraId="147E0B5A">
      <w:pPr>
        <w:spacing w:line="360" w:lineRule="auto"/>
        <w:jc w:val="both"/>
        <w:rPr>
          <w:rFonts w:hint="eastAsia" w:ascii="Times New Roman" w:hAnsi="Times New Roman"/>
          <w:color w:val="auto"/>
          <w:kern w:val="0"/>
          <w:lang w:val="en-US" w:eastAsia="zh-CN"/>
        </w:rPr>
      </w:pPr>
    </w:p>
    <w:p w14:paraId="6CB3B98D">
      <w:pPr>
        <w:spacing w:line="360" w:lineRule="auto"/>
        <w:jc w:val="both"/>
        <w:rPr>
          <w:rFonts w:hint="eastAsia" w:ascii="Times New Roman" w:hAnsi="Times New Roman"/>
          <w:color w:val="auto"/>
          <w:kern w:val="0"/>
          <w:lang w:val="en-US" w:eastAsia="zh-CN"/>
        </w:rPr>
      </w:pPr>
    </w:p>
    <w:p w14:paraId="38956577">
      <w:pPr>
        <w:spacing w:line="360" w:lineRule="auto"/>
        <w:jc w:val="both"/>
        <w:rPr>
          <w:rFonts w:hint="eastAsia" w:ascii="Times New Roman" w:hAnsi="Times New Roman"/>
          <w:color w:val="auto"/>
          <w:kern w:val="0"/>
          <w:lang w:val="en-US" w:eastAsia="zh-CN"/>
        </w:rPr>
      </w:pPr>
    </w:p>
    <w:p w14:paraId="262805DC">
      <w:pPr>
        <w:spacing w:line="360" w:lineRule="auto"/>
        <w:jc w:val="both"/>
        <w:rPr>
          <w:rFonts w:hint="eastAsia" w:ascii="Times New Roman" w:hAnsi="Times New Roman"/>
          <w:color w:val="auto"/>
          <w:kern w:val="0"/>
          <w:lang w:val="en-US" w:eastAsia="zh-CN"/>
        </w:rPr>
      </w:pPr>
    </w:p>
    <w:p w14:paraId="45E731A8">
      <w:pPr>
        <w:spacing w:line="360" w:lineRule="auto"/>
        <w:jc w:val="both"/>
        <w:rPr>
          <w:rFonts w:hint="eastAsia" w:ascii="Times New Roman" w:hAnsi="Times New Roman"/>
          <w:color w:val="auto"/>
          <w:kern w:val="0"/>
          <w:lang w:val="en-US" w:eastAsia="zh-CN"/>
        </w:rPr>
      </w:pPr>
    </w:p>
    <w:p w14:paraId="6ECA6E72">
      <w:pPr>
        <w:spacing w:line="360" w:lineRule="auto"/>
        <w:jc w:val="both"/>
        <w:rPr>
          <w:rFonts w:hint="eastAsia" w:ascii="Times New Roman" w:hAnsi="Times New Roman"/>
          <w:color w:val="auto"/>
          <w:kern w:val="0"/>
          <w:lang w:val="en-US" w:eastAsia="zh-CN"/>
        </w:rPr>
      </w:pPr>
    </w:p>
    <w:p w14:paraId="6FBF43FA">
      <w:pPr>
        <w:spacing w:line="360" w:lineRule="auto"/>
        <w:jc w:val="both"/>
        <w:rPr>
          <w:rFonts w:hint="eastAsia" w:ascii="Times New Roman" w:hAnsi="Times New Roman"/>
          <w:color w:val="auto"/>
          <w:kern w:val="0"/>
          <w:lang w:val="en-US" w:eastAsia="zh-CN"/>
        </w:rPr>
      </w:pPr>
    </w:p>
    <w:p w14:paraId="201A002C">
      <w:pPr>
        <w:spacing w:line="360" w:lineRule="auto"/>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5"/>
      <w:bookmarkEnd w:id="26"/>
    </w:p>
    <w:p w14:paraId="17B24FC5">
      <w:pPr>
        <w:pStyle w:val="4"/>
        <w:spacing w:before="20" w:after="0"/>
        <w:ind w:firstLine="103"/>
        <w:rPr>
          <w:rFonts w:ascii="Times New Roman"/>
          <w:color w:val="auto"/>
          <w:sz w:val="32"/>
          <w:szCs w:val="32"/>
        </w:rPr>
      </w:pPr>
      <w:bookmarkStart w:id="27" w:name="_Toc504488776"/>
      <w:bookmarkStart w:id="28" w:name="_Toc13906"/>
      <w:r>
        <w:rPr>
          <w:rFonts w:hint="eastAsia" w:ascii="Times New Roman"/>
          <w:color w:val="auto"/>
          <w:sz w:val="32"/>
          <w:szCs w:val="32"/>
        </w:rPr>
        <w:t>（一）基本情况表</w:t>
      </w:r>
      <w:bookmarkEnd w:id="27"/>
      <w:bookmarkEnd w:id="28"/>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9" w:name="_Toc19475"/>
      <w:bookmarkStart w:id="30"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9"/>
      <w:bookmarkEnd w:id="30"/>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31" w:name="_Toc504488780"/>
      <w:bookmarkStart w:id="32" w:name="_Toc14234"/>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31"/>
      <w:bookmarkEnd w:id="32"/>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33" w:name="_Toc504488783"/>
      <w:bookmarkStart w:id="34" w:name="_Toc22199"/>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33"/>
    <w:bookmarkEnd w:id="34"/>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1CF78088"/>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F73903-8AA3-4F37-AC10-668D47F385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SC">
    <w:panose1 w:val="020B0200000000000000"/>
    <w:charset w:val="86"/>
    <w:family w:val="auto"/>
    <w:pitch w:val="default"/>
    <w:sig w:usb0="20000083" w:usb1="2ADF3C10" w:usb2="00000016" w:usb3="00000000" w:csb0="60060107" w:csb1="00000000"/>
    <w:embedRegular r:id="rId2" w:fontKey="{4F527864-DE8E-4ADC-A7CC-8ABB3DE7113B}"/>
  </w:font>
  <w:font w:name="仿宋">
    <w:panose1 w:val="02010609060101010101"/>
    <w:charset w:val="86"/>
    <w:family w:val="auto"/>
    <w:pitch w:val="default"/>
    <w:sig w:usb0="800002BF" w:usb1="38CF7CFA" w:usb2="00000016" w:usb3="00000000" w:csb0="00040001" w:csb1="00000000"/>
    <w:embedRegular r:id="rId3" w:fontKey="{E7D03E83-8321-4282-81D5-359B862D93F5}"/>
  </w:font>
  <w:font w:name="微软雅黑">
    <w:panose1 w:val="020B0503020204020204"/>
    <w:charset w:val="86"/>
    <w:family w:val="auto"/>
    <w:pitch w:val="default"/>
    <w:sig w:usb0="80000287" w:usb1="2ACF3C50" w:usb2="00000016" w:usb3="00000000" w:csb0="0004001F" w:csb1="00000000"/>
    <w:embedRegular r:id="rId4" w:fontKey="{4A4FF2F2-DB71-4C7A-B0F0-244B2E95C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1213882"/>
    <w:rsid w:val="023E2922"/>
    <w:rsid w:val="04904FA7"/>
    <w:rsid w:val="05BE40FB"/>
    <w:rsid w:val="07707311"/>
    <w:rsid w:val="07B70A9C"/>
    <w:rsid w:val="08607386"/>
    <w:rsid w:val="08F10DED"/>
    <w:rsid w:val="08F9370D"/>
    <w:rsid w:val="0C9B273A"/>
    <w:rsid w:val="0DEB14A0"/>
    <w:rsid w:val="0EB6385C"/>
    <w:rsid w:val="0F091448"/>
    <w:rsid w:val="0F5A6277"/>
    <w:rsid w:val="102F1EF5"/>
    <w:rsid w:val="11405FA6"/>
    <w:rsid w:val="11A35C3E"/>
    <w:rsid w:val="14A979BF"/>
    <w:rsid w:val="15350822"/>
    <w:rsid w:val="17567773"/>
    <w:rsid w:val="19BF0744"/>
    <w:rsid w:val="19BF485E"/>
    <w:rsid w:val="19EF056A"/>
    <w:rsid w:val="1AB627E8"/>
    <w:rsid w:val="1BC57E3D"/>
    <w:rsid w:val="1DB27CC5"/>
    <w:rsid w:val="1DFD647E"/>
    <w:rsid w:val="1E34479D"/>
    <w:rsid w:val="1FB042F7"/>
    <w:rsid w:val="21834158"/>
    <w:rsid w:val="22AE0FC2"/>
    <w:rsid w:val="241430A6"/>
    <w:rsid w:val="25237319"/>
    <w:rsid w:val="255F47F5"/>
    <w:rsid w:val="290E4486"/>
    <w:rsid w:val="297D7484"/>
    <w:rsid w:val="2A2E0C3A"/>
    <w:rsid w:val="2ACF41CB"/>
    <w:rsid w:val="2C006799"/>
    <w:rsid w:val="300A6EDE"/>
    <w:rsid w:val="30110DE2"/>
    <w:rsid w:val="317B29B7"/>
    <w:rsid w:val="31832E12"/>
    <w:rsid w:val="333C7F24"/>
    <w:rsid w:val="333D3C9C"/>
    <w:rsid w:val="339B5162"/>
    <w:rsid w:val="33F47ECB"/>
    <w:rsid w:val="3A561988"/>
    <w:rsid w:val="3BFF184D"/>
    <w:rsid w:val="3CB63F34"/>
    <w:rsid w:val="3EB3405D"/>
    <w:rsid w:val="3EC60FE9"/>
    <w:rsid w:val="3FA7706D"/>
    <w:rsid w:val="405A4224"/>
    <w:rsid w:val="41382CD2"/>
    <w:rsid w:val="427A5715"/>
    <w:rsid w:val="427E23AB"/>
    <w:rsid w:val="433C5D1E"/>
    <w:rsid w:val="442E38B9"/>
    <w:rsid w:val="44920CB0"/>
    <w:rsid w:val="45726E52"/>
    <w:rsid w:val="460F14C8"/>
    <w:rsid w:val="4B896DF6"/>
    <w:rsid w:val="4B99000F"/>
    <w:rsid w:val="4CB27A82"/>
    <w:rsid w:val="4D66647C"/>
    <w:rsid w:val="50805A18"/>
    <w:rsid w:val="509B2FD7"/>
    <w:rsid w:val="523676EA"/>
    <w:rsid w:val="524F1A19"/>
    <w:rsid w:val="55EF7BB3"/>
    <w:rsid w:val="56431446"/>
    <w:rsid w:val="56F815DC"/>
    <w:rsid w:val="57711FE2"/>
    <w:rsid w:val="59695D97"/>
    <w:rsid w:val="59907EED"/>
    <w:rsid w:val="59F64A21"/>
    <w:rsid w:val="5B97061C"/>
    <w:rsid w:val="5C2B04AE"/>
    <w:rsid w:val="5D69550A"/>
    <w:rsid w:val="5F213A10"/>
    <w:rsid w:val="5F67211C"/>
    <w:rsid w:val="5F8C5DB5"/>
    <w:rsid w:val="5FAD16DE"/>
    <w:rsid w:val="61137C66"/>
    <w:rsid w:val="61483E9A"/>
    <w:rsid w:val="66452F0C"/>
    <w:rsid w:val="67C91FB9"/>
    <w:rsid w:val="69E314DA"/>
    <w:rsid w:val="69F446AA"/>
    <w:rsid w:val="6A445335"/>
    <w:rsid w:val="6AE81F78"/>
    <w:rsid w:val="6B4D0219"/>
    <w:rsid w:val="6CCD1611"/>
    <w:rsid w:val="6D763A57"/>
    <w:rsid w:val="6DB30807"/>
    <w:rsid w:val="6E4D0210"/>
    <w:rsid w:val="6E7C32EF"/>
    <w:rsid w:val="6EE449F0"/>
    <w:rsid w:val="70131A31"/>
    <w:rsid w:val="70DE40E3"/>
    <w:rsid w:val="71EC2DAA"/>
    <w:rsid w:val="74DD5EA9"/>
    <w:rsid w:val="75711A3B"/>
    <w:rsid w:val="76987E92"/>
    <w:rsid w:val="77A86F03"/>
    <w:rsid w:val="78E63D5F"/>
    <w:rsid w:val="7E547D47"/>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179</Words>
  <Characters>199</Characters>
  <Lines>0</Lines>
  <Paragraphs>0</Paragraphs>
  <TotalTime>0</TotalTime>
  <ScaleCrop>false</ScaleCrop>
  <LinksUpToDate>false</LinksUpToDate>
  <CharactersWithSpaces>200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2025-03-11T02:34:00Z</cp:lastPrinted>
  <dcterms:modified xsi:type="dcterms:W3CDTF">2025-12-23T02:12:16Z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00C03101A2E54A98AEEDBACBDBA1BABE_13</vt:lpwstr>
  </property>
  <property fmtid="{D5CDD505-2E9C-101B-9397-08002B2CF9AE}" pid="4" name="KSOTemplateDocerSaveRecord">
    <vt:lpwstr>eyJoZGlkIjoiYjVjZDVhYWVmMTBiNTBjNzdjNjhhM2FmZTAyYmQ1ZTgiLCJ1c2VySWQiOiI1MTc5NjM0MDUifQ==</vt:lpwstr>
  </property>
</Properties>
</file>