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BAFF">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1"/>
          <w:rFonts w:hint="eastAsia" w:asciiTheme="majorEastAsia" w:hAnsiTheme="majorEastAsia" w:eastAsiaTheme="majorEastAsia" w:cstheme="majorEastAsia"/>
          <w:b/>
          <w:bCs/>
          <w:sz w:val="36"/>
          <w:szCs w:val="36"/>
          <w:lang w:val="en-US" w:eastAsia="zh-CN"/>
        </w:rPr>
      </w:pPr>
      <w:bookmarkStart w:id="1" w:name="_GoBack"/>
      <w:bookmarkStart w:id="0" w:name="bookmark0"/>
      <w:r>
        <w:rPr>
          <w:rStyle w:val="11"/>
          <w:rFonts w:hint="eastAsia" w:asciiTheme="majorEastAsia" w:hAnsiTheme="majorEastAsia" w:eastAsiaTheme="majorEastAsia" w:cstheme="majorEastAsia"/>
          <w:b/>
          <w:bCs/>
          <w:sz w:val="36"/>
          <w:szCs w:val="36"/>
          <w:lang w:val="en-US" w:eastAsia="zh-CN"/>
        </w:rPr>
        <w:t>陕西锌业有限公司</w:t>
      </w:r>
    </w:p>
    <w:p w14:paraId="38FA21DB">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600" w:lineRule="exact"/>
        <w:ind w:left="0" w:leftChars="0" w:right="0" w:firstLine="0" w:firstLineChars="0"/>
        <w:jc w:val="center"/>
        <w:textAlignment w:val="auto"/>
        <w:rPr>
          <w:rStyle w:val="11"/>
          <w:rFonts w:hint="eastAsia" w:asciiTheme="majorEastAsia" w:hAnsiTheme="majorEastAsia" w:eastAsiaTheme="majorEastAsia" w:cstheme="majorEastAsia"/>
          <w:b/>
          <w:bCs/>
          <w:sz w:val="36"/>
          <w:szCs w:val="36"/>
          <w:lang w:val="en-US" w:eastAsia="zh-CN"/>
        </w:rPr>
      </w:pPr>
      <w:r>
        <w:rPr>
          <w:rStyle w:val="11"/>
          <w:rFonts w:hint="eastAsia" w:asciiTheme="majorEastAsia" w:hAnsiTheme="majorEastAsia" w:eastAsiaTheme="majorEastAsia" w:cstheme="majorEastAsia"/>
          <w:b/>
          <w:bCs/>
          <w:sz w:val="36"/>
          <w:szCs w:val="36"/>
          <w:lang w:val="en-US" w:eastAsia="zh-CN"/>
        </w:rPr>
        <w:t>劳务公司询比采购文件</w:t>
      </w:r>
    </w:p>
    <w:p w14:paraId="03E8512B">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p>
    <w:p w14:paraId="0E216141">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left="420" w:leftChars="0" w:right="0" w:rightChars="0" w:firstLine="321" w:firstLineChars="1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b/>
          <w:bCs/>
          <w:sz w:val="32"/>
          <w:szCs w:val="32"/>
          <w:lang w:val="en-US" w:eastAsia="zh-CN"/>
        </w:rPr>
        <w:t>一、招标基本情况</w:t>
      </w:r>
    </w:p>
    <w:p w14:paraId="52ACEAAF">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right="0" w:rightChars="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1.项目名称：2026年劳务派遣服务项目</w:t>
      </w:r>
    </w:p>
    <w:p w14:paraId="1570F800">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right="0" w:rightChars="0" w:firstLine="640" w:firstLineChars="200"/>
        <w:jc w:val="left"/>
        <w:textAlignment w:val="auto"/>
        <w:rPr>
          <w:rStyle w:val="11"/>
          <w:rFonts w:hint="default" w:ascii="仿宋" w:hAnsi="仿宋" w:eastAsia="仿宋" w:cs="仿宋"/>
          <w:sz w:val="32"/>
          <w:szCs w:val="32"/>
          <w:lang w:val="en-US" w:eastAsia="zh-CN"/>
        </w:rPr>
      </w:pPr>
      <w:r>
        <w:rPr>
          <w:rStyle w:val="11"/>
          <w:rFonts w:hint="eastAsia" w:ascii="仿宋" w:hAnsi="仿宋" w:eastAsia="仿宋" w:cs="仿宋"/>
          <w:sz w:val="32"/>
          <w:szCs w:val="32"/>
          <w:lang w:val="en-US" w:eastAsia="zh-CN"/>
        </w:rPr>
        <w:t>2.服务周期：2026年1月1日至2026年12月31日（具体以合同签订时间为准）</w:t>
      </w:r>
    </w:p>
    <w:p w14:paraId="5CCB59B2">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3.人员需求：预计派遣人员300-500余名，涉及生产操作、辅助生产等岗位，具体以实际用工需求为准。</w:t>
      </w:r>
    </w:p>
    <w:p w14:paraId="12780C38">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eastAsia="zh-CN"/>
        </w:rPr>
      </w:pPr>
      <w:r>
        <w:rPr>
          <w:rStyle w:val="11"/>
          <w:rFonts w:hint="eastAsia" w:ascii="仿宋" w:hAnsi="仿宋" w:eastAsia="仿宋" w:cs="仿宋"/>
          <w:sz w:val="32"/>
          <w:szCs w:val="32"/>
          <w:lang w:val="en-US" w:eastAsia="zh-CN"/>
        </w:rPr>
        <w:t>4.服务范围：包括但不限于派遣人员的招聘选拔、劳动合同签订、薪酬发放、社保缴纳、档案管理、安全教育、工伤事故处理及日常管理服务等。</w:t>
      </w:r>
    </w:p>
    <w:p w14:paraId="16D24B28">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default" w:ascii="仿宋" w:hAnsi="仿宋" w:eastAsia="仿宋" w:cs="仿宋"/>
          <w:sz w:val="32"/>
          <w:szCs w:val="32"/>
          <w:lang w:val="en-US" w:eastAsia="zh-CN"/>
        </w:rPr>
      </w:pPr>
      <w:r>
        <w:rPr>
          <w:rStyle w:val="11"/>
          <w:rFonts w:hint="eastAsia" w:ascii="仿宋" w:hAnsi="仿宋" w:eastAsia="仿宋" w:cs="仿宋"/>
          <w:sz w:val="32"/>
          <w:szCs w:val="32"/>
          <w:lang w:val="en-US" w:eastAsia="zh-CN"/>
        </w:rPr>
        <w:t>5.询比采购地点：陕西锌业有限公司综合办公楼一楼招投标办公室。</w:t>
      </w:r>
    </w:p>
    <w:p w14:paraId="76EDEBDA">
      <w:pPr>
        <w:pStyle w:val="16"/>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val="0"/>
          <w:color w:val="auto"/>
          <w:spacing w:val="1"/>
          <w:sz w:val="32"/>
          <w:szCs w:val="32"/>
          <w:highlight w:val="none"/>
          <w:lang w:eastAsia="zh-CN"/>
        </w:rPr>
      </w:pPr>
      <w:r>
        <w:rPr>
          <w:rStyle w:val="11"/>
          <w:rFonts w:hint="eastAsia" w:ascii="仿宋" w:hAnsi="仿宋" w:eastAsia="仿宋" w:cs="仿宋"/>
          <w:b w:val="0"/>
          <w:bCs w:val="0"/>
          <w:i w:val="0"/>
          <w:iCs w:val="0"/>
          <w:smallCaps w:val="0"/>
          <w:strike w:val="0"/>
          <w:sz w:val="32"/>
          <w:szCs w:val="32"/>
          <w:lang w:val="en-US" w:eastAsia="zh-CN"/>
        </w:rPr>
        <w:t>6.</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6"/>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（1）响应文件提交截止时间：2025年12月30日12时；</w:t>
      </w:r>
    </w:p>
    <w:p w14:paraId="523531DB">
      <w:pPr>
        <w:pStyle w:val="16"/>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r>
        <w:rPr>
          <w:rStyle w:val="11"/>
          <w:rFonts w:hint="eastAsia" w:ascii="仿宋" w:hAnsi="仿宋" w:eastAsia="仿宋" w:cs="仿宋"/>
          <w:b w:val="0"/>
          <w:bCs w:val="0"/>
          <w:i w:val="0"/>
          <w:iCs w:val="0"/>
          <w:smallCaps w:val="0"/>
          <w:strike w:val="0"/>
          <w:sz w:val="32"/>
          <w:szCs w:val="32"/>
          <w:lang w:val="en-US" w:eastAsia="zh-CN"/>
        </w:rPr>
        <w:t>（如采取邮寄或其他方式提交响应文件，亦需在截止日期前收到方为有效）</w:t>
      </w:r>
    </w:p>
    <w:p w14:paraId="0759B00F">
      <w:pPr>
        <w:pStyle w:val="16"/>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r>
        <w:rPr>
          <w:rStyle w:val="11"/>
          <w:rFonts w:hint="eastAsia" w:ascii="仿宋" w:hAnsi="仿宋" w:eastAsia="仿宋" w:cs="仿宋"/>
          <w:b w:val="0"/>
          <w:bCs w:val="0"/>
          <w:i w:val="0"/>
          <w:iCs w:val="0"/>
          <w:smallCaps w:val="0"/>
          <w:strike w:val="0"/>
          <w:sz w:val="32"/>
          <w:szCs w:val="32"/>
          <w:lang w:val="en-US" w:eastAsia="zh-CN"/>
        </w:rPr>
        <w:t>。</w:t>
      </w:r>
    </w:p>
    <w:p w14:paraId="670722E5">
      <w:pPr>
        <w:pStyle w:val="16"/>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4FE6EBA8">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640" w:firstLineChars="200"/>
        <w:jc w:val="left"/>
        <w:textAlignment w:val="auto"/>
        <w:rPr>
          <w:rFonts w:hint="default" w:ascii="仿宋" w:hAnsi="仿宋" w:eastAsia="仿宋" w:cs="仿宋"/>
          <w:color w:val="auto"/>
          <w:sz w:val="32"/>
          <w:szCs w:val="32"/>
          <w:lang w:val="en-US" w:eastAsia="zh-CN"/>
        </w:rPr>
      </w:pPr>
      <w:r>
        <w:rPr>
          <w:rStyle w:val="11"/>
          <w:rFonts w:hint="eastAsia" w:ascii="仿宋" w:hAnsi="仿宋" w:eastAsia="仿宋" w:cs="仿宋"/>
          <w:b w:val="0"/>
          <w:bCs w:val="0"/>
          <w:i w:val="0"/>
          <w:iCs w:val="0"/>
          <w:smallCaps w:val="0"/>
          <w:strike w:val="0"/>
          <w:sz w:val="32"/>
          <w:szCs w:val="32"/>
          <w:lang w:val="en-US" w:eastAsia="zh-CN"/>
        </w:rPr>
        <w:t>业务</w:t>
      </w:r>
      <w:r>
        <w:rPr>
          <w:rStyle w:val="11"/>
          <w:rFonts w:hint="eastAsia" w:ascii="仿宋" w:hAnsi="仿宋" w:eastAsia="仿宋" w:cs="仿宋"/>
          <w:b w:val="0"/>
          <w:bCs w:val="0"/>
          <w:i w:val="0"/>
          <w:iCs w:val="0"/>
          <w:smallCaps w:val="0"/>
          <w:strike w:val="0"/>
          <w:sz w:val="32"/>
          <w:szCs w:val="32"/>
        </w:rPr>
        <w:t>联系人：</w:t>
      </w:r>
      <w:r>
        <w:rPr>
          <w:rStyle w:val="11"/>
          <w:rFonts w:hint="eastAsia" w:ascii="仿宋" w:hAnsi="仿宋" w:eastAsia="仿宋" w:cs="仿宋"/>
          <w:b w:val="0"/>
          <w:bCs w:val="0"/>
          <w:i w:val="0"/>
          <w:iCs w:val="0"/>
          <w:smallCaps w:val="0"/>
          <w:strike w:val="0"/>
          <w:sz w:val="32"/>
          <w:szCs w:val="32"/>
          <w:lang w:val="en-US" w:eastAsia="zh-CN"/>
        </w:rPr>
        <w:t>聂琪，联系</w:t>
      </w:r>
      <w:r>
        <w:rPr>
          <w:rStyle w:val="11"/>
          <w:rFonts w:hint="eastAsia" w:ascii="仿宋" w:hAnsi="仿宋" w:eastAsia="仿宋" w:cs="仿宋"/>
          <w:b w:val="0"/>
          <w:bCs w:val="0"/>
          <w:i w:val="0"/>
          <w:iCs w:val="0"/>
          <w:smallCaps w:val="0"/>
          <w:strike w:val="0"/>
          <w:sz w:val="32"/>
          <w:szCs w:val="32"/>
        </w:rPr>
        <w:t>电话：</w:t>
      </w:r>
      <w:r>
        <w:rPr>
          <w:rStyle w:val="11"/>
          <w:rFonts w:hint="eastAsia" w:ascii="仿宋" w:hAnsi="仿宋" w:eastAsia="仿宋" w:cs="仿宋"/>
          <w:b w:val="0"/>
          <w:bCs w:val="0"/>
          <w:i w:val="0"/>
          <w:iCs w:val="0"/>
          <w:smallCaps w:val="0"/>
          <w:strike w:val="0"/>
          <w:sz w:val="32"/>
          <w:szCs w:val="32"/>
          <w:lang w:val="en-US" w:eastAsia="en-US"/>
        </w:rPr>
        <w:t>0914-255</w:t>
      </w:r>
      <w:r>
        <w:rPr>
          <w:rStyle w:val="11"/>
          <w:rFonts w:hint="eastAsia" w:ascii="仿宋" w:hAnsi="仿宋" w:eastAsia="仿宋" w:cs="仿宋"/>
          <w:b w:val="0"/>
          <w:bCs w:val="0"/>
          <w:i w:val="0"/>
          <w:iCs w:val="0"/>
          <w:smallCaps w:val="0"/>
          <w:strike w:val="0"/>
          <w:sz w:val="32"/>
          <w:szCs w:val="32"/>
          <w:lang w:val="en-US" w:eastAsia="zh-CN"/>
        </w:rPr>
        <w:t>1024</w:t>
      </w:r>
    </w:p>
    <w:p w14:paraId="2C9947F2">
      <w:pPr>
        <w:pStyle w:val="16"/>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7053E426">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left="420" w:leftChars="0" w:right="0" w:rightChars="0" w:firstLine="321" w:firstLineChars="100"/>
        <w:jc w:val="left"/>
        <w:textAlignment w:val="auto"/>
        <w:rPr>
          <w:rStyle w:val="11"/>
          <w:rFonts w:hint="default" w:ascii="仿宋" w:hAnsi="仿宋" w:eastAsia="仿宋" w:cs="仿宋"/>
          <w:b/>
          <w:bCs/>
          <w:sz w:val="32"/>
          <w:szCs w:val="32"/>
          <w:lang w:val="en-US" w:eastAsia="zh-CN"/>
        </w:rPr>
      </w:pPr>
      <w:r>
        <w:rPr>
          <w:rStyle w:val="11"/>
          <w:rFonts w:hint="eastAsia" w:ascii="仿宋" w:hAnsi="仿宋" w:eastAsia="仿宋" w:cs="仿宋"/>
          <w:b/>
          <w:bCs/>
          <w:sz w:val="32"/>
          <w:szCs w:val="32"/>
          <w:lang w:val="en-US" w:eastAsia="zh-CN"/>
        </w:rPr>
        <w:t>二、投标人资格要求</w:t>
      </w:r>
    </w:p>
    <w:p w14:paraId="117E3BD6">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1.具备独立法人资格，具有合法有效的营业执照、税务登记证、组织机构代码证、</w:t>
      </w:r>
      <w:r>
        <w:rPr>
          <w:rStyle w:val="11"/>
          <w:rFonts w:hint="eastAsia" w:ascii="仿宋" w:hAnsi="仿宋" w:eastAsia="仿宋" w:cs="仿宋"/>
          <w:sz w:val="32"/>
          <w:szCs w:val="32"/>
        </w:rPr>
        <w:t>劳务外包及劳务派遣资质</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rPr>
        <w:t>在商州区有固定的办公地址和办公人员</w:t>
      </w:r>
      <w:r>
        <w:rPr>
          <w:rStyle w:val="11"/>
          <w:rFonts w:hint="eastAsia" w:ascii="仿宋" w:hAnsi="仿宋" w:eastAsia="仿宋" w:cs="仿宋"/>
          <w:sz w:val="32"/>
          <w:szCs w:val="32"/>
          <w:lang w:eastAsia="zh-CN"/>
        </w:rPr>
        <w:t>；</w:t>
      </w:r>
    </w:p>
    <w:p w14:paraId="471E1EAE">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2.持有有效期内的《劳务派遣经营许可证》及《人力资源服务许可证》；</w:t>
      </w:r>
    </w:p>
    <w:p w14:paraId="0F1DDF03">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3.具有完善的劳务派遣管理制度；</w:t>
      </w:r>
    </w:p>
    <w:p w14:paraId="3AE9D39B">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4.具有良好的信誉和业绩，无重大违法违规记录；</w:t>
      </w:r>
    </w:p>
    <w:p w14:paraId="2AD49E67">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rPr>
      </w:pPr>
      <w:r>
        <w:rPr>
          <w:rStyle w:val="11"/>
          <w:rFonts w:hint="eastAsia" w:ascii="仿宋" w:hAnsi="仿宋" w:eastAsia="仿宋" w:cs="仿宋"/>
          <w:sz w:val="32"/>
          <w:szCs w:val="32"/>
          <w:lang w:val="en-US" w:eastAsia="zh-CN"/>
        </w:rPr>
        <w:t>5.具备一定的规模和实力，</w:t>
      </w:r>
      <w:r>
        <w:rPr>
          <w:rStyle w:val="11"/>
          <w:rFonts w:hint="eastAsia" w:ascii="仿宋" w:hAnsi="仿宋" w:eastAsia="仿宋" w:cs="仿宋"/>
          <w:sz w:val="32"/>
          <w:szCs w:val="32"/>
        </w:rPr>
        <w:t>从事人力资源业务在2年以上</w:t>
      </w:r>
      <w:r>
        <w:rPr>
          <w:rStyle w:val="11"/>
          <w:rFonts w:hint="eastAsia" w:ascii="仿宋" w:hAnsi="仿宋" w:eastAsia="仿宋" w:cs="仿宋"/>
          <w:sz w:val="32"/>
          <w:szCs w:val="32"/>
          <w:lang w:eastAsia="zh-CN"/>
        </w:rPr>
        <w:t>；</w:t>
      </w:r>
      <w:r>
        <w:rPr>
          <w:rStyle w:val="11"/>
          <w:rFonts w:hint="eastAsia" w:ascii="仿宋" w:hAnsi="仿宋" w:eastAsia="仿宋" w:cs="仿宋"/>
          <w:sz w:val="32"/>
          <w:szCs w:val="32"/>
          <w:lang w:val="en-US" w:eastAsia="zh-CN"/>
        </w:rPr>
        <w:t>能够满足实际用工方的人力资源需求，负责与实际用工方接洽的</w:t>
      </w:r>
      <w:r>
        <w:rPr>
          <w:rStyle w:val="11"/>
          <w:rFonts w:hint="eastAsia" w:ascii="仿宋" w:hAnsi="仿宋" w:eastAsia="仿宋" w:cs="仿宋"/>
          <w:sz w:val="32"/>
          <w:szCs w:val="32"/>
        </w:rPr>
        <w:t>业务主办需有</w:t>
      </w:r>
      <w:r>
        <w:rPr>
          <w:rStyle w:val="11"/>
          <w:rFonts w:hint="eastAsia" w:ascii="仿宋" w:hAnsi="仿宋" w:eastAsia="仿宋" w:cs="仿宋"/>
          <w:sz w:val="32"/>
          <w:szCs w:val="32"/>
          <w:lang w:val="en-US" w:eastAsia="zh-CN"/>
        </w:rPr>
        <w:t>3</w:t>
      </w:r>
      <w:r>
        <w:rPr>
          <w:rStyle w:val="11"/>
          <w:rFonts w:hint="eastAsia" w:ascii="仿宋" w:hAnsi="仿宋" w:eastAsia="仿宋" w:cs="仿宋"/>
          <w:sz w:val="32"/>
          <w:szCs w:val="32"/>
        </w:rPr>
        <w:t>年以上人力资源管理从业经验。</w:t>
      </w:r>
    </w:p>
    <w:p w14:paraId="6CE66E36">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left="420" w:leftChars="0" w:right="0" w:rightChars="0" w:firstLine="321" w:firstLineChars="100"/>
        <w:jc w:val="left"/>
        <w:textAlignment w:val="auto"/>
        <w:rPr>
          <w:rStyle w:val="11"/>
          <w:rFonts w:hint="eastAsia" w:ascii="仿宋" w:hAnsi="仿宋" w:eastAsia="仿宋" w:cs="仿宋"/>
          <w:b/>
          <w:bCs/>
          <w:sz w:val="32"/>
          <w:szCs w:val="32"/>
          <w:highlight w:val="none"/>
          <w:lang w:val="en-US" w:eastAsia="zh-CN"/>
        </w:rPr>
      </w:pPr>
      <w:r>
        <w:rPr>
          <w:rStyle w:val="11"/>
          <w:rFonts w:hint="eastAsia" w:ascii="仿宋" w:hAnsi="仿宋" w:eastAsia="仿宋" w:cs="仿宋"/>
          <w:b/>
          <w:bCs/>
          <w:sz w:val="32"/>
          <w:szCs w:val="32"/>
          <w:highlight w:val="none"/>
          <w:lang w:val="en-US" w:eastAsia="zh-CN"/>
        </w:rPr>
        <w:t>三、响应文件要求</w:t>
      </w:r>
    </w:p>
    <w:p w14:paraId="50A5A0CD">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1.响应文件应包括以下内容：</w:t>
      </w:r>
    </w:p>
    <w:p w14:paraId="5963D009">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（1）响应询比采购函：加盖公章，注明供应商名称、法定代表人姓名、联系方式等。</w:t>
      </w:r>
    </w:p>
    <w:p w14:paraId="0C089BEB">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（2）企业法人营业执照副本复印件。</w:t>
      </w:r>
    </w:p>
    <w:p w14:paraId="1199FB86">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（3）税务登记证副本复印件。</w:t>
      </w:r>
    </w:p>
    <w:p w14:paraId="33A1379F">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（4）组织机构代码证副本复印件。</w:t>
      </w:r>
    </w:p>
    <w:p w14:paraId="24F61A08">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（5）劳务派遣管理制度。</w:t>
      </w:r>
    </w:p>
    <w:p w14:paraId="042B2ED1">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（6）公司简介及业绩证明。</w:t>
      </w:r>
    </w:p>
    <w:p w14:paraId="56198E2A">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（7）法定代表人身份证明或授权委托书。</w:t>
      </w:r>
    </w:p>
    <w:p w14:paraId="533B86C9">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（8）其他证明材料。</w:t>
      </w:r>
    </w:p>
    <w:p w14:paraId="26DE26A8">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sz w:val="32"/>
          <w:szCs w:val="32"/>
          <w:lang w:val="en-US" w:eastAsia="zh-CN"/>
        </w:rPr>
        <w:t>2.响应文件应密封，封面注明“[招标项目名称]响应文件”，</w:t>
      </w:r>
      <w:r>
        <w:rPr>
          <w:rStyle w:val="11"/>
          <w:rFonts w:hint="eastAsia" w:ascii="仿宋" w:hAnsi="仿宋" w:eastAsia="仿宋" w:cs="仿宋"/>
          <w:color w:val="auto"/>
          <w:sz w:val="32"/>
          <w:szCs w:val="32"/>
          <w:lang w:val="en-US" w:eastAsia="zh-CN"/>
        </w:rPr>
        <w:t>不得透露响应询比采购单位名称。</w:t>
      </w:r>
    </w:p>
    <w:p w14:paraId="273FA494">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3.响应有效期</w:t>
      </w:r>
    </w:p>
    <w:p w14:paraId="7EE9FA4E">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（1）响应有效期从提交响应文件截止之日起算30天。</w:t>
      </w:r>
    </w:p>
    <w:p w14:paraId="436C12EB">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（2）在响应有效期内，供应商撤销响应文件的，应承担询比采购文件和法律规定的责任。</w:t>
      </w:r>
    </w:p>
    <w:p w14:paraId="32797591">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4.响应保证金</w:t>
      </w:r>
    </w:p>
    <w:p w14:paraId="1281E284">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（1）供应商在递交响应文件的同时，应按规定的响应保证金格式递交响应保证金壹万元，并作为其响应文件的组成部分。</w:t>
      </w:r>
    </w:p>
    <w:p w14:paraId="1CBFB444">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保证金支付账户如下：</w:t>
      </w:r>
    </w:p>
    <w:p w14:paraId="38ACC90B">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收款人：陕西锌业有限公司</w:t>
      </w:r>
    </w:p>
    <w:p w14:paraId="6F63F067">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账号：26805701040010332</w:t>
      </w:r>
    </w:p>
    <w:p w14:paraId="541EC7E6">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开户行：中国农业银行商洛商州区支行</w:t>
      </w:r>
    </w:p>
    <w:p w14:paraId="3075D319">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（2）响应保证金的形式：转账、保函、支票、签订保证金协议等任何一种。供应商以现金或者支票形式提交的响应保证金，应当从其基本账户转出并在响应文件中附上基本账户开户证明。</w:t>
      </w:r>
    </w:p>
    <w:p w14:paraId="6CF2C0DE">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color w:val="auto"/>
          <w:sz w:val="32"/>
          <w:szCs w:val="32"/>
          <w:lang w:val="en-US" w:eastAsia="zh-CN"/>
        </w:rPr>
      </w:pPr>
      <w:r>
        <w:rPr>
          <w:rStyle w:val="11"/>
          <w:rFonts w:hint="eastAsia" w:ascii="仿宋" w:hAnsi="仿宋" w:eastAsia="仿宋" w:cs="仿宋"/>
          <w:color w:val="auto"/>
          <w:sz w:val="32"/>
          <w:szCs w:val="32"/>
          <w:lang w:val="en-US" w:eastAsia="zh-CN"/>
        </w:rPr>
        <w:t>（3）响应保证金必须在响应文件递交截止时间前到达指定账户。以保函形式缴纳保证金其保函须由银行或具有出具保函资格的单位出具，并于响应文件的开启现场递交保函原件，响应文件中附保函复印件。</w:t>
      </w:r>
    </w:p>
    <w:p w14:paraId="403D8950">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left="420" w:leftChars="0" w:right="0" w:rightChars="0" w:firstLine="321" w:firstLineChars="100"/>
        <w:jc w:val="left"/>
        <w:textAlignment w:val="auto"/>
        <w:rPr>
          <w:rStyle w:val="11"/>
          <w:rFonts w:hint="eastAsia" w:ascii="仿宋" w:hAnsi="仿宋" w:eastAsia="仿宋" w:cs="仿宋"/>
          <w:b/>
          <w:bCs/>
          <w:sz w:val="32"/>
          <w:szCs w:val="32"/>
          <w:highlight w:val="none"/>
          <w:lang w:val="en-US" w:eastAsia="zh-CN"/>
        </w:rPr>
      </w:pPr>
      <w:r>
        <w:rPr>
          <w:rStyle w:val="11"/>
          <w:rFonts w:hint="eastAsia" w:ascii="仿宋" w:hAnsi="仿宋" w:eastAsia="仿宋" w:cs="仿宋"/>
          <w:b/>
          <w:bCs/>
          <w:sz w:val="32"/>
          <w:szCs w:val="32"/>
          <w:highlight w:val="none"/>
          <w:lang w:val="en-US" w:eastAsia="zh-CN"/>
        </w:rPr>
        <w:t>四、评标方法和标准</w:t>
      </w:r>
    </w:p>
    <w:p w14:paraId="21624A59">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42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本次评标采用综合评估法。评标委员会对满足招标文件实质性要求的投标文件，按照表中2.1.1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具体细则详见标准表：</w:t>
      </w:r>
    </w:p>
    <w:tbl>
      <w:tblPr>
        <w:tblStyle w:val="9"/>
        <w:tblW w:w="88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045"/>
        <w:gridCol w:w="1260"/>
        <w:gridCol w:w="4459"/>
        <w:gridCol w:w="1285"/>
      </w:tblGrid>
      <w:tr w14:paraId="1E38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21" w:type="dxa"/>
            <w:gridSpan w:val="5"/>
            <w:tcBorders>
              <w:top w:val="nil"/>
              <w:left w:val="nil"/>
              <w:bottom w:val="nil"/>
              <w:right w:val="nil"/>
            </w:tcBorders>
            <w:shd w:val="clear" w:color="auto" w:fill="auto"/>
            <w:noWrap/>
            <w:vAlign w:val="center"/>
          </w:tcPr>
          <w:p w14:paraId="0FFC17B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w w:val="100"/>
                <w:kern w:val="0"/>
                <w:position w:val="0"/>
                <w:sz w:val="28"/>
                <w:szCs w:val="28"/>
                <w:u w:val="none"/>
                <w:shd w:val="clear" w:color="auto" w:fill="auto"/>
                <w:lang w:val="en-US" w:eastAsia="zh-CN" w:bidi="ar"/>
              </w:rPr>
              <w:t>评标方法和标准</w:t>
            </w:r>
          </w:p>
        </w:tc>
      </w:tr>
      <w:tr w14:paraId="48A2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1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13BC7E">
            <w:pPr>
              <w:keepNext w:val="0"/>
              <w:keepLines w:val="0"/>
              <w:widowControl/>
              <w:suppressLineNumbers w:val="0"/>
              <w:ind w:left="0" w:leftChars="0" w:right="0" w:rightChars="0" w:firstLine="0" w:firstLineChars="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条款号</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BEA4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评审因素</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319B0">
            <w:pPr>
              <w:keepNext w:val="0"/>
              <w:keepLines w:val="0"/>
              <w:widowControl/>
              <w:suppressLineNumbers w:val="0"/>
              <w:ind w:left="0" w:leftChars="0" w:right="0" w:rightChars="0" w:firstLine="402"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 xml:space="preserve">评审标准 </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DF150">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p>
        </w:tc>
      </w:tr>
      <w:tr w14:paraId="6BCC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8414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1.1</w:t>
            </w:r>
          </w:p>
        </w:tc>
        <w:tc>
          <w:tcPr>
            <w:tcW w:w="10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123B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资质评审标准</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7C7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营业执照</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93702">
            <w:pPr>
              <w:keepNext w:val="0"/>
              <w:keepLines w:val="0"/>
              <w:widowControl/>
              <w:suppressLineNumbers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t xml:space="preserve">投标人须在中华人民共和国境内注册，能够独立承担民事责任，具有履行合同所必需的服务能力和专业技术能力的法人或其他非法人组织（包括个人独资企业、合伙企业、不具有法人资格的其他专业服务机构等） </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en-US"/>
              </w:rPr>
              <w:t>（</w:t>
            </w: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t>提供有效的营业执照或其他组织登记证明文件的复印件</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en-US"/>
              </w:rPr>
              <w:t>）</w:t>
            </w: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br w:type="textWrapping"/>
            </w: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en-US" w:bidi="en-US"/>
              </w:rPr>
              <w:t>评审依据：营业执照或其他组织登记证明文件的复印件</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60CD4">
            <w:pPr>
              <w:jc w:val="center"/>
              <w:rPr>
                <w:rFonts w:hint="eastAsia" w:ascii="宋体" w:hAnsi="宋体" w:eastAsia="宋体" w:cs="宋体"/>
                <w:b/>
                <w:bCs/>
                <w:i w:val="0"/>
                <w:iCs w:val="0"/>
                <w:color w:val="000000"/>
                <w:sz w:val="20"/>
                <w:szCs w:val="20"/>
                <w:u w:val="none"/>
              </w:rPr>
            </w:pPr>
          </w:p>
        </w:tc>
      </w:tr>
      <w:tr w14:paraId="34D3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6ED7CD">
            <w:pPr>
              <w:jc w:val="center"/>
              <w:rPr>
                <w:rFonts w:hint="eastAsia" w:ascii="宋体" w:hAnsi="宋体" w:eastAsia="宋体" w:cs="宋体"/>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3C7493">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908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基础资质合规性</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29C9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t xml:space="preserve">投标人须具备行业行政主管部门颁发的《人力资源服务许可证》                    </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en-US"/>
              </w:rPr>
              <w:t xml:space="preserve">           </w:t>
            </w:r>
          </w:p>
          <w:p w14:paraId="61AF147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en-US" w:bidi="en-US"/>
              </w:rPr>
              <w:t>评审依据：《人力资源服务许可证》复印件</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F148C">
            <w:pPr>
              <w:jc w:val="center"/>
              <w:rPr>
                <w:rFonts w:hint="eastAsia" w:ascii="宋体" w:hAnsi="宋体" w:eastAsia="宋体" w:cs="宋体"/>
                <w:i w:val="0"/>
                <w:iCs w:val="0"/>
                <w:color w:val="000000"/>
                <w:sz w:val="20"/>
                <w:szCs w:val="20"/>
                <w:u w:val="none"/>
              </w:rPr>
            </w:pPr>
          </w:p>
        </w:tc>
      </w:tr>
      <w:tr w14:paraId="4C14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6F52CE">
            <w:pPr>
              <w:jc w:val="center"/>
              <w:rPr>
                <w:rFonts w:hint="eastAsia" w:ascii="宋体" w:hAnsi="宋体" w:eastAsia="宋体" w:cs="宋体"/>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4E27DE">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309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税收和社会保障资金</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B7B7E">
            <w:pPr>
              <w:keepNext w:val="0"/>
              <w:keepLines w:val="0"/>
              <w:widowControl/>
              <w:suppressLineNumbers w:val="0"/>
              <w:ind w:left="0" w:leftChars="0" w:right="0" w:rightChars="0" w:firstLine="0" w:firstLineChars="0"/>
              <w:jc w:val="left"/>
              <w:textAlignment w:val="center"/>
              <w:rPr>
                <w:rFonts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t>有依法缴纳税收和社会保障资金的良好记录，在投标文件中提供企业2025年以来任意三个月依法缴纳税收（增值税、企业所得税）和缴纳社会保障资金的证明材料（依</w:t>
            </w: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t>法免（缓）税或不需要缴纳社会保障资金的，提供相关证明文件）；</w:t>
            </w: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br w:type="textWrapping"/>
            </w: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en-US" w:bidi="en-US"/>
              </w:rPr>
              <w:t>评审依据：纳税缴纳凭</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C3A7FC">
            <w:pPr>
              <w:jc w:val="center"/>
              <w:rPr>
                <w:rFonts w:hint="eastAsia" w:ascii="等线" w:hAnsi="等线" w:eastAsia="等线" w:cs="等线"/>
                <w:i w:val="0"/>
                <w:iCs w:val="0"/>
                <w:color w:val="000000"/>
                <w:sz w:val="20"/>
                <w:szCs w:val="20"/>
                <w:u w:val="none"/>
              </w:rPr>
            </w:pPr>
          </w:p>
        </w:tc>
      </w:tr>
      <w:tr w14:paraId="0272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94D132">
            <w:pPr>
              <w:jc w:val="center"/>
              <w:rPr>
                <w:rFonts w:hint="eastAsia" w:ascii="宋体" w:hAnsi="宋体" w:eastAsia="宋体" w:cs="宋体"/>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38A32F">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AF0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无违法违规记录</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6F229">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t>参加本次采购活动前三年内，在经营活动中没有违法违规记录（提供投标人自递交响应文件截至目前三年内，成立不足三年的从成立之日起算，在经营活动中没有重大违法犯罪记录的书面声明）</w:t>
            </w:r>
            <w:r>
              <w:rPr>
                <w:rFonts w:hint="eastAsia" w:ascii="宋体" w:hAnsi="宋体" w:eastAsia="宋体" w:cs="宋体"/>
                <w:i w:val="0"/>
                <w:iCs w:val="0"/>
                <w:color w:val="000000"/>
                <w:spacing w:val="0"/>
                <w:w w:val="100"/>
                <w:kern w:val="0"/>
                <w:position w:val="0"/>
                <w:sz w:val="20"/>
                <w:szCs w:val="20"/>
                <w:u w:val="none"/>
                <w:shd w:val="clear" w:color="auto" w:fill="auto"/>
                <w:lang w:val="en-US" w:eastAsia="en-US" w:bidi="en-US"/>
              </w:rPr>
              <w:br w:type="textWrapping"/>
            </w: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en-US" w:bidi="en-US"/>
              </w:rPr>
              <w:t>评审依据：书面声明</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CB9DDB">
            <w:pPr>
              <w:jc w:val="center"/>
              <w:rPr>
                <w:rFonts w:hint="eastAsia" w:ascii="等线" w:hAnsi="等线" w:eastAsia="等线" w:cs="等线"/>
                <w:i w:val="0"/>
                <w:iCs w:val="0"/>
                <w:color w:val="000000"/>
                <w:sz w:val="20"/>
                <w:szCs w:val="20"/>
                <w:u w:val="none"/>
              </w:rPr>
            </w:pPr>
          </w:p>
        </w:tc>
      </w:tr>
      <w:tr w14:paraId="319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9C607C">
            <w:pPr>
              <w:jc w:val="center"/>
              <w:rPr>
                <w:rFonts w:hint="eastAsia" w:ascii="等线" w:hAnsi="等线" w:eastAsia="等线" w:cs="等线"/>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A9B75D">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7D5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信用记录</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09296">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供应商参加本次采购活动3年内，在经营活动中没有重大违法记录以及未被列入失信被执行人、重大税收违法案件当事人名单、政府采购严重违法失信行为记录名单的书面声明；截止至响应文件递交截止时间之前，供应商未在“信用中国”网站（www.creditchina.gov.cn）中被列入经营异常名录、重大税收违法失信主体，未在“中国执行信息公开网”中被列入失信被执行人名单，不得被列入“中国政府采购网（www.ccgp.gov.cn）” 政府采购严重违法失信行为记录名单。</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711B7">
            <w:pPr>
              <w:jc w:val="center"/>
              <w:rPr>
                <w:rFonts w:hint="eastAsia" w:ascii="等线" w:hAnsi="等线" w:eastAsia="等线" w:cs="等线"/>
                <w:i w:val="0"/>
                <w:iCs w:val="0"/>
                <w:color w:val="000000"/>
                <w:sz w:val="20"/>
                <w:szCs w:val="20"/>
                <w:u w:val="none"/>
              </w:rPr>
            </w:pPr>
          </w:p>
        </w:tc>
      </w:tr>
      <w:tr w14:paraId="3B3C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BD364">
            <w:pPr>
              <w:jc w:val="center"/>
              <w:rPr>
                <w:rFonts w:hint="eastAsia" w:ascii="等线" w:hAnsi="等线" w:eastAsia="等线" w:cs="等线"/>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1F222F">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727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关联关系</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A0A3C">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提供直接控股和管理关系清单。若与其他 </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供应商存在单位负责人为同一人或者存在直接控股、管理关系的，则响应无效。</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6A8F30">
            <w:pPr>
              <w:jc w:val="center"/>
              <w:rPr>
                <w:rFonts w:hint="eastAsia" w:ascii="等线" w:hAnsi="等线" w:eastAsia="等线" w:cs="等线"/>
                <w:i w:val="0"/>
                <w:iCs w:val="0"/>
                <w:color w:val="000000"/>
                <w:sz w:val="20"/>
                <w:szCs w:val="20"/>
                <w:u w:val="none"/>
              </w:rPr>
            </w:pPr>
          </w:p>
        </w:tc>
      </w:tr>
      <w:tr w14:paraId="70A6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9F6868">
            <w:pPr>
              <w:jc w:val="center"/>
              <w:rPr>
                <w:rFonts w:hint="eastAsia" w:ascii="等线" w:hAnsi="等线" w:eastAsia="等线" w:cs="等线"/>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FDF655">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DA7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书面声明</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7805E">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提供书面声明，包括供应商具备履行合同所必需的设备和专业技术能力的证明</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7C473C">
            <w:pPr>
              <w:jc w:val="center"/>
              <w:rPr>
                <w:rFonts w:hint="eastAsia" w:ascii="等线" w:hAnsi="等线" w:eastAsia="等线" w:cs="等线"/>
                <w:i w:val="0"/>
                <w:iCs w:val="0"/>
                <w:color w:val="000000"/>
                <w:sz w:val="20"/>
                <w:szCs w:val="20"/>
                <w:u w:val="none"/>
              </w:rPr>
            </w:pPr>
          </w:p>
        </w:tc>
      </w:tr>
      <w:tr w14:paraId="4057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078C3B">
            <w:pPr>
              <w:jc w:val="center"/>
              <w:rPr>
                <w:rFonts w:hint="eastAsia" w:ascii="等线" w:hAnsi="等线" w:eastAsia="等线" w:cs="等线"/>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5072D1">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7DC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法定代表人授权委托书</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C1982">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法定代表人（单位负责人）参加响应的，提供法定代表人（单位负责人）身份证明及身份证复印件；法定代表人（单位负责人）授权他人参加响应的，提供法定代表人委托授权书及被授权代表的身份证复印件</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E3BC0">
            <w:pPr>
              <w:jc w:val="center"/>
              <w:rPr>
                <w:rFonts w:hint="eastAsia" w:ascii="等线" w:hAnsi="等线" w:eastAsia="等线" w:cs="等线"/>
                <w:i w:val="0"/>
                <w:iCs w:val="0"/>
                <w:color w:val="000000"/>
                <w:sz w:val="20"/>
                <w:szCs w:val="20"/>
                <w:u w:val="none"/>
              </w:rPr>
            </w:pPr>
          </w:p>
        </w:tc>
      </w:tr>
      <w:tr w14:paraId="0260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E7D42D">
            <w:pPr>
              <w:jc w:val="center"/>
              <w:rPr>
                <w:rFonts w:hint="eastAsia" w:ascii="等线" w:hAnsi="等线" w:eastAsia="等线" w:cs="等线"/>
                <w:i w:val="0"/>
                <w:iCs w:val="0"/>
                <w:color w:val="000000"/>
                <w:sz w:val="20"/>
                <w:szCs w:val="20"/>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4871B8">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505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本项目不接受联合体响应，不允许分包</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78F1D">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供应商应提供《非联合体不分包响应声明》，视为独立响应，不分包。</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14E139">
            <w:pPr>
              <w:jc w:val="center"/>
              <w:rPr>
                <w:rFonts w:hint="eastAsia" w:ascii="等线" w:hAnsi="等线" w:eastAsia="等线" w:cs="等线"/>
                <w:i w:val="0"/>
                <w:iCs w:val="0"/>
                <w:color w:val="000000"/>
                <w:sz w:val="20"/>
                <w:szCs w:val="20"/>
                <w:u w:val="none"/>
              </w:rPr>
            </w:pPr>
          </w:p>
        </w:tc>
      </w:tr>
      <w:tr w14:paraId="56BF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33F043">
            <w:pPr>
              <w:keepNext w:val="0"/>
              <w:keepLines w:val="0"/>
              <w:widowControl/>
              <w:suppressLineNumbers w:val="0"/>
              <w:ind w:left="0" w:leftChars="0" w:right="0" w:rightChars="0" w:firstLine="0" w:firstLineChars="0"/>
              <w:jc w:val="center"/>
              <w:textAlignment w:val="center"/>
              <w:rPr>
                <w:rFonts w:hint="default" w:ascii="等线" w:hAnsi="等线" w:eastAsia="等线" w:cs="等线"/>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2.1</w:t>
            </w:r>
          </w:p>
        </w:tc>
        <w:tc>
          <w:tcPr>
            <w:tcW w:w="230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C8B6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分值构成</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总分（100分）</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11BF1">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商务部分50分；技术部分50分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39130">
            <w:pPr>
              <w:jc w:val="center"/>
              <w:rPr>
                <w:rFonts w:hint="eastAsia" w:ascii="等线" w:hAnsi="等线" w:eastAsia="等线" w:cs="等线"/>
                <w:i w:val="0"/>
                <w:iCs w:val="0"/>
                <w:color w:val="000000"/>
                <w:sz w:val="20"/>
                <w:szCs w:val="20"/>
                <w:u w:val="none"/>
                <w:lang w:val="en-US" w:eastAsia="zh-CN"/>
              </w:rPr>
            </w:pPr>
          </w:p>
        </w:tc>
      </w:tr>
      <w:tr w14:paraId="385E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1BEE26">
            <w:pPr>
              <w:jc w:val="center"/>
              <w:rPr>
                <w:rFonts w:hint="eastAsia" w:ascii="等线" w:hAnsi="等线" w:eastAsia="等线" w:cs="等线"/>
                <w:i w:val="0"/>
                <w:iCs w:val="0"/>
                <w:color w:val="000000"/>
                <w:sz w:val="20"/>
                <w:szCs w:val="20"/>
                <w:u w:val="none"/>
              </w:rPr>
            </w:pPr>
          </w:p>
        </w:tc>
        <w:tc>
          <w:tcPr>
            <w:tcW w:w="230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9BF1A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投标报价</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136A8">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1.投标人根据市场行情自主报价。</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投标报价以人民币填报，需列明报价明细（应包含薪酬核算、社保办理、残保金、纠纷处理等服务成本及税费）。由于报价填报不完整、不清楚或存在其它任何失误，所导致的任何不利后果均应当由投标人自行承担。</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 xml:space="preserve">3.投标报价的次数：1次，不接受选择性报价和附有条件的报价，且报价是一次性的，否则其投标无效。                                  </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6F7BF4">
            <w:pPr>
              <w:rPr>
                <w:rFonts w:hint="eastAsia" w:ascii="等线" w:hAnsi="等线" w:eastAsia="等线" w:cs="等线"/>
                <w:i w:val="0"/>
                <w:iCs w:val="0"/>
                <w:color w:val="000000"/>
                <w:sz w:val="20"/>
                <w:szCs w:val="20"/>
                <w:u w:val="none"/>
              </w:rPr>
            </w:pPr>
          </w:p>
        </w:tc>
      </w:tr>
      <w:tr w14:paraId="5E91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B5EB3">
            <w:pPr>
              <w:jc w:val="center"/>
              <w:rPr>
                <w:rFonts w:hint="eastAsia" w:ascii="等线" w:hAnsi="等线" w:eastAsia="等线" w:cs="等线"/>
                <w:i w:val="0"/>
                <w:iCs w:val="0"/>
                <w:color w:val="FF0000"/>
                <w:sz w:val="20"/>
                <w:szCs w:val="20"/>
                <w:u w:val="none"/>
              </w:rPr>
            </w:pPr>
          </w:p>
        </w:tc>
        <w:tc>
          <w:tcPr>
            <w:tcW w:w="230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334F1">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最高限价</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（均为含税价）</w:t>
            </w:r>
          </w:p>
        </w:tc>
        <w:tc>
          <w:tcPr>
            <w:tcW w:w="44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846763">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劳务派遣管理费单价最高限价：108元/人/月（含税）</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959F69">
            <w:pPr>
              <w:rPr>
                <w:rFonts w:hint="eastAsia" w:ascii="等线" w:hAnsi="等线" w:eastAsia="等线" w:cs="等线"/>
                <w:i w:val="0"/>
                <w:iCs w:val="0"/>
                <w:color w:val="000000"/>
                <w:sz w:val="20"/>
                <w:szCs w:val="20"/>
                <w:u w:val="none"/>
              </w:rPr>
            </w:pPr>
          </w:p>
        </w:tc>
      </w:tr>
      <w:tr w14:paraId="5EFB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EC0C17">
            <w:pPr>
              <w:keepNext w:val="0"/>
              <w:keepLines w:val="0"/>
              <w:widowControl/>
              <w:suppressLineNumbers w:val="0"/>
              <w:ind w:left="0" w:leftChars="0" w:right="0" w:rightChars="0" w:firstLine="0" w:firstLineChars="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2.1.1</w:t>
            </w:r>
          </w:p>
        </w:tc>
        <w:tc>
          <w:tcPr>
            <w:tcW w:w="10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490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商务部分（50分）</w:t>
            </w: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11A1A">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价格报价</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A1D8E">
            <w:pPr>
              <w:keepNext w:val="0"/>
              <w:keepLines w:val="0"/>
              <w:widowControl/>
              <w:suppressLineNumbers w:val="0"/>
              <w:ind w:left="0" w:leftChars="0" w:right="0" w:rightChars="0" w:firstLine="0" w:firstLineChars="0"/>
              <w:jc w:val="left"/>
              <w:textAlignment w:val="center"/>
              <w:rPr>
                <w:rFonts w:hint="default" w:ascii="等线" w:hAnsi="等线" w:eastAsia="等线" w:cs="等线"/>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报价在50-80区间得46—50分，在81-100区间得41—45分，在101-108区间得36—40分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FDE50F">
            <w:pPr>
              <w:keepNext w:val="0"/>
              <w:keepLines w:val="0"/>
              <w:widowControl/>
              <w:suppressLineNumbers w:val="0"/>
              <w:ind w:left="0" w:leftChars="0" w:right="0" w:rightChars="0" w:firstLine="0" w:firstLineChars="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50</w:t>
            </w:r>
          </w:p>
        </w:tc>
      </w:tr>
      <w:tr w14:paraId="36AA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72" w:type="dxa"/>
            <w:vMerge w:val="restart"/>
            <w:tcBorders>
              <w:top w:val="single" w:color="000000" w:sz="8" w:space="0"/>
              <w:left w:val="single" w:color="000000" w:sz="8" w:space="0"/>
              <w:right w:val="single" w:color="000000" w:sz="8" w:space="0"/>
            </w:tcBorders>
            <w:shd w:val="clear" w:color="auto" w:fill="auto"/>
            <w:noWrap/>
            <w:vAlign w:val="center"/>
          </w:tcPr>
          <w:p w14:paraId="3134BC1F">
            <w:pPr>
              <w:keepNext w:val="0"/>
              <w:keepLines w:val="0"/>
              <w:widowControl/>
              <w:suppressLineNumbers w:val="0"/>
              <w:ind w:left="0" w:leftChars="0" w:right="0" w:rightChars="0" w:firstLine="0" w:firstLineChars="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2.1.2</w:t>
            </w:r>
          </w:p>
        </w:tc>
        <w:tc>
          <w:tcPr>
            <w:tcW w:w="1045" w:type="dxa"/>
            <w:vMerge w:val="restart"/>
            <w:tcBorders>
              <w:top w:val="single" w:color="000000" w:sz="8" w:space="0"/>
              <w:left w:val="single" w:color="000000" w:sz="8" w:space="0"/>
              <w:right w:val="single" w:color="000000" w:sz="8" w:space="0"/>
            </w:tcBorders>
            <w:shd w:val="clear" w:color="auto" w:fill="auto"/>
            <w:vAlign w:val="center"/>
          </w:tcPr>
          <w:p w14:paraId="0D2055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技术服务（50分）</w:t>
            </w:r>
          </w:p>
        </w:tc>
        <w:tc>
          <w:tcPr>
            <w:tcW w:w="1260" w:type="dxa"/>
            <w:tcBorders>
              <w:top w:val="single" w:color="000000" w:sz="8" w:space="0"/>
              <w:left w:val="single" w:color="000000" w:sz="8" w:space="0"/>
              <w:right w:val="single" w:color="000000" w:sz="8" w:space="0"/>
            </w:tcBorders>
            <w:shd w:val="clear" w:color="auto" w:fill="auto"/>
            <w:vAlign w:val="center"/>
          </w:tcPr>
          <w:p w14:paraId="5AF41BED">
            <w:pPr>
              <w:keepNext w:val="0"/>
              <w:keepLines w:val="0"/>
              <w:widowControl/>
              <w:suppressLineNumbers w:val="0"/>
              <w:ind w:left="0" w:leftChars="0" w:right="0" w:rightChars="0" w:firstLine="0" w:firstLineChars="0"/>
              <w:jc w:val="center"/>
              <w:textAlignment w:val="cente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服务方案完整性</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B708C">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招聘渠道、人员培训、薪酬社保管理、档案管理、工作流程等方案全面且贴合公司需求的得8—10分；基本满足需求的得5—7分；方案简略的得1—4分；未提供不得分。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6C08A">
            <w:pPr>
              <w:keepNext w:val="0"/>
              <w:keepLines w:val="0"/>
              <w:widowControl/>
              <w:suppressLineNumbers w:val="0"/>
              <w:ind w:left="0" w:leftChars="0" w:right="0" w:rightChars="0" w:firstLine="0" w:firstLineChars="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10</w:t>
            </w:r>
          </w:p>
        </w:tc>
      </w:tr>
      <w:tr w14:paraId="7A0F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2" w:type="dxa"/>
            <w:vMerge w:val="continue"/>
            <w:tcBorders>
              <w:left w:val="single" w:color="000000" w:sz="8" w:space="0"/>
              <w:right w:val="single" w:color="000000" w:sz="8" w:space="0"/>
            </w:tcBorders>
            <w:shd w:val="clear" w:color="auto" w:fill="auto"/>
            <w:noWrap/>
            <w:vAlign w:val="center"/>
          </w:tcPr>
          <w:p w14:paraId="639604A2">
            <w:pPr>
              <w:jc w:val="center"/>
              <w:rPr>
                <w:rFonts w:hint="eastAsia" w:ascii="等线" w:hAnsi="等线" w:eastAsia="等线" w:cs="等线"/>
                <w:i w:val="0"/>
                <w:iCs w:val="0"/>
                <w:color w:val="000000"/>
                <w:sz w:val="20"/>
                <w:szCs w:val="20"/>
                <w:u w:val="none"/>
              </w:rPr>
            </w:pPr>
          </w:p>
        </w:tc>
        <w:tc>
          <w:tcPr>
            <w:tcW w:w="1045" w:type="dxa"/>
            <w:vMerge w:val="continue"/>
            <w:tcBorders>
              <w:left w:val="single" w:color="000000" w:sz="8" w:space="0"/>
              <w:right w:val="single" w:color="000000" w:sz="8" w:space="0"/>
            </w:tcBorders>
            <w:shd w:val="clear" w:color="auto" w:fill="auto"/>
            <w:vAlign w:val="center"/>
          </w:tcPr>
          <w:p w14:paraId="3D91CBE6">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430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响应与灵活调整能力</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283B6">
            <w:pPr>
              <w:keepNext w:val="0"/>
              <w:keepLines w:val="0"/>
              <w:widowControl/>
              <w:suppressLineNumbers w:val="0"/>
              <w:ind w:left="0" w:leftChars="0" w:right="0" w:rightChars="0" w:firstLine="0" w:firstLineChars="0"/>
              <w:jc w:val="left"/>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承诺2小时内响应需求、48小时内完成人员增补或调整的得8—10分；响应时间3～4小时、调整周期3—5天的得5—7分；响应超时的得1—4分。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A56CE9">
            <w:pPr>
              <w:keepNext w:val="0"/>
              <w:keepLines w:val="0"/>
              <w:widowControl/>
              <w:suppressLineNumbers w:val="0"/>
              <w:ind w:left="0" w:leftChars="0" w:right="0" w:rightChars="0" w:firstLine="0" w:firstLineChars="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10</w:t>
            </w:r>
          </w:p>
        </w:tc>
      </w:tr>
      <w:tr w14:paraId="73CA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2" w:type="dxa"/>
            <w:vMerge w:val="continue"/>
            <w:tcBorders>
              <w:left w:val="single" w:color="000000" w:sz="8" w:space="0"/>
              <w:right w:val="single" w:color="000000" w:sz="8" w:space="0"/>
            </w:tcBorders>
            <w:shd w:val="clear" w:color="auto" w:fill="auto"/>
            <w:noWrap/>
            <w:vAlign w:val="center"/>
          </w:tcPr>
          <w:p w14:paraId="24A6E5A7">
            <w:pPr>
              <w:jc w:val="center"/>
              <w:rPr>
                <w:rFonts w:hint="eastAsia" w:ascii="等线" w:hAnsi="等线" w:eastAsia="等线" w:cs="等线"/>
                <w:i w:val="0"/>
                <w:iCs w:val="0"/>
                <w:color w:val="000000"/>
                <w:sz w:val="20"/>
                <w:szCs w:val="20"/>
                <w:u w:val="none"/>
              </w:rPr>
            </w:pPr>
          </w:p>
        </w:tc>
        <w:tc>
          <w:tcPr>
            <w:tcW w:w="1045" w:type="dxa"/>
            <w:vMerge w:val="continue"/>
            <w:tcBorders>
              <w:left w:val="single" w:color="000000" w:sz="8" w:space="0"/>
              <w:right w:val="single" w:color="000000" w:sz="8" w:space="0"/>
            </w:tcBorders>
            <w:shd w:val="clear" w:color="auto" w:fill="auto"/>
            <w:vAlign w:val="center"/>
          </w:tcPr>
          <w:p w14:paraId="262D1883">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4E3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类似项目业绩</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68E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2023年1月1日至今，完成机关事业单位或同行业劳务派遣项目的，每个得1分，最高4分（在投标人响应文件中提供合同关键页复印件加盖投标人公章）</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2B88D6">
            <w:pPr>
              <w:keepNext w:val="0"/>
              <w:keepLines w:val="0"/>
              <w:widowControl/>
              <w:suppressLineNumbers w:val="0"/>
              <w:ind w:left="0" w:leftChars="0" w:right="0" w:rightChars="0" w:firstLine="0" w:firstLineChars="0"/>
              <w:jc w:val="center"/>
              <w:textAlignment w:val="center"/>
              <w:rPr>
                <w:rFonts w:hint="default" w:ascii="等线" w:hAnsi="等线" w:eastAsia="等线" w:cs="等线"/>
                <w:i w:val="0"/>
                <w:iCs w:val="0"/>
                <w:color w:val="000000"/>
                <w:spacing w:val="0"/>
                <w:w w:val="100"/>
                <w:kern w:val="0"/>
                <w:position w:val="0"/>
                <w:sz w:val="20"/>
                <w:szCs w:val="20"/>
                <w:u w:val="none"/>
                <w:shd w:val="clear" w:color="auto" w:fill="auto"/>
                <w:lang w:val="en-US" w:eastAsia="zh-CN" w:bidi="ar"/>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4</w:t>
            </w:r>
          </w:p>
        </w:tc>
      </w:tr>
      <w:tr w14:paraId="39AC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2" w:type="dxa"/>
            <w:vMerge w:val="continue"/>
            <w:tcBorders>
              <w:left w:val="single" w:color="000000" w:sz="8" w:space="0"/>
              <w:right w:val="single" w:color="000000" w:sz="8" w:space="0"/>
            </w:tcBorders>
            <w:shd w:val="clear" w:color="auto" w:fill="auto"/>
            <w:noWrap/>
            <w:vAlign w:val="center"/>
          </w:tcPr>
          <w:p w14:paraId="548BCC1D">
            <w:pPr>
              <w:jc w:val="center"/>
              <w:rPr>
                <w:rFonts w:hint="eastAsia" w:ascii="等线" w:hAnsi="等线" w:eastAsia="等线" w:cs="等线"/>
                <w:i w:val="0"/>
                <w:iCs w:val="0"/>
                <w:color w:val="000000"/>
                <w:sz w:val="20"/>
                <w:szCs w:val="20"/>
                <w:u w:val="none"/>
              </w:rPr>
            </w:pPr>
          </w:p>
        </w:tc>
        <w:tc>
          <w:tcPr>
            <w:tcW w:w="1045" w:type="dxa"/>
            <w:vMerge w:val="continue"/>
            <w:tcBorders>
              <w:left w:val="single" w:color="000000" w:sz="8" w:space="0"/>
              <w:right w:val="single" w:color="000000" w:sz="8" w:space="0"/>
            </w:tcBorders>
            <w:shd w:val="clear" w:color="auto" w:fill="auto"/>
            <w:vAlign w:val="center"/>
          </w:tcPr>
          <w:p w14:paraId="4C9F524E">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709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团队专业配置</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35F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拟派团队中持人力资源管理师证书的，一级/二级每人得3分，三级/四级每人得1分，最高6分（需提供社保缴费证明）。</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B044E">
            <w:pPr>
              <w:keepNext w:val="0"/>
              <w:keepLines w:val="0"/>
              <w:widowControl/>
              <w:suppressLineNumbers w:val="0"/>
              <w:ind w:left="0" w:leftChars="0" w:right="0" w:rightChars="0" w:firstLine="0" w:firstLineChars="0"/>
              <w:jc w:val="center"/>
              <w:textAlignment w:val="center"/>
              <w:rPr>
                <w:rFonts w:hint="default" w:ascii="等线" w:hAnsi="等线" w:eastAsia="等线" w:cs="等线"/>
                <w:i w:val="0"/>
                <w:iCs w:val="0"/>
                <w:color w:val="000000"/>
                <w:spacing w:val="0"/>
                <w:w w:val="100"/>
                <w:kern w:val="0"/>
                <w:position w:val="0"/>
                <w:sz w:val="20"/>
                <w:szCs w:val="20"/>
                <w:u w:val="none"/>
                <w:shd w:val="clear" w:color="auto" w:fill="auto"/>
                <w:lang w:val="en-US" w:eastAsia="zh-CN" w:bidi="ar"/>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6</w:t>
            </w:r>
          </w:p>
        </w:tc>
      </w:tr>
      <w:tr w14:paraId="418A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2" w:type="dxa"/>
            <w:vMerge w:val="continue"/>
            <w:tcBorders>
              <w:left w:val="single" w:color="000000" w:sz="8" w:space="0"/>
              <w:right w:val="single" w:color="000000" w:sz="8" w:space="0"/>
            </w:tcBorders>
            <w:shd w:val="clear" w:color="auto" w:fill="auto"/>
            <w:noWrap/>
            <w:vAlign w:val="center"/>
          </w:tcPr>
          <w:p w14:paraId="3AD0A2BB">
            <w:pPr>
              <w:jc w:val="center"/>
              <w:rPr>
                <w:rFonts w:hint="eastAsia" w:ascii="等线" w:hAnsi="等线" w:eastAsia="等线" w:cs="等线"/>
                <w:i w:val="0"/>
                <w:iCs w:val="0"/>
                <w:color w:val="000000"/>
                <w:sz w:val="20"/>
                <w:szCs w:val="20"/>
                <w:u w:val="none"/>
              </w:rPr>
            </w:pPr>
          </w:p>
        </w:tc>
        <w:tc>
          <w:tcPr>
            <w:tcW w:w="1045" w:type="dxa"/>
            <w:vMerge w:val="continue"/>
            <w:tcBorders>
              <w:left w:val="single" w:color="000000" w:sz="8" w:space="0"/>
              <w:right w:val="single" w:color="000000" w:sz="8" w:space="0"/>
            </w:tcBorders>
            <w:shd w:val="clear" w:color="auto" w:fill="auto"/>
            <w:vAlign w:val="center"/>
          </w:tcPr>
          <w:p w14:paraId="0A3A518D">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9A6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应急与投诉处理</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228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具备劳务纠纷、工伤事故等应急预案及演练记录，且投诉处理及时率≥90%、满意度≥80%的得8—10分；有预案无演练或指标达标但有瑕疵的得4—7分；无预案的不得分。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7D0EE7">
            <w:pPr>
              <w:keepNext w:val="0"/>
              <w:keepLines w:val="0"/>
              <w:widowControl/>
              <w:suppressLineNumbers w:val="0"/>
              <w:ind w:left="0" w:leftChars="0" w:right="0" w:rightChars="0" w:firstLine="0" w:firstLineChars="0"/>
              <w:jc w:val="center"/>
              <w:textAlignment w:val="center"/>
              <w:rPr>
                <w:rFonts w:hint="default" w:ascii="等线" w:hAnsi="等线" w:eastAsia="等线" w:cs="等线"/>
                <w:i w:val="0"/>
                <w:iCs w:val="0"/>
                <w:color w:val="000000"/>
                <w:spacing w:val="0"/>
                <w:w w:val="100"/>
                <w:kern w:val="0"/>
                <w:position w:val="0"/>
                <w:sz w:val="20"/>
                <w:szCs w:val="20"/>
                <w:u w:val="none"/>
                <w:shd w:val="clear" w:color="auto" w:fill="auto"/>
                <w:lang w:val="en-US" w:eastAsia="zh-CN" w:bidi="ar"/>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10</w:t>
            </w:r>
          </w:p>
        </w:tc>
      </w:tr>
      <w:tr w14:paraId="591B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2" w:type="dxa"/>
            <w:vMerge w:val="continue"/>
            <w:tcBorders>
              <w:left w:val="single" w:color="000000" w:sz="8" w:space="0"/>
              <w:right w:val="single" w:color="000000" w:sz="8" w:space="0"/>
            </w:tcBorders>
            <w:shd w:val="clear" w:color="auto" w:fill="auto"/>
            <w:noWrap/>
            <w:vAlign w:val="center"/>
          </w:tcPr>
          <w:p w14:paraId="43C3E049">
            <w:pPr>
              <w:jc w:val="center"/>
              <w:rPr>
                <w:rFonts w:hint="eastAsia" w:ascii="等线" w:hAnsi="等线" w:eastAsia="等线" w:cs="等线"/>
                <w:i w:val="0"/>
                <w:iCs w:val="0"/>
                <w:color w:val="000000"/>
                <w:sz w:val="20"/>
                <w:szCs w:val="20"/>
                <w:u w:val="none"/>
              </w:rPr>
            </w:pPr>
          </w:p>
        </w:tc>
        <w:tc>
          <w:tcPr>
            <w:tcW w:w="1045" w:type="dxa"/>
            <w:vMerge w:val="continue"/>
            <w:tcBorders>
              <w:left w:val="single" w:color="000000" w:sz="8" w:space="0"/>
              <w:right w:val="single" w:color="000000" w:sz="8" w:space="0"/>
            </w:tcBorders>
            <w:shd w:val="clear" w:color="auto" w:fill="auto"/>
            <w:vAlign w:val="center"/>
          </w:tcPr>
          <w:p w14:paraId="3CD4895D">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D07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服务质量保障</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A8B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人员派遣准确率≥95%、社保参保率100%的得3分；提供创新性服务举措（如数字化管理平台）的得1分；定期提交服务报告且信息透明的得1分。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0C662D">
            <w:pPr>
              <w:keepNext w:val="0"/>
              <w:keepLines w:val="0"/>
              <w:widowControl/>
              <w:suppressLineNumbers w:val="0"/>
              <w:ind w:left="0" w:leftChars="0" w:right="0" w:rightChars="0" w:firstLine="0" w:firstLineChars="0"/>
              <w:jc w:val="center"/>
              <w:textAlignment w:val="center"/>
              <w:rPr>
                <w:rFonts w:hint="default" w:ascii="等线" w:hAnsi="等线" w:eastAsia="等线" w:cs="等线"/>
                <w:i w:val="0"/>
                <w:iCs w:val="0"/>
                <w:color w:val="000000"/>
                <w:spacing w:val="0"/>
                <w:w w:val="100"/>
                <w:kern w:val="0"/>
                <w:position w:val="0"/>
                <w:sz w:val="20"/>
                <w:szCs w:val="20"/>
                <w:u w:val="none"/>
                <w:shd w:val="clear" w:color="auto" w:fill="auto"/>
                <w:lang w:val="en-US" w:eastAsia="zh-CN" w:bidi="ar"/>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5</w:t>
            </w:r>
          </w:p>
        </w:tc>
      </w:tr>
      <w:tr w14:paraId="0E7B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2" w:type="dxa"/>
            <w:vMerge w:val="continue"/>
            <w:tcBorders>
              <w:left w:val="single" w:color="000000" w:sz="8" w:space="0"/>
              <w:bottom w:val="single" w:color="000000" w:sz="8" w:space="0"/>
              <w:right w:val="single" w:color="000000" w:sz="8" w:space="0"/>
            </w:tcBorders>
            <w:shd w:val="clear" w:color="auto" w:fill="auto"/>
            <w:noWrap/>
            <w:vAlign w:val="center"/>
          </w:tcPr>
          <w:p w14:paraId="46F22059">
            <w:pPr>
              <w:jc w:val="center"/>
              <w:rPr>
                <w:rFonts w:hint="eastAsia" w:ascii="等线" w:hAnsi="等线" w:eastAsia="等线" w:cs="等线"/>
                <w:i w:val="0"/>
                <w:iCs w:val="0"/>
                <w:color w:val="000000"/>
                <w:sz w:val="20"/>
                <w:szCs w:val="20"/>
                <w:u w:val="none"/>
              </w:rPr>
            </w:pPr>
          </w:p>
        </w:tc>
        <w:tc>
          <w:tcPr>
            <w:tcW w:w="1045" w:type="dxa"/>
            <w:vMerge w:val="continue"/>
            <w:tcBorders>
              <w:left w:val="single" w:color="000000" w:sz="8" w:space="0"/>
              <w:bottom w:val="single" w:color="000000" w:sz="8" w:space="0"/>
              <w:right w:val="single" w:color="000000" w:sz="8" w:space="0"/>
            </w:tcBorders>
            <w:shd w:val="clear" w:color="auto" w:fill="auto"/>
            <w:vAlign w:val="center"/>
          </w:tcPr>
          <w:p w14:paraId="6C48C6C6">
            <w:pPr>
              <w:jc w:val="center"/>
              <w:rPr>
                <w:rFonts w:hint="eastAsia" w:ascii="宋体" w:hAnsi="宋体" w:eastAsia="宋体" w:cs="宋体"/>
                <w:i w:val="0"/>
                <w:iCs w:val="0"/>
                <w:color w:val="000000"/>
                <w:sz w:val="20"/>
                <w:szCs w:val="20"/>
                <w:u w:val="none"/>
              </w:rPr>
            </w:pPr>
          </w:p>
        </w:tc>
        <w:tc>
          <w:tcPr>
            <w:tcW w:w="1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230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合规与风险承诺</w:t>
            </w:r>
          </w:p>
        </w:tc>
        <w:tc>
          <w:tcPr>
            <w:tcW w:w="44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BBA5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承诺严格遵守《中华人民共和国劳动合同法》，无违法分包、欠薪等行为，且提供足额履约保证金方案的得5分；承诺不完整的得2—3分；无明确承诺的不得分。</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A37C09">
            <w:pPr>
              <w:keepNext w:val="0"/>
              <w:keepLines w:val="0"/>
              <w:widowControl/>
              <w:suppressLineNumbers w:val="0"/>
              <w:ind w:left="0" w:leftChars="0" w:right="0" w:rightChars="0" w:firstLine="0" w:firstLineChars="0"/>
              <w:jc w:val="center"/>
              <w:textAlignment w:val="center"/>
              <w:rPr>
                <w:rFonts w:hint="default" w:ascii="等线" w:hAnsi="等线" w:eastAsia="等线" w:cs="等线"/>
                <w:i w:val="0"/>
                <w:iCs w:val="0"/>
                <w:color w:val="000000"/>
                <w:spacing w:val="0"/>
                <w:w w:val="100"/>
                <w:kern w:val="0"/>
                <w:position w:val="0"/>
                <w:sz w:val="20"/>
                <w:szCs w:val="20"/>
                <w:u w:val="none"/>
                <w:shd w:val="clear" w:color="auto" w:fill="auto"/>
                <w:lang w:val="en-US" w:eastAsia="zh-CN" w:bidi="ar"/>
              </w:rPr>
            </w:pPr>
            <w:r>
              <w:rPr>
                <w:rFonts w:hint="eastAsia" w:ascii="等线" w:hAnsi="等线" w:eastAsia="等线" w:cs="等线"/>
                <w:i w:val="0"/>
                <w:iCs w:val="0"/>
                <w:color w:val="000000"/>
                <w:spacing w:val="0"/>
                <w:w w:val="100"/>
                <w:kern w:val="0"/>
                <w:position w:val="0"/>
                <w:sz w:val="20"/>
                <w:szCs w:val="20"/>
                <w:u w:val="none"/>
                <w:shd w:val="clear" w:color="auto" w:fill="auto"/>
                <w:lang w:val="en-US" w:eastAsia="zh-CN" w:bidi="ar"/>
              </w:rPr>
              <w:t>5</w:t>
            </w:r>
          </w:p>
        </w:tc>
      </w:tr>
    </w:tbl>
    <w:p w14:paraId="313F2B2D">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right="0" w:rightChars="0"/>
        <w:jc w:val="left"/>
        <w:textAlignment w:val="auto"/>
        <w:rPr>
          <w:rStyle w:val="11"/>
          <w:rFonts w:hint="eastAsia" w:ascii="仿宋" w:hAnsi="仿宋" w:eastAsia="仿宋" w:cs="仿宋"/>
          <w:b/>
          <w:bCs/>
          <w:sz w:val="32"/>
          <w:szCs w:val="32"/>
          <w:highlight w:val="none"/>
          <w:lang w:val="en-US" w:eastAsia="zh-CN"/>
        </w:rPr>
      </w:pPr>
    </w:p>
    <w:p w14:paraId="31FE0D15">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left="420" w:leftChars="0" w:right="0" w:rightChars="0" w:firstLine="321" w:firstLineChars="100"/>
        <w:jc w:val="left"/>
        <w:textAlignment w:val="auto"/>
        <w:rPr>
          <w:rStyle w:val="11"/>
          <w:rFonts w:hint="eastAsia" w:ascii="仿宋" w:hAnsi="仿宋" w:eastAsia="仿宋" w:cs="仿宋"/>
          <w:b/>
          <w:bCs/>
          <w:sz w:val="32"/>
          <w:szCs w:val="32"/>
          <w:highlight w:val="none"/>
          <w:lang w:val="en-US" w:eastAsia="zh-CN"/>
        </w:rPr>
      </w:pPr>
      <w:r>
        <w:rPr>
          <w:rStyle w:val="11"/>
          <w:rFonts w:hint="eastAsia" w:ascii="仿宋" w:hAnsi="仿宋" w:eastAsia="仿宋" w:cs="仿宋"/>
          <w:b/>
          <w:bCs/>
          <w:sz w:val="32"/>
          <w:szCs w:val="32"/>
          <w:highlight w:val="none"/>
          <w:lang w:val="en-US" w:eastAsia="zh-CN"/>
        </w:rPr>
        <w:t>五、合同签订</w:t>
      </w:r>
    </w:p>
    <w:p w14:paraId="08E95B2E">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1.询比入围单位在收到询比入围通知后，应在规定时间内与采购方签订劳务派遣合同。</w:t>
      </w:r>
    </w:p>
    <w:p w14:paraId="66CD631D">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2.合同签订后，入围单位应按照合同约定履行义务。</w:t>
      </w:r>
    </w:p>
    <w:p w14:paraId="3CDE7A75">
      <w:pPr>
        <w:pStyle w:val="13"/>
        <w:keepNext w:val="0"/>
        <w:keepLines w:val="0"/>
        <w:pageBreakBefore w:val="0"/>
        <w:widowControl w:val="0"/>
        <w:numPr>
          <w:ilvl w:val="0"/>
          <w:numId w:val="0"/>
        </w:numPr>
        <w:shd w:val="clear" w:color="auto" w:fill="auto"/>
        <w:tabs>
          <w:tab w:val="left" w:pos="898"/>
        </w:tabs>
        <w:kinsoku/>
        <w:wordWrap/>
        <w:overflowPunct/>
        <w:topLinePunct w:val="0"/>
        <w:autoSpaceDE/>
        <w:autoSpaceDN/>
        <w:bidi w:val="0"/>
        <w:adjustRightInd/>
        <w:snapToGrid/>
        <w:spacing w:before="0" w:after="0" w:line="360" w:lineRule="auto"/>
        <w:ind w:left="420" w:leftChars="0" w:right="0" w:rightChars="0" w:firstLine="321" w:firstLineChars="100"/>
        <w:jc w:val="left"/>
        <w:textAlignment w:val="auto"/>
        <w:rPr>
          <w:rStyle w:val="11"/>
          <w:rFonts w:hint="eastAsia" w:ascii="仿宋" w:hAnsi="仿宋" w:eastAsia="仿宋" w:cs="仿宋"/>
          <w:b/>
          <w:bCs/>
          <w:sz w:val="32"/>
          <w:szCs w:val="32"/>
          <w:highlight w:val="none"/>
          <w:lang w:val="en-US" w:eastAsia="zh-CN"/>
        </w:rPr>
      </w:pPr>
      <w:r>
        <w:rPr>
          <w:rStyle w:val="11"/>
          <w:rFonts w:hint="eastAsia" w:ascii="仿宋" w:hAnsi="仿宋" w:eastAsia="仿宋" w:cs="仿宋"/>
          <w:b/>
          <w:bCs/>
          <w:sz w:val="32"/>
          <w:szCs w:val="32"/>
          <w:highlight w:val="none"/>
          <w:lang w:val="en-US" w:eastAsia="zh-CN"/>
        </w:rPr>
        <w:t>六、其他事项</w:t>
      </w:r>
    </w:p>
    <w:p w14:paraId="46BBC936">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720" w:firstLineChars="225"/>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eastAsia="zh-CN"/>
        </w:rPr>
        <w:t>1.</w:t>
      </w:r>
      <w:r>
        <w:rPr>
          <w:rStyle w:val="11"/>
          <w:rFonts w:hint="eastAsia" w:ascii="仿宋" w:hAnsi="仿宋" w:eastAsia="仿宋" w:cs="仿宋"/>
          <w:sz w:val="32"/>
          <w:szCs w:val="32"/>
          <w:lang w:val="en-US" w:eastAsia="zh-CN"/>
        </w:rPr>
        <w:t>如需要，响应供应商</w:t>
      </w:r>
      <w:r>
        <w:rPr>
          <w:rStyle w:val="11"/>
          <w:rFonts w:hint="eastAsia" w:ascii="仿宋" w:hAnsi="仿宋" w:eastAsia="仿宋" w:cs="仿宋"/>
          <w:sz w:val="32"/>
          <w:szCs w:val="32"/>
        </w:rPr>
        <w:t>可</w:t>
      </w:r>
      <w:r>
        <w:rPr>
          <w:rStyle w:val="11"/>
          <w:rFonts w:hint="eastAsia" w:ascii="仿宋" w:hAnsi="仿宋" w:eastAsia="仿宋" w:cs="仿宋"/>
          <w:sz w:val="32"/>
          <w:szCs w:val="32"/>
          <w:lang w:val="en-US" w:eastAsia="zh-CN"/>
        </w:rPr>
        <w:t>在提交响应文件前5日对采购方</w:t>
      </w:r>
      <w:r>
        <w:rPr>
          <w:rStyle w:val="11"/>
          <w:rFonts w:hint="eastAsia" w:ascii="仿宋" w:hAnsi="仿宋" w:eastAsia="仿宋" w:cs="仿宋"/>
          <w:sz w:val="32"/>
          <w:szCs w:val="32"/>
        </w:rPr>
        <w:t>进行实地</w:t>
      </w:r>
      <w:r>
        <w:rPr>
          <w:rStyle w:val="11"/>
          <w:rFonts w:hint="eastAsia" w:ascii="仿宋" w:hAnsi="仿宋" w:eastAsia="仿宋" w:cs="仿宋"/>
          <w:sz w:val="32"/>
          <w:szCs w:val="32"/>
          <w:lang w:val="en-US" w:eastAsia="zh-CN"/>
        </w:rPr>
        <w:t>考察</w:t>
      </w:r>
      <w:r>
        <w:rPr>
          <w:rStyle w:val="11"/>
          <w:rFonts w:hint="eastAsia" w:ascii="仿宋" w:hAnsi="仿宋" w:eastAsia="仿宋" w:cs="仿宋"/>
          <w:sz w:val="32"/>
          <w:szCs w:val="32"/>
        </w:rPr>
        <w:t>，</w:t>
      </w:r>
      <w:r>
        <w:rPr>
          <w:rStyle w:val="11"/>
          <w:rFonts w:hint="eastAsia" w:ascii="仿宋" w:hAnsi="仿宋" w:eastAsia="仿宋" w:cs="仿宋"/>
          <w:sz w:val="32"/>
          <w:szCs w:val="32"/>
          <w:lang w:val="en-US" w:eastAsia="zh-CN"/>
        </w:rPr>
        <w:t>询比入围</w:t>
      </w:r>
      <w:r>
        <w:rPr>
          <w:rStyle w:val="11"/>
          <w:rFonts w:hint="eastAsia" w:ascii="仿宋" w:hAnsi="仿宋" w:eastAsia="仿宋" w:cs="仿宋"/>
          <w:sz w:val="32"/>
          <w:szCs w:val="32"/>
        </w:rPr>
        <w:t>后，</w:t>
      </w:r>
      <w:r>
        <w:rPr>
          <w:rStyle w:val="11"/>
          <w:rFonts w:hint="eastAsia" w:ascii="仿宋" w:hAnsi="仿宋" w:eastAsia="仿宋" w:cs="仿宋"/>
          <w:sz w:val="32"/>
          <w:szCs w:val="32"/>
          <w:lang w:val="en-US" w:eastAsia="zh-CN"/>
        </w:rPr>
        <w:t>采购方</w:t>
      </w:r>
      <w:r>
        <w:rPr>
          <w:rStyle w:val="11"/>
          <w:rFonts w:hint="eastAsia" w:ascii="仿宋" w:hAnsi="仿宋" w:eastAsia="仿宋" w:cs="仿宋"/>
          <w:sz w:val="32"/>
          <w:szCs w:val="32"/>
        </w:rPr>
        <w:t>配合</w:t>
      </w:r>
      <w:r>
        <w:rPr>
          <w:rStyle w:val="11"/>
          <w:rFonts w:hint="eastAsia" w:ascii="仿宋" w:hAnsi="仿宋" w:eastAsia="仿宋" w:cs="仿宋"/>
          <w:sz w:val="32"/>
          <w:szCs w:val="32"/>
          <w:lang w:val="en-US" w:eastAsia="zh-CN"/>
        </w:rPr>
        <w:t>入围供应商对</w:t>
      </w:r>
      <w:r>
        <w:rPr>
          <w:rStyle w:val="11"/>
          <w:rFonts w:hint="eastAsia" w:ascii="仿宋" w:hAnsi="仿宋" w:eastAsia="仿宋" w:cs="仿宋"/>
          <w:sz w:val="32"/>
          <w:szCs w:val="32"/>
        </w:rPr>
        <w:t>用工详细情况摸底调查。调查结</w:t>
      </w:r>
      <w:r>
        <w:rPr>
          <w:rStyle w:val="11"/>
          <w:rFonts w:hint="eastAsia" w:ascii="仿宋" w:hAnsi="仿宋" w:eastAsia="仿宋" w:cs="仿宋"/>
          <w:sz w:val="32"/>
          <w:szCs w:val="32"/>
          <w:lang w:eastAsia="zh-CN"/>
        </w:rPr>
        <w:t>束后</w:t>
      </w:r>
      <w:r>
        <w:rPr>
          <w:rStyle w:val="11"/>
          <w:rFonts w:hint="eastAsia" w:ascii="仿宋" w:hAnsi="仿宋" w:eastAsia="仿宋" w:cs="仿宋"/>
          <w:sz w:val="32"/>
          <w:szCs w:val="32"/>
        </w:rPr>
        <w:t>，</w:t>
      </w:r>
      <w:r>
        <w:rPr>
          <w:rStyle w:val="11"/>
          <w:rFonts w:hint="eastAsia" w:ascii="仿宋" w:hAnsi="仿宋" w:eastAsia="仿宋" w:cs="仿宋"/>
          <w:sz w:val="32"/>
          <w:szCs w:val="32"/>
          <w:lang w:val="en-US" w:eastAsia="zh-CN"/>
        </w:rPr>
        <w:t>双方签订</w:t>
      </w:r>
      <w:r>
        <w:rPr>
          <w:rStyle w:val="11"/>
          <w:rFonts w:hint="eastAsia" w:ascii="仿宋" w:hAnsi="仿宋" w:eastAsia="仿宋" w:cs="仿宋"/>
          <w:sz w:val="32"/>
          <w:szCs w:val="32"/>
        </w:rPr>
        <w:t>为期一年的合同，合同签订后，</w:t>
      </w:r>
      <w:r>
        <w:rPr>
          <w:rStyle w:val="11"/>
          <w:rFonts w:hint="eastAsia" w:ascii="仿宋" w:hAnsi="仿宋" w:eastAsia="仿宋" w:cs="仿宋"/>
          <w:sz w:val="32"/>
          <w:szCs w:val="32"/>
          <w:lang w:val="en-US" w:eastAsia="zh-CN"/>
        </w:rPr>
        <w:t>采购方</w:t>
      </w:r>
      <w:r>
        <w:rPr>
          <w:rStyle w:val="11"/>
          <w:rFonts w:hint="eastAsia" w:ascii="仿宋" w:hAnsi="仿宋" w:eastAsia="仿宋" w:cs="仿宋"/>
          <w:sz w:val="32"/>
          <w:szCs w:val="32"/>
        </w:rPr>
        <w:t>按月支付</w:t>
      </w:r>
      <w:r>
        <w:rPr>
          <w:rStyle w:val="11"/>
          <w:rFonts w:hint="eastAsia" w:ascii="仿宋" w:hAnsi="仿宋" w:eastAsia="仿宋" w:cs="仿宋"/>
          <w:sz w:val="32"/>
          <w:szCs w:val="32"/>
          <w:lang w:val="en-US" w:eastAsia="zh-CN"/>
        </w:rPr>
        <w:t>供应商</w:t>
      </w:r>
      <w:r>
        <w:rPr>
          <w:rStyle w:val="11"/>
          <w:rFonts w:hint="eastAsia" w:ascii="仿宋" w:hAnsi="仿宋" w:eastAsia="仿宋" w:cs="仿宋"/>
          <w:sz w:val="32"/>
          <w:szCs w:val="32"/>
        </w:rPr>
        <w:t>管理费和其他费用。</w:t>
      </w:r>
      <w:r>
        <w:rPr>
          <w:rStyle w:val="11"/>
          <w:rFonts w:hint="eastAsia" w:ascii="仿宋" w:hAnsi="仿宋" w:eastAsia="仿宋" w:cs="仿宋"/>
          <w:sz w:val="32"/>
          <w:szCs w:val="32"/>
        </w:rPr>
        <w:tab/>
      </w:r>
    </w:p>
    <w:p w14:paraId="6B7DB83C">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2.采购方有权对响应文件进行审核，有权对询比采购响应单位进行实地考察。</w:t>
      </w:r>
    </w:p>
    <w:p w14:paraId="11F5C15C">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3.采购方有权对响应文件进行修改、补充。</w:t>
      </w:r>
    </w:p>
    <w:p w14:paraId="7AB0EF02">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4.采购方有权对询比采购响应单位进行综合评估，最终确定入围单位。</w:t>
      </w:r>
    </w:p>
    <w:p w14:paraId="10E1140C">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5.本采购文件解释权归采购方所有。</w:t>
      </w:r>
    </w:p>
    <w:p w14:paraId="316A73B7">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left="0" w:leftChars="0" w:right="0" w:firstLine="640" w:firstLineChars="200"/>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6.如有未尽事宜，采购方有权进行解释。</w:t>
      </w:r>
    </w:p>
    <w:p w14:paraId="20927C3C">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right="0"/>
        <w:jc w:val="left"/>
        <w:textAlignment w:val="auto"/>
        <w:rPr>
          <w:rStyle w:val="11"/>
          <w:rFonts w:hint="eastAsia" w:ascii="仿宋" w:hAnsi="仿宋" w:eastAsia="仿宋" w:cs="仿宋"/>
          <w:sz w:val="32"/>
          <w:szCs w:val="32"/>
          <w:lang w:val="en-US" w:eastAsia="zh-CN"/>
        </w:rPr>
      </w:pPr>
    </w:p>
    <w:bookmarkEnd w:id="0"/>
    <w:p w14:paraId="0D3E216F">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right="0" w:firstLine="3724" w:firstLineChars="1164"/>
        <w:jc w:val="left"/>
        <w:textAlignment w:val="auto"/>
        <w:rPr>
          <w:rStyle w:val="11"/>
          <w:rFonts w:hint="eastAsia" w:ascii="仿宋" w:hAnsi="仿宋" w:eastAsia="仿宋" w:cs="仿宋"/>
          <w:sz w:val="32"/>
          <w:szCs w:val="32"/>
          <w:lang w:val="en-US" w:eastAsia="zh-CN"/>
        </w:rPr>
      </w:pPr>
      <w:r>
        <w:rPr>
          <w:rStyle w:val="11"/>
          <w:rFonts w:hint="eastAsia" w:ascii="仿宋" w:hAnsi="仿宋" w:eastAsia="仿宋" w:cs="仿宋"/>
          <w:sz w:val="32"/>
          <w:szCs w:val="32"/>
          <w:lang w:val="en-US" w:eastAsia="zh-CN"/>
        </w:rPr>
        <w:t>陕西锌业有限公司</w:t>
      </w:r>
    </w:p>
    <w:p w14:paraId="0A5AD46E">
      <w:pPr>
        <w:pStyle w:val="13"/>
        <w:keepNext w:val="0"/>
        <w:keepLines w:val="0"/>
        <w:pageBreakBefore w:val="0"/>
        <w:widowControl w:val="0"/>
        <w:shd w:val="clear" w:color="auto" w:fill="auto"/>
        <w:tabs>
          <w:tab w:val="left" w:pos="898"/>
        </w:tabs>
        <w:kinsoku/>
        <w:wordWrap/>
        <w:overflowPunct/>
        <w:topLinePunct w:val="0"/>
        <w:autoSpaceDE/>
        <w:autoSpaceDN/>
        <w:bidi w:val="0"/>
        <w:adjustRightInd/>
        <w:snapToGrid/>
        <w:spacing w:before="0" w:after="0" w:line="360" w:lineRule="auto"/>
        <w:ind w:right="0" w:firstLine="3724" w:firstLineChars="1164"/>
        <w:jc w:val="left"/>
        <w:textAlignment w:val="auto"/>
        <w:rPr>
          <w:rStyle w:val="11"/>
          <w:rFonts w:hint="default" w:ascii="仿宋" w:hAnsi="仿宋" w:eastAsia="仿宋" w:cs="仿宋"/>
          <w:sz w:val="32"/>
          <w:szCs w:val="32"/>
          <w:lang w:val="en-US" w:eastAsia="zh-CN"/>
        </w:rPr>
      </w:pPr>
      <w:r>
        <w:rPr>
          <w:rStyle w:val="11"/>
          <w:rFonts w:hint="eastAsia" w:ascii="仿宋" w:hAnsi="仿宋" w:eastAsia="仿宋" w:cs="仿宋"/>
          <w:sz w:val="32"/>
          <w:szCs w:val="32"/>
          <w:lang w:val="en-US" w:eastAsia="zh-CN"/>
        </w:rPr>
        <w:t>2025年12月26日</w:t>
      </w:r>
    </w:p>
    <w:bookmarkEnd w:id="1"/>
    <w:sectPr>
      <w:footerReference r:id="rId5" w:type="default"/>
      <w:footnotePr>
        <w:numFmt w:val="decimal"/>
      </w:footnotePr>
      <w:pgSz w:w="11850" w:h="16783"/>
      <w:pgMar w:top="2098" w:right="1474" w:bottom="1984" w:left="1587" w:header="319" w:footer="273"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C9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619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0619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docVars>
    <w:docVar w:name="commondata" w:val="eyJoZGlkIjoiZjIyZDI3YmM2OTM0OTc5MDk5YTBkNjhmMmRhYmE5NDgifQ=="/>
  </w:docVars>
  <w:rsids>
    <w:rsidRoot w:val="00000000"/>
    <w:rsid w:val="00394D69"/>
    <w:rsid w:val="038515E4"/>
    <w:rsid w:val="06FC678C"/>
    <w:rsid w:val="0A517A64"/>
    <w:rsid w:val="0B10074E"/>
    <w:rsid w:val="0BD2312C"/>
    <w:rsid w:val="0C697F44"/>
    <w:rsid w:val="11360C84"/>
    <w:rsid w:val="1232769D"/>
    <w:rsid w:val="13BC4157"/>
    <w:rsid w:val="1562473D"/>
    <w:rsid w:val="15D41F99"/>
    <w:rsid w:val="18E36F9F"/>
    <w:rsid w:val="1A5359FC"/>
    <w:rsid w:val="1FA47169"/>
    <w:rsid w:val="21367791"/>
    <w:rsid w:val="29A85495"/>
    <w:rsid w:val="2D162DF9"/>
    <w:rsid w:val="2E637D99"/>
    <w:rsid w:val="2ECD382A"/>
    <w:rsid w:val="30B33C47"/>
    <w:rsid w:val="317C228B"/>
    <w:rsid w:val="33354DE7"/>
    <w:rsid w:val="397228F1"/>
    <w:rsid w:val="39E67961"/>
    <w:rsid w:val="3D8726E3"/>
    <w:rsid w:val="3FFB24F3"/>
    <w:rsid w:val="407E01B6"/>
    <w:rsid w:val="437A1639"/>
    <w:rsid w:val="44422681"/>
    <w:rsid w:val="44B00772"/>
    <w:rsid w:val="4554734F"/>
    <w:rsid w:val="46AE54D3"/>
    <w:rsid w:val="46B20004"/>
    <w:rsid w:val="48593316"/>
    <w:rsid w:val="4871646A"/>
    <w:rsid w:val="4A282AF1"/>
    <w:rsid w:val="4A6E2C61"/>
    <w:rsid w:val="4A7F685E"/>
    <w:rsid w:val="4ED84D30"/>
    <w:rsid w:val="4FB07878"/>
    <w:rsid w:val="504D612B"/>
    <w:rsid w:val="52840F5A"/>
    <w:rsid w:val="550541C2"/>
    <w:rsid w:val="565879C3"/>
    <w:rsid w:val="57BE7EF7"/>
    <w:rsid w:val="5A6327D7"/>
    <w:rsid w:val="5C060A13"/>
    <w:rsid w:val="5C0D1EDF"/>
    <w:rsid w:val="5CE83703"/>
    <w:rsid w:val="5DAE58FE"/>
    <w:rsid w:val="5E7F4FE5"/>
    <w:rsid w:val="60FB0B6F"/>
    <w:rsid w:val="63CF21C3"/>
    <w:rsid w:val="64C319A4"/>
    <w:rsid w:val="6707201B"/>
    <w:rsid w:val="67D41206"/>
    <w:rsid w:val="682409AB"/>
    <w:rsid w:val="683C3F47"/>
    <w:rsid w:val="69D06C62"/>
    <w:rsid w:val="6D640381"/>
    <w:rsid w:val="6E865F1C"/>
    <w:rsid w:val="71F03D90"/>
    <w:rsid w:val="722127EA"/>
    <w:rsid w:val="72384331"/>
    <w:rsid w:val="72453DB7"/>
    <w:rsid w:val="72800ED4"/>
    <w:rsid w:val="738107C5"/>
    <w:rsid w:val="778631B1"/>
    <w:rsid w:val="7B486307"/>
    <w:rsid w:val="7D580E3B"/>
    <w:rsid w:val="7EB400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jc w:val="left"/>
    </w:pPr>
    <w:rPr>
      <w:rFonts w:ascii="Arial" w:hAnsi="Arial" w:cs="Arial"/>
      <w:kern w:val="0"/>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ody text|1_"/>
    <w:basedOn w:val="11"/>
    <w:link w:val="13"/>
    <w:qFormat/>
    <w:uiPriority w:val="0"/>
    <w:rPr>
      <w:rFonts w:ascii="MingLiU" w:hAnsi="MingLiU" w:eastAsia="MingLiU" w:cs="MingLiU"/>
      <w:color w:val="0A1D5D"/>
      <w:sz w:val="20"/>
      <w:szCs w:val="20"/>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442" w:lineRule="auto"/>
      <w:ind w:firstLine="400"/>
    </w:pPr>
    <w:rPr>
      <w:rFonts w:ascii="MingLiU" w:hAnsi="MingLiU" w:eastAsia="MingLiU" w:cs="MingLiU"/>
      <w:color w:val="0A1D5D"/>
      <w:sz w:val="20"/>
      <w:szCs w:val="20"/>
      <w:u w:val="none"/>
      <w:shd w:val="clear" w:color="auto" w:fill="auto"/>
      <w:lang w:val="zh-TW" w:eastAsia="zh-TW" w:bidi="zh-TW"/>
    </w:rPr>
  </w:style>
  <w:style w:type="character" w:customStyle="1" w:styleId="14">
    <w:name w:val="font31"/>
    <w:basedOn w:val="11"/>
    <w:qFormat/>
    <w:uiPriority w:val="0"/>
    <w:rPr>
      <w:rFonts w:hint="eastAsia" w:ascii="宋体" w:hAnsi="宋体" w:eastAsia="宋体" w:cs="宋体"/>
      <w:b/>
      <w:bCs/>
      <w:color w:val="000000"/>
      <w:sz w:val="20"/>
      <w:szCs w:val="20"/>
      <w:u w:val="none"/>
    </w:rPr>
  </w:style>
  <w:style w:type="character" w:customStyle="1" w:styleId="15">
    <w:name w:val="font41"/>
    <w:basedOn w:val="11"/>
    <w:qFormat/>
    <w:uiPriority w:val="0"/>
    <w:rPr>
      <w:rFonts w:hint="eastAsia" w:ascii="宋体" w:hAnsi="宋体" w:eastAsia="宋体" w:cs="宋体"/>
      <w:color w:val="000000"/>
      <w:sz w:val="20"/>
      <w:szCs w:val="20"/>
      <w:u w:val="non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3215</Words>
  <Characters>3401</Characters>
  <TotalTime>7</TotalTime>
  <ScaleCrop>false</ScaleCrop>
  <LinksUpToDate>false</LinksUpToDate>
  <CharactersWithSpaces>3471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2020-11-08T14:44:00Z</dcterms:created>
  <dc:creator>郭惠萍</dc:creator>
  <cp:lastModifiedBy>李晶</cp:lastModifiedBy>
  <cp:lastPrinted>2025-12-26T03:46:00Z</cp:lastPrinted>
  <dcterms:modified xsi:type="dcterms:W3CDTF">2025-12-26T04:22:23Z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1603D01C962A4CA4B571968710DC6C4D_13</vt:lpwstr>
  </property>
  <property fmtid="{D5CDD505-2E9C-101B-9397-08002B2CF9AE}" pid="4" name="KSOTemplateDocerSaveRecord">
    <vt:lpwstr>eyJoZGlkIjoiM2ExNjY5MWQ0OWUzYjcxZjUxYWY0YjAzMjk0YjQ0NDAiLCJ1c2VySWQiOiI2Mjg3MjA1MDUifQ==</vt:lpwstr>
  </property>
</Properties>
</file>