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B249E">
      <w:pPr>
        <w:spacing w:line="520" w:lineRule="exact"/>
        <w:rPr>
          <w:rFonts w:ascii="Times New Roman" w:hAnsi="Times New Roman" w:eastAsia="黑体"/>
        </w:rPr>
      </w:pPr>
      <w:r>
        <w:rPr>
          <w:rFonts w:hint="eastAsia" w:ascii="Times New Roman" w:hAnsi="Times New Roman" w:eastAsia="黑体"/>
          <w:sz w:val="28"/>
          <w:szCs w:val="28"/>
        </w:rPr>
        <w:t>项目编号：XB2025</w:t>
      </w:r>
      <w:r>
        <w:rPr>
          <w:rFonts w:ascii="Times New Roman" w:hAnsi="Times New Roman" w:eastAsia="黑体"/>
          <w:sz w:val="28"/>
          <w:szCs w:val="28"/>
        </w:rPr>
        <w:t>1212</w:t>
      </w:r>
      <w:r>
        <w:rPr>
          <w:rFonts w:hint="eastAsia" w:ascii="Times New Roman" w:hAnsi="Times New Roman" w:eastAsia="黑体"/>
          <w:sz w:val="28"/>
          <w:szCs w:val="28"/>
        </w:rPr>
        <w:t>-01</w:t>
      </w:r>
    </w:p>
    <w:p w14:paraId="4AAFA567">
      <w:pPr>
        <w:spacing w:line="520" w:lineRule="exact"/>
        <w:rPr>
          <w:rFonts w:ascii="Times New Roman" w:hAnsi="Times New Roman"/>
        </w:rPr>
      </w:pPr>
    </w:p>
    <w:p w14:paraId="4766EFD9">
      <w:pPr>
        <w:spacing w:line="520" w:lineRule="exact"/>
        <w:rPr>
          <w:rFonts w:ascii="Times New Roman" w:hAnsi="Times New Roman"/>
        </w:rPr>
      </w:pPr>
    </w:p>
    <w:p w14:paraId="7914AC19">
      <w:pPr>
        <w:spacing w:line="520" w:lineRule="exact"/>
      </w:pPr>
    </w:p>
    <w:p w14:paraId="5CA6E28C">
      <w:pPr>
        <w:spacing w:line="520" w:lineRule="exact"/>
        <w:rPr>
          <w:rFonts w:ascii="Times New Roman" w:hAnsi="Times New Roman"/>
        </w:rPr>
      </w:pPr>
    </w:p>
    <w:p w14:paraId="2FA4C4D7">
      <w:pPr>
        <w:spacing w:line="520" w:lineRule="exact"/>
        <w:rPr>
          <w:rFonts w:ascii="Times New Roman" w:hAnsi="Times New Roman"/>
        </w:rPr>
      </w:pPr>
    </w:p>
    <w:p w14:paraId="04979A97">
      <w:pPr>
        <w:spacing w:line="520" w:lineRule="exact"/>
        <w:jc w:val="center"/>
        <w:rPr>
          <w:rFonts w:ascii="Times New Roman" w:hAnsi="Times New Roman" w:eastAsia="黑体"/>
          <w:sz w:val="44"/>
          <w:szCs w:val="44"/>
        </w:rPr>
      </w:pPr>
      <w:r>
        <w:rPr>
          <w:rFonts w:hint="eastAsia" w:ascii="Times New Roman" w:hAnsi="Times New Roman" w:eastAsia="黑体"/>
          <w:sz w:val="44"/>
          <w:szCs w:val="44"/>
        </w:rPr>
        <w:t>陕西锌业有限公司</w:t>
      </w:r>
    </w:p>
    <w:p w14:paraId="31D3DFE5">
      <w:pPr>
        <w:spacing w:line="520" w:lineRule="exact"/>
        <w:jc w:val="center"/>
        <w:rPr>
          <w:rFonts w:ascii="Times New Roman" w:hAnsi="Times New Roman" w:eastAsia="黑体"/>
          <w:sz w:val="44"/>
        </w:rPr>
      </w:pPr>
      <w:r>
        <w:rPr>
          <w:rFonts w:hint="eastAsia" w:ascii="Times New Roman" w:hAnsi="Times New Roman" w:eastAsia="黑体"/>
          <w:sz w:val="44"/>
          <w:szCs w:val="44"/>
        </w:rPr>
        <w:t>2025年</w:t>
      </w:r>
      <w:r>
        <w:rPr>
          <w:rFonts w:ascii="Times New Roman" w:hAnsi="Times New Roman" w:eastAsia="黑体"/>
          <w:sz w:val="44"/>
          <w:szCs w:val="44"/>
        </w:rPr>
        <w:t>12</w:t>
      </w:r>
      <w:r>
        <w:rPr>
          <w:rFonts w:hint="eastAsia" w:ascii="Times New Roman" w:hAnsi="Times New Roman" w:eastAsia="黑体"/>
          <w:sz w:val="44"/>
          <w:szCs w:val="44"/>
        </w:rPr>
        <w:t>月非标玻璃钢设备</w:t>
      </w:r>
      <w:r>
        <w:rPr>
          <w:rFonts w:hint="eastAsia" w:ascii="Times New Roman" w:hAnsi="Times New Roman" w:eastAsia="黑体"/>
          <w:sz w:val="44"/>
        </w:rPr>
        <w:t>询比采购文件</w:t>
      </w:r>
    </w:p>
    <w:p w14:paraId="686FBDB2">
      <w:pPr>
        <w:spacing w:line="520" w:lineRule="exact"/>
        <w:rPr>
          <w:rFonts w:ascii="Times New Roman" w:hAnsi="Times New Roman"/>
        </w:rPr>
      </w:pPr>
    </w:p>
    <w:p w14:paraId="77E2AC8A">
      <w:pPr>
        <w:spacing w:line="520" w:lineRule="exact"/>
        <w:rPr>
          <w:rFonts w:ascii="Times New Roman" w:hAnsi="Times New Roman"/>
        </w:rPr>
      </w:pPr>
    </w:p>
    <w:p w14:paraId="3959E74C">
      <w:pPr>
        <w:spacing w:line="520" w:lineRule="exact"/>
        <w:rPr>
          <w:rFonts w:ascii="Times New Roman" w:hAnsi="Times New Roman"/>
        </w:rPr>
      </w:pPr>
    </w:p>
    <w:p w14:paraId="0834E536">
      <w:pPr>
        <w:spacing w:line="520" w:lineRule="exact"/>
        <w:rPr>
          <w:rFonts w:ascii="Times New Roman" w:hAnsi="Times New Roman"/>
        </w:rPr>
      </w:pPr>
    </w:p>
    <w:p w14:paraId="09521C81">
      <w:pPr>
        <w:spacing w:line="520" w:lineRule="exact"/>
        <w:rPr>
          <w:rFonts w:ascii="Times New Roman" w:hAnsi="Times New Roman"/>
        </w:rPr>
      </w:pPr>
    </w:p>
    <w:p w14:paraId="6F42C597">
      <w:pPr>
        <w:spacing w:line="520" w:lineRule="exact"/>
        <w:rPr>
          <w:rFonts w:ascii="Times New Roman" w:hAnsi="Times New Roman"/>
        </w:rPr>
      </w:pPr>
    </w:p>
    <w:p w14:paraId="5B6AAB24">
      <w:pPr>
        <w:spacing w:line="520" w:lineRule="exact"/>
        <w:rPr>
          <w:rFonts w:ascii="Times New Roman" w:hAnsi="Times New Roman"/>
        </w:rPr>
      </w:pPr>
    </w:p>
    <w:p w14:paraId="22F3BF82">
      <w:pPr>
        <w:spacing w:line="520" w:lineRule="exact"/>
        <w:rPr>
          <w:rFonts w:ascii="Times New Roman" w:hAnsi="Times New Roman"/>
        </w:rPr>
      </w:pPr>
    </w:p>
    <w:p w14:paraId="472D318C">
      <w:pPr>
        <w:pStyle w:val="6"/>
        <w:spacing w:beforeLines="0" w:afterLines="0" w:line="520" w:lineRule="exact"/>
        <w:ind w:firstLine="480"/>
      </w:pPr>
    </w:p>
    <w:p w14:paraId="69DEC13F">
      <w:pPr>
        <w:pStyle w:val="6"/>
        <w:spacing w:beforeLines="0" w:afterLines="0" w:line="520" w:lineRule="exact"/>
        <w:ind w:firstLine="480"/>
      </w:pPr>
    </w:p>
    <w:p w14:paraId="4E1E16EB">
      <w:pPr>
        <w:pStyle w:val="6"/>
        <w:spacing w:beforeLines="0" w:afterLines="0" w:line="520" w:lineRule="exact"/>
        <w:ind w:firstLine="0" w:firstLineChars="0"/>
      </w:pPr>
    </w:p>
    <w:p w14:paraId="1CCBB7D1">
      <w:pPr>
        <w:pStyle w:val="6"/>
        <w:spacing w:beforeLines="0" w:afterLines="0" w:line="520" w:lineRule="exact"/>
        <w:ind w:firstLine="0" w:firstLineChars="0"/>
      </w:pPr>
    </w:p>
    <w:p w14:paraId="784E4589">
      <w:pPr>
        <w:spacing w:line="520" w:lineRule="exact"/>
        <w:ind w:firstLine="1800" w:firstLineChars="500"/>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16339564">
      <w:pPr>
        <w:spacing w:line="520" w:lineRule="exact"/>
        <w:ind w:firstLine="1800" w:firstLineChars="500"/>
        <w:rPr>
          <w:rFonts w:ascii="Times New Roman" w:hAnsi="Times New Roman" w:eastAsia="黑体"/>
          <w:sz w:val="36"/>
          <w:szCs w:val="36"/>
        </w:rPr>
      </w:pPr>
      <w:r>
        <w:rPr>
          <w:rFonts w:hint="eastAsia" w:ascii="Times New Roman" w:hAnsi="Times New Roman" w:eastAsia="黑体"/>
          <w:sz w:val="36"/>
          <w:szCs w:val="36"/>
        </w:rPr>
        <w:t>负责人：徐靖</w:t>
      </w:r>
    </w:p>
    <w:p w14:paraId="7BC91ACE">
      <w:pPr>
        <w:spacing w:line="520" w:lineRule="exact"/>
        <w:ind w:firstLine="5760" w:firstLineChars="1800"/>
        <w:rPr>
          <w:rFonts w:ascii="Times New Roman" w:hAnsi="Times New Roman" w:eastAsia="黑体"/>
          <w:sz w:val="32"/>
          <w:szCs w:val="32"/>
        </w:rPr>
      </w:pPr>
    </w:p>
    <w:p w14:paraId="6ED310A5">
      <w:pPr>
        <w:spacing w:line="520" w:lineRule="exact"/>
        <w:ind w:firstLine="5760" w:firstLineChars="1800"/>
        <w:rPr>
          <w:rFonts w:ascii="Times New Roman" w:hAnsi="Times New Roman" w:eastAsia="黑体"/>
          <w:sz w:val="32"/>
          <w:szCs w:val="32"/>
        </w:rPr>
      </w:pPr>
    </w:p>
    <w:p w14:paraId="2DE5CC8E">
      <w:pPr>
        <w:spacing w:line="520" w:lineRule="exact"/>
        <w:ind w:firstLine="2880" w:firstLineChars="900"/>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二〇二五年十二月十二日</w:t>
      </w:r>
    </w:p>
    <w:p w14:paraId="59B8D67D">
      <w:pPr>
        <w:pStyle w:val="9"/>
        <w:widowControl/>
        <w:spacing w:beforeAutospacing="0" w:afterAutospacing="0" w:line="520" w:lineRule="exact"/>
        <w:jc w:val="center"/>
        <w:rPr>
          <w:rFonts w:ascii="黑体" w:hAnsi="黑体" w:eastAsia="黑体" w:cs="黑体"/>
          <w:b/>
          <w:bCs/>
          <w:sz w:val="36"/>
          <w:szCs w:val="36"/>
        </w:rPr>
      </w:pPr>
    </w:p>
    <w:p w14:paraId="5785A3A5">
      <w:pPr>
        <w:pStyle w:val="9"/>
        <w:widowControl/>
        <w:spacing w:beforeAutospacing="0" w:afterAutospacing="0" w:line="520" w:lineRule="exact"/>
        <w:jc w:val="center"/>
        <w:rPr>
          <w:rFonts w:ascii="黑体" w:hAnsi="黑体" w:eastAsia="黑体" w:cs="黑体"/>
          <w:b/>
          <w:bCs/>
          <w:sz w:val="36"/>
          <w:szCs w:val="36"/>
        </w:rPr>
      </w:pPr>
    </w:p>
    <w:p w14:paraId="218C28B8">
      <w:pPr>
        <w:pStyle w:val="9"/>
        <w:widowControl/>
        <w:spacing w:beforeAutospacing="0" w:afterAutospacing="0" w:line="520" w:lineRule="exact"/>
        <w:jc w:val="center"/>
        <w:rPr>
          <w:rFonts w:ascii="黑体" w:hAnsi="黑体" w:eastAsia="黑体" w:cs="黑体"/>
          <w:b/>
          <w:bCs/>
          <w:sz w:val="36"/>
          <w:szCs w:val="36"/>
        </w:rPr>
      </w:pPr>
    </w:p>
    <w:p w14:paraId="50D37AE7">
      <w:pPr>
        <w:pStyle w:val="9"/>
        <w:widowControl/>
        <w:spacing w:beforeAutospacing="0" w:afterAutospacing="0" w:line="520" w:lineRule="exact"/>
        <w:jc w:val="center"/>
        <w:rPr>
          <w:rFonts w:ascii="黑体" w:hAnsi="黑体" w:eastAsia="黑体" w:cs="黑体"/>
          <w:b/>
          <w:bCs/>
          <w:sz w:val="36"/>
          <w:szCs w:val="36"/>
        </w:rPr>
      </w:pPr>
    </w:p>
    <w:p w14:paraId="782CF5B2">
      <w:pPr>
        <w:pStyle w:val="9"/>
        <w:widowControl/>
        <w:spacing w:beforeAutospacing="0" w:afterAutospacing="0" w:line="520" w:lineRule="exact"/>
        <w:jc w:val="center"/>
        <w:rPr>
          <w:rFonts w:ascii="黑体" w:hAnsi="黑体" w:eastAsia="黑体" w:cs="黑体"/>
          <w:b/>
          <w:bCs/>
          <w:sz w:val="36"/>
          <w:szCs w:val="36"/>
        </w:rPr>
      </w:pPr>
    </w:p>
    <w:p w14:paraId="5F4B2ABA">
      <w:pPr>
        <w:pStyle w:val="9"/>
        <w:widowControl/>
        <w:spacing w:beforeAutospacing="0" w:afterAutospacing="0" w:line="520" w:lineRule="exact"/>
        <w:jc w:val="center"/>
        <w:rPr>
          <w:rFonts w:ascii="黑体" w:hAnsi="黑体" w:eastAsia="黑体" w:cs="黑体"/>
          <w:b/>
          <w:bCs/>
          <w:sz w:val="36"/>
          <w:szCs w:val="36"/>
        </w:rPr>
      </w:pPr>
    </w:p>
    <w:p w14:paraId="2BD04B15">
      <w:pPr>
        <w:pStyle w:val="9"/>
        <w:widowControl/>
        <w:spacing w:beforeAutospacing="0" w:afterAutospacing="0" w:line="520" w:lineRule="exact"/>
        <w:jc w:val="center"/>
        <w:rPr>
          <w:rFonts w:ascii="黑体" w:hAnsi="黑体" w:eastAsia="黑体" w:cs="黑体"/>
          <w:b/>
          <w:bCs/>
          <w:sz w:val="36"/>
          <w:szCs w:val="36"/>
        </w:rPr>
      </w:pPr>
    </w:p>
    <w:p w14:paraId="13D70E29">
      <w:pPr>
        <w:pStyle w:val="9"/>
        <w:widowControl/>
        <w:spacing w:beforeAutospacing="0" w:afterAutospacing="0" w:line="520" w:lineRule="exact"/>
        <w:jc w:val="center"/>
        <w:rPr>
          <w:rFonts w:ascii="黑体" w:hAnsi="黑体" w:eastAsia="黑体" w:cs="黑体"/>
          <w:b/>
          <w:bCs/>
          <w:sz w:val="36"/>
          <w:szCs w:val="36"/>
        </w:rPr>
      </w:pPr>
    </w:p>
    <w:p w14:paraId="48EE8959">
      <w:pPr>
        <w:pStyle w:val="9"/>
        <w:widowControl/>
        <w:spacing w:beforeAutospacing="0" w:afterAutospacing="0" w:line="520" w:lineRule="exact"/>
        <w:jc w:val="center"/>
        <w:rPr>
          <w:rFonts w:ascii="黑体" w:hAnsi="黑体" w:eastAsia="黑体" w:cs="黑体"/>
          <w:b/>
          <w:bCs/>
          <w:sz w:val="36"/>
          <w:szCs w:val="36"/>
        </w:rPr>
      </w:pPr>
    </w:p>
    <w:p w14:paraId="65DFC8E5">
      <w:pPr>
        <w:pStyle w:val="9"/>
        <w:widowControl/>
        <w:spacing w:beforeAutospacing="0" w:afterAutospacing="0" w:line="520" w:lineRule="exact"/>
        <w:jc w:val="center"/>
        <w:rPr>
          <w:rFonts w:ascii="黑体" w:hAnsi="黑体" w:eastAsia="黑体" w:cs="黑体"/>
          <w:b/>
          <w:bCs/>
          <w:sz w:val="36"/>
          <w:szCs w:val="36"/>
        </w:rPr>
      </w:pPr>
    </w:p>
    <w:p w14:paraId="5BC51430">
      <w:pPr>
        <w:pStyle w:val="9"/>
        <w:widowControl/>
        <w:spacing w:beforeAutospacing="0" w:afterAutospacing="0" w:line="520" w:lineRule="exact"/>
        <w:jc w:val="center"/>
        <w:rPr>
          <w:rFonts w:ascii="黑体" w:hAnsi="黑体" w:eastAsia="黑体" w:cs="黑体"/>
          <w:b/>
          <w:bCs/>
          <w:sz w:val="36"/>
          <w:szCs w:val="36"/>
        </w:rPr>
      </w:pPr>
    </w:p>
    <w:p w14:paraId="63BC8D6F">
      <w:pPr>
        <w:pStyle w:val="9"/>
        <w:widowControl/>
        <w:spacing w:beforeAutospacing="0" w:afterAutospacing="0" w:line="520" w:lineRule="exact"/>
        <w:jc w:val="center"/>
        <w:rPr>
          <w:rFonts w:ascii="黑体" w:hAnsi="黑体" w:eastAsia="黑体" w:cs="黑体"/>
          <w:b/>
          <w:bCs/>
          <w:sz w:val="36"/>
          <w:szCs w:val="36"/>
        </w:rPr>
      </w:pPr>
    </w:p>
    <w:p w14:paraId="4738A78E">
      <w:pPr>
        <w:pStyle w:val="9"/>
        <w:widowControl/>
        <w:spacing w:beforeAutospacing="0" w:afterAutospacing="0" w:line="520" w:lineRule="exact"/>
        <w:jc w:val="center"/>
        <w:rPr>
          <w:rFonts w:ascii="黑体" w:hAnsi="黑体" w:eastAsia="黑体" w:cs="黑体"/>
          <w:b/>
          <w:bCs/>
          <w:sz w:val="36"/>
          <w:szCs w:val="36"/>
        </w:rPr>
      </w:pPr>
    </w:p>
    <w:p w14:paraId="35BDB4D6">
      <w:pPr>
        <w:pStyle w:val="9"/>
        <w:widowControl/>
        <w:spacing w:beforeAutospacing="0" w:afterAutospacing="0" w:line="520" w:lineRule="exact"/>
        <w:jc w:val="center"/>
        <w:rPr>
          <w:rFonts w:ascii="黑体" w:hAnsi="黑体" w:eastAsia="黑体" w:cs="黑体"/>
          <w:b/>
          <w:bCs/>
          <w:sz w:val="36"/>
          <w:szCs w:val="36"/>
        </w:rPr>
      </w:pPr>
    </w:p>
    <w:p w14:paraId="6AD34D75">
      <w:pPr>
        <w:pStyle w:val="9"/>
        <w:widowControl/>
        <w:spacing w:beforeAutospacing="0" w:afterAutospacing="0" w:line="520" w:lineRule="exact"/>
        <w:jc w:val="center"/>
        <w:rPr>
          <w:rFonts w:ascii="黑体" w:hAnsi="黑体" w:eastAsia="黑体" w:cs="黑体"/>
          <w:b/>
          <w:bCs/>
          <w:sz w:val="36"/>
          <w:szCs w:val="36"/>
        </w:rPr>
      </w:pPr>
    </w:p>
    <w:p w14:paraId="6E1240E7">
      <w:pPr>
        <w:pStyle w:val="9"/>
        <w:widowControl/>
        <w:spacing w:beforeAutospacing="0" w:afterAutospacing="0" w:line="520" w:lineRule="exact"/>
        <w:jc w:val="center"/>
        <w:rPr>
          <w:rFonts w:ascii="黑体" w:hAnsi="黑体" w:eastAsia="黑体" w:cs="黑体"/>
          <w:b/>
          <w:bCs/>
          <w:sz w:val="36"/>
          <w:szCs w:val="36"/>
        </w:rPr>
      </w:pPr>
    </w:p>
    <w:p w14:paraId="26E36629">
      <w:pPr>
        <w:pStyle w:val="9"/>
        <w:widowControl/>
        <w:spacing w:beforeAutospacing="0" w:afterAutospacing="0" w:line="520" w:lineRule="exact"/>
        <w:jc w:val="center"/>
        <w:rPr>
          <w:rFonts w:ascii="黑体" w:hAnsi="黑体" w:eastAsia="黑体" w:cs="黑体"/>
          <w:b/>
          <w:bCs/>
          <w:sz w:val="36"/>
          <w:szCs w:val="36"/>
        </w:rPr>
      </w:pPr>
    </w:p>
    <w:p w14:paraId="1432C875">
      <w:pPr>
        <w:pStyle w:val="9"/>
        <w:widowControl/>
        <w:spacing w:beforeAutospacing="0" w:afterAutospacing="0" w:line="520" w:lineRule="exact"/>
        <w:jc w:val="center"/>
        <w:rPr>
          <w:rFonts w:ascii="黑体" w:hAnsi="黑体" w:eastAsia="黑体" w:cs="黑体"/>
          <w:b/>
          <w:bCs/>
          <w:sz w:val="36"/>
          <w:szCs w:val="36"/>
        </w:rPr>
      </w:pPr>
    </w:p>
    <w:p w14:paraId="76BAE8B9">
      <w:pPr>
        <w:pStyle w:val="9"/>
        <w:widowControl/>
        <w:spacing w:beforeAutospacing="0" w:afterAutospacing="0" w:line="520" w:lineRule="exact"/>
        <w:jc w:val="center"/>
        <w:rPr>
          <w:rFonts w:ascii="黑体" w:hAnsi="黑体" w:eastAsia="黑体" w:cs="黑体"/>
          <w:b/>
          <w:bCs/>
          <w:sz w:val="36"/>
          <w:szCs w:val="36"/>
        </w:rPr>
      </w:pPr>
    </w:p>
    <w:p w14:paraId="4F19CDE9">
      <w:pPr>
        <w:pStyle w:val="9"/>
        <w:widowControl/>
        <w:spacing w:beforeAutospacing="0" w:afterAutospacing="0" w:line="520" w:lineRule="exact"/>
        <w:jc w:val="center"/>
        <w:rPr>
          <w:rFonts w:ascii="黑体" w:hAnsi="黑体" w:eastAsia="黑体" w:cs="黑体"/>
          <w:b/>
          <w:bCs/>
          <w:sz w:val="36"/>
          <w:szCs w:val="36"/>
        </w:rPr>
      </w:pPr>
    </w:p>
    <w:p w14:paraId="35C01B4E">
      <w:pPr>
        <w:pStyle w:val="9"/>
        <w:widowControl/>
        <w:spacing w:beforeAutospacing="0" w:afterAutospacing="0" w:line="520" w:lineRule="exact"/>
        <w:jc w:val="center"/>
        <w:rPr>
          <w:rFonts w:ascii="黑体" w:hAnsi="黑体" w:eastAsia="黑体" w:cs="黑体"/>
          <w:b/>
          <w:bCs/>
          <w:sz w:val="36"/>
          <w:szCs w:val="36"/>
        </w:rPr>
      </w:pPr>
    </w:p>
    <w:p w14:paraId="32AEB4AA">
      <w:pPr>
        <w:pStyle w:val="9"/>
        <w:widowControl/>
        <w:spacing w:beforeAutospacing="0" w:afterAutospacing="0" w:line="520" w:lineRule="exact"/>
        <w:jc w:val="center"/>
        <w:rPr>
          <w:rFonts w:ascii="黑体" w:hAnsi="黑体" w:eastAsia="黑体" w:cs="黑体"/>
          <w:b/>
          <w:bCs/>
          <w:sz w:val="36"/>
          <w:szCs w:val="36"/>
        </w:rPr>
      </w:pPr>
    </w:p>
    <w:p w14:paraId="4AC8145E">
      <w:pPr>
        <w:pStyle w:val="9"/>
        <w:widowControl/>
        <w:spacing w:beforeAutospacing="0" w:afterAutospacing="0" w:line="520" w:lineRule="exact"/>
        <w:jc w:val="center"/>
        <w:rPr>
          <w:rFonts w:ascii="黑体" w:hAnsi="黑体" w:eastAsia="黑体" w:cs="黑体"/>
          <w:b/>
          <w:bCs/>
          <w:sz w:val="36"/>
          <w:szCs w:val="36"/>
        </w:rPr>
      </w:pPr>
    </w:p>
    <w:p w14:paraId="708B74C8">
      <w:pPr>
        <w:pStyle w:val="9"/>
        <w:widowControl/>
        <w:spacing w:beforeAutospacing="0" w:afterAutospacing="0" w:line="520" w:lineRule="exact"/>
        <w:jc w:val="center"/>
        <w:rPr>
          <w:rFonts w:ascii="黑体" w:hAnsi="黑体" w:eastAsia="黑体" w:cs="黑体"/>
          <w:b/>
          <w:bCs/>
          <w:sz w:val="36"/>
          <w:szCs w:val="36"/>
        </w:rPr>
      </w:pPr>
    </w:p>
    <w:p w14:paraId="6853C370">
      <w:pPr>
        <w:pStyle w:val="9"/>
        <w:widowControl/>
        <w:spacing w:beforeAutospacing="0" w:afterAutospacing="0" w:line="520" w:lineRule="exact"/>
        <w:jc w:val="center"/>
        <w:rPr>
          <w:rFonts w:ascii="黑体" w:hAnsi="黑体" w:eastAsia="黑体" w:cs="黑体"/>
          <w:b/>
          <w:bCs/>
          <w:sz w:val="36"/>
          <w:szCs w:val="36"/>
        </w:rPr>
      </w:pPr>
    </w:p>
    <w:p w14:paraId="747EA3E6">
      <w:pPr>
        <w:pStyle w:val="9"/>
        <w:widowControl/>
        <w:spacing w:beforeAutospacing="0" w:afterAutospacing="0" w:line="520" w:lineRule="exact"/>
        <w:jc w:val="center"/>
        <w:rPr>
          <w:rFonts w:ascii="黑体" w:hAnsi="黑体" w:eastAsia="黑体" w:cs="黑体"/>
          <w:b/>
          <w:bCs/>
          <w:sz w:val="36"/>
          <w:szCs w:val="36"/>
        </w:rPr>
      </w:pPr>
    </w:p>
    <w:p w14:paraId="3BF06225">
      <w:pPr>
        <w:pStyle w:val="9"/>
        <w:widowControl/>
        <w:spacing w:beforeAutospacing="0" w:afterAutospacing="0" w:line="520" w:lineRule="exact"/>
        <w:jc w:val="center"/>
        <w:rPr>
          <w:rFonts w:ascii="黑体" w:hAnsi="黑体" w:eastAsia="黑体" w:cs="黑体"/>
          <w:b/>
          <w:bCs/>
          <w:sz w:val="36"/>
          <w:szCs w:val="36"/>
        </w:rPr>
      </w:pPr>
      <w:r>
        <w:rPr>
          <w:rFonts w:hint="eastAsia" w:ascii="黑体" w:hAnsi="黑体" w:eastAsia="黑体" w:cs="黑体"/>
          <w:b/>
          <w:bCs/>
          <w:sz w:val="36"/>
          <w:szCs w:val="36"/>
        </w:rPr>
        <w:t>非标成型玻璃钢设备采购邀请函</w:t>
      </w:r>
    </w:p>
    <w:p w14:paraId="587DEBC8">
      <w:pPr>
        <w:spacing w:line="520" w:lineRule="exact"/>
        <w:jc w:val="center"/>
        <w:rPr>
          <w:rFonts w:ascii="仿宋" w:hAnsi="仿宋" w:eastAsia="仿宋" w:cs="仿宋"/>
          <w:b/>
          <w:bCs/>
          <w:sz w:val="32"/>
          <w:szCs w:val="32"/>
        </w:rPr>
      </w:pPr>
      <w:r>
        <w:rPr>
          <w:rFonts w:hint="eastAsia" w:ascii="仿宋" w:hAnsi="仿宋" w:eastAsia="仿宋" w:cs="仿宋"/>
          <w:b/>
          <w:bCs/>
          <w:sz w:val="32"/>
          <w:szCs w:val="32"/>
        </w:rPr>
        <w:t>（采购编号：XB2025</w:t>
      </w:r>
      <w:r>
        <w:rPr>
          <w:rFonts w:ascii="仿宋" w:hAnsi="仿宋" w:eastAsia="仿宋" w:cs="仿宋"/>
          <w:b/>
          <w:bCs/>
          <w:sz w:val="32"/>
          <w:szCs w:val="32"/>
        </w:rPr>
        <w:t>1212</w:t>
      </w:r>
      <w:r>
        <w:rPr>
          <w:rFonts w:hint="eastAsia" w:ascii="仿宋" w:hAnsi="仿宋" w:eastAsia="仿宋" w:cs="仿宋"/>
          <w:b/>
          <w:bCs/>
          <w:sz w:val="32"/>
          <w:szCs w:val="32"/>
        </w:rPr>
        <w:t>-01）</w:t>
      </w:r>
    </w:p>
    <w:p w14:paraId="4F246116">
      <w:pPr>
        <w:spacing w:line="52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陕西锌业有限公司因检修需要，拟采购</w:t>
      </w:r>
      <w:r>
        <w:rPr>
          <w:rFonts w:hint="eastAsia" w:ascii="宋体" w:hAnsi="宋体" w:eastAsia="宋体" w:cs="宋体"/>
          <w:b/>
          <w:bCs/>
          <w:sz w:val="32"/>
          <w:szCs w:val="32"/>
        </w:rPr>
        <w:t>非标成型玻璃钢设备一批</w:t>
      </w:r>
      <w:r>
        <w:rPr>
          <w:rFonts w:hint="eastAsia" w:ascii="仿宋" w:hAnsi="仿宋" w:eastAsia="仿宋" w:cs="仿宋"/>
          <w:color w:val="000000"/>
          <w:sz w:val="32"/>
          <w:szCs w:val="32"/>
        </w:rPr>
        <w:t>，按照公司有关规定，拟通过询比方式确定供应商，欢迎具备相应资质及能力的单位参与该项目询比采购，具体内容如下：</w:t>
      </w:r>
    </w:p>
    <w:p w14:paraId="3807FE4A">
      <w:pPr>
        <w:pStyle w:val="4"/>
        <w:spacing w:before="0" w:after="0" w:line="520" w:lineRule="exact"/>
        <w:ind w:firstLine="643" w:firstLineChars="200"/>
        <w:rPr>
          <w:rFonts w:ascii="仿宋" w:hAnsi="仿宋" w:eastAsia="仿宋" w:cs="仿宋"/>
          <w:bCs/>
          <w:szCs w:val="32"/>
        </w:rPr>
      </w:pPr>
      <w:bookmarkStart w:id="0" w:name="_Toc14440"/>
      <w:bookmarkStart w:id="1" w:name="_Toc4593"/>
      <w:bookmarkStart w:id="2" w:name="_Toc33795775"/>
      <w:bookmarkStart w:id="3" w:name="_Toc2023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3A4C6D4B">
      <w:pPr>
        <w:pStyle w:val="4"/>
        <w:spacing w:before="0" w:after="0" w:line="520" w:lineRule="exact"/>
        <w:ind w:firstLine="320" w:firstLineChars="100"/>
        <w:rPr>
          <w:rFonts w:ascii="仿宋" w:hAnsi="仿宋" w:eastAsia="仿宋" w:cs="仿宋"/>
          <w:b w:val="0"/>
          <w:bCs/>
          <w:szCs w:val="32"/>
        </w:rPr>
      </w:pPr>
      <w:r>
        <w:rPr>
          <w:rFonts w:hint="eastAsia" w:ascii="仿宋" w:hAnsi="仿宋" w:eastAsia="仿宋" w:cs="仿宋"/>
          <w:b w:val="0"/>
          <w:bCs/>
          <w:szCs w:val="32"/>
        </w:rPr>
        <w:t>（一）采购人：陕西锌业有限公司</w:t>
      </w:r>
    </w:p>
    <w:p w14:paraId="541CF33C">
      <w:pPr>
        <w:spacing w:line="520" w:lineRule="exact"/>
        <w:ind w:firstLine="320" w:firstLineChars="100"/>
        <w:rPr>
          <w:rFonts w:ascii="仿宋" w:hAnsi="仿宋" w:eastAsia="仿宋" w:cs="仿宋"/>
          <w:b/>
          <w:bCs/>
          <w:sz w:val="32"/>
          <w:szCs w:val="32"/>
        </w:rPr>
      </w:pPr>
      <w:r>
        <w:rPr>
          <w:rFonts w:hint="eastAsia" w:ascii="仿宋" w:hAnsi="仿宋" w:eastAsia="仿宋" w:cs="仿宋"/>
          <w:sz w:val="32"/>
          <w:szCs w:val="32"/>
        </w:rPr>
        <w:t>（二）采购项目名称：电锌六系列检修非标成型玻璃钢设备采购。</w:t>
      </w:r>
    </w:p>
    <w:p w14:paraId="011623B5">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（三）交货时间：合同签订后</w:t>
      </w:r>
      <w:r>
        <w:rPr>
          <w:rFonts w:ascii="仿宋" w:hAnsi="仿宋" w:eastAsia="仿宋" w:cs="仿宋"/>
          <w:sz w:val="32"/>
          <w:szCs w:val="32"/>
        </w:rPr>
        <w:t>20</w:t>
      </w:r>
      <w:r>
        <w:rPr>
          <w:rFonts w:hint="eastAsia" w:ascii="仿宋" w:hAnsi="仿宋" w:eastAsia="仿宋" w:cs="仿宋"/>
          <w:sz w:val="32"/>
          <w:szCs w:val="32"/>
        </w:rPr>
        <w:t>个日历天到货，不能按期交货的，注明供货周期。</w:t>
      </w:r>
    </w:p>
    <w:p w14:paraId="5E125839">
      <w:pPr>
        <w:spacing w:line="520" w:lineRule="exact"/>
        <w:ind w:firstLine="320" w:firstLineChars="100"/>
        <w:rPr>
          <w:rFonts w:ascii="仿宋" w:hAnsi="仿宋" w:eastAsia="仿宋" w:cs="仿宋"/>
          <w:sz w:val="32"/>
          <w:szCs w:val="32"/>
        </w:rPr>
      </w:pPr>
      <w:r>
        <w:rPr>
          <w:rFonts w:hint="eastAsia" w:ascii="仿宋" w:hAnsi="仿宋" w:eastAsia="仿宋" w:cs="仿宋"/>
          <w:sz w:val="32"/>
          <w:szCs w:val="32"/>
        </w:rPr>
        <w:t>（四）交货地点：采购方指定地点。</w:t>
      </w:r>
    </w:p>
    <w:p w14:paraId="1DCACCA3">
      <w:pPr>
        <w:spacing w:line="520" w:lineRule="exact"/>
        <w:ind w:firstLine="320" w:firstLineChars="100"/>
        <w:rPr>
          <w:rFonts w:ascii="仿宋" w:hAnsi="仿宋" w:eastAsia="仿宋" w:cs="仿宋"/>
          <w:sz w:val="32"/>
          <w:szCs w:val="32"/>
        </w:rPr>
      </w:pPr>
      <w:r>
        <w:rPr>
          <w:rFonts w:hint="eastAsia" w:ascii="仿宋" w:hAnsi="仿宋" w:eastAsia="仿宋" w:cs="仿宋"/>
          <w:sz w:val="32"/>
          <w:szCs w:val="32"/>
        </w:rPr>
        <w:t>（五）采购货物一览表</w:t>
      </w:r>
    </w:p>
    <w:p w14:paraId="02A87C6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5.1 货物名称及数量：</w:t>
      </w:r>
      <w:r>
        <w:rPr>
          <w:rFonts w:hint="eastAsia"/>
          <w:sz w:val="32"/>
          <w:szCs w:val="32"/>
        </w:rPr>
        <w:t>后附详表及图纸。</w:t>
      </w:r>
    </w:p>
    <w:p w14:paraId="54B643BD">
      <w:pPr>
        <w:spacing w:line="520" w:lineRule="exact"/>
        <w:ind w:firstLine="562" w:firstLineChars="200"/>
        <w:rPr>
          <w:rFonts w:ascii="仿宋" w:hAnsi="仿宋" w:eastAsia="仿宋" w:cs="仿宋"/>
          <w:sz w:val="32"/>
          <w:szCs w:val="32"/>
        </w:rPr>
      </w:pPr>
      <w:r>
        <w:rPr>
          <w:rFonts w:hint="eastAsia" w:ascii="仿宋" w:hAnsi="仿宋" w:eastAsia="仿宋" w:cs="仿宋"/>
          <w:b/>
          <w:bCs/>
          <w:sz w:val="28"/>
          <w:szCs w:val="28"/>
        </w:rPr>
        <w:t>5.2</w:t>
      </w:r>
      <w:r>
        <w:rPr>
          <w:rFonts w:ascii="仿宋" w:hAnsi="仿宋" w:eastAsia="仿宋" w:cs="仿宋"/>
          <w:sz w:val="32"/>
          <w:szCs w:val="32"/>
        </w:rPr>
        <w:t xml:space="preserve"> </w:t>
      </w:r>
      <w:r>
        <w:rPr>
          <w:rFonts w:hint="eastAsia" w:ascii="仿宋" w:hAnsi="仿宋" w:eastAsia="仿宋" w:cs="仿宋"/>
          <w:sz w:val="32"/>
          <w:szCs w:val="32"/>
        </w:rPr>
        <w:t>技术要求：</w:t>
      </w:r>
    </w:p>
    <w:p w14:paraId="2B64903B">
      <w:pPr>
        <w:pStyle w:val="2"/>
        <w:rPr>
          <w:b w:val="0"/>
          <w:sz w:val="32"/>
          <w:szCs w:val="32"/>
        </w:rPr>
      </w:pPr>
      <w:r>
        <w:rPr>
          <w:rFonts w:hint="eastAsia"/>
          <w:b w:val="0"/>
          <w:sz w:val="32"/>
          <w:szCs w:val="32"/>
        </w:rPr>
        <w:t>5</w:t>
      </w:r>
      <w:r>
        <w:rPr>
          <w:b w:val="0"/>
          <w:sz w:val="32"/>
          <w:szCs w:val="32"/>
        </w:rPr>
        <w:t>.2.1</w:t>
      </w:r>
      <w:r>
        <w:rPr>
          <w:rFonts w:hint="eastAsia"/>
          <w:b w:val="0"/>
          <w:sz w:val="32"/>
          <w:szCs w:val="32"/>
        </w:rPr>
        <w:t xml:space="preserve"> 本次拟采购设备玻璃钢制作工艺均为手工糊制，密</w:t>
      </w:r>
    </w:p>
    <w:p w14:paraId="7BFDC1AC">
      <w:pPr>
        <w:pStyle w:val="2"/>
        <w:ind w:left="0" w:firstLine="0"/>
        <w:rPr>
          <w:b w:val="0"/>
          <w:sz w:val="32"/>
          <w:szCs w:val="32"/>
        </w:rPr>
      </w:pPr>
      <w:r>
        <w:rPr>
          <w:rFonts w:hint="eastAsia"/>
          <w:b w:val="0"/>
          <w:sz w:val="32"/>
          <w:szCs w:val="32"/>
        </w:rPr>
        <w:t>度按1</w:t>
      </w:r>
      <w:r>
        <w:rPr>
          <w:b w:val="0"/>
          <w:sz w:val="32"/>
          <w:szCs w:val="32"/>
        </w:rPr>
        <w:t>800K</w:t>
      </w:r>
      <w:r>
        <w:rPr>
          <w:rFonts w:hint="eastAsia"/>
          <w:b w:val="0"/>
          <w:sz w:val="32"/>
          <w:szCs w:val="32"/>
        </w:rPr>
        <w:t>g</w:t>
      </w:r>
      <w:r>
        <w:rPr>
          <w:b w:val="0"/>
          <w:sz w:val="32"/>
          <w:szCs w:val="32"/>
        </w:rPr>
        <w:t>/</w:t>
      </w:r>
      <w:r>
        <w:rPr>
          <w:rFonts w:hint="eastAsia"/>
          <w:b w:val="0"/>
          <w:sz w:val="32"/>
          <w:szCs w:val="32"/>
        </w:rPr>
        <w:t>m</w:t>
      </w:r>
      <w:r>
        <w:rPr>
          <w:b w:val="0"/>
          <w:sz w:val="32"/>
          <w:szCs w:val="32"/>
          <w:vertAlign w:val="superscript"/>
        </w:rPr>
        <w:t>3</w:t>
      </w:r>
      <w:r>
        <w:rPr>
          <w:rFonts w:hint="eastAsia"/>
          <w:b w:val="0"/>
          <w:sz w:val="32"/>
          <w:szCs w:val="32"/>
        </w:rPr>
        <w:t>计算；</w:t>
      </w:r>
    </w:p>
    <w:p w14:paraId="7599773E">
      <w:pPr>
        <w:ind w:firstLine="525"/>
        <w:rPr>
          <w:sz w:val="32"/>
          <w:szCs w:val="32"/>
        </w:rPr>
      </w:pPr>
      <w:r>
        <w:rPr>
          <w:sz w:val="32"/>
          <w:szCs w:val="32"/>
        </w:rPr>
        <w:t xml:space="preserve">5.2.2  </w:t>
      </w:r>
      <w:r>
        <w:rPr>
          <w:rFonts w:hint="eastAsia"/>
          <w:sz w:val="32"/>
          <w:szCs w:val="32"/>
        </w:rPr>
        <w:t>本次设备全部为M</w:t>
      </w:r>
      <w:r>
        <w:rPr>
          <w:sz w:val="32"/>
          <w:szCs w:val="32"/>
        </w:rPr>
        <w:t>FE-2</w:t>
      </w:r>
      <w:r>
        <w:rPr>
          <w:rFonts w:hint="eastAsia"/>
          <w:sz w:val="32"/>
          <w:szCs w:val="32"/>
        </w:rPr>
        <w:t>成型玻璃钢。</w:t>
      </w:r>
    </w:p>
    <w:p w14:paraId="6DDCCC95">
      <w:pPr>
        <w:pStyle w:val="2"/>
        <w:ind w:left="0" w:firstLine="525"/>
        <w:rPr>
          <w:rFonts w:hint="eastAsia"/>
          <w:b w:val="0"/>
        </w:rPr>
      </w:pPr>
      <w:r>
        <w:rPr>
          <w:rFonts w:hint="eastAsia"/>
          <w:b w:val="0"/>
        </w:rPr>
        <w:t>5</w:t>
      </w:r>
      <w:r>
        <w:rPr>
          <w:b w:val="0"/>
        </w:rPr>
        <w:t xml:space="preserve">.3  </w:t>
      </w:r>
      <w:r>
        <w:rPr>
          <w:rFonts w:hint="eastAsia"/>
          <w:b w:val="0"/>
        </w:rPr>
        <w:t>本次供货含安装，接口用4</w:t>
      </w:r>
      <w:r>
        <w:rPr>
          <w:b w:val="0"/>
        </w:rPr>
        <w:t>00</w:t>
      </w:r>
      <w:r>
        <w:rPr>
          <w:rFonts w:hint="eastAsia"/>
          <w:b w:val="0"/>
        </w:rPr>
        <w:t>mm宽，4mm厚M</w:t>
      </w:r>
      <w:r>
        <w:rPr>
          <w:b w:val="0"/>
        </w:rPr>
        <w:t>FE-2</w:t>
      </w:r>
      <w:r>
        <w:rPr>
          <w:rFonts w:hint="eastAsia"/>
          <w:b w:val="0"/>
        </w:rPr>
        <w:t>玻璃钢密封牢固；且包含拆除旧玻璃钢溜槽并送至购买方指定位置。</w:t>
      </w:r>
    </w:p>
    <w:p w14:paraId="0EFABD20">
      <w:pPr>
        <w:overflowPunct w:val="0"/>
        <w:adjustRightInd w:val="0"/>
        <w:spacing w:line="520" w:lineRule="exact"/>
        <w:ind w:firstLine="320" w:firstLineChars="100"/>
        <w:textAlignment w:val="baseline"/>
        <w:rPr>
          <w:rFonts w:ascii="仿宋" w:hAnsi="仿宋" w:eastAsia="仿宋" w:cs="仿宋"/>
          <w:sz w:val="32"/>
          <w:szCs w:val="32"/>
        </w:rPr>
      </w:pPr>
      <w:r>
        <w:rPr>
          <w:rFonts w:hint="eastAsia" w:ascii="仿宋" w:hAnsi="仿宋" w:eastAsia="仿宋" w:cs="仿宋"/>
          <w:sz w:val="32"/>
          <w:szCs w:val="32"/>
        </w:rPr>
        <w:t>（六）质量要求：</w:t>
      </w:r>
    </w:p>
    <w:p w14:paraId="25803FCB">
      <w:pPr>
        <w:overflowPunct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1、玻璃钢制作须密实，表面光滑美观，无飞边毛刺。</w:t>
      </w:r>
    </w:p>
    <w:p w14:paraId="486C7862">
      <w:pPr>
        <w:overflowPunct w:val="0"/>
        <w:spacing w:line="540" w:lineRule="exact"/>
        <w:ind w:firstLine="640" w:firstLineChars="200"/>
        <w:rPr>
          <w:rFonts w:ascii="仿宋" w:hAnsi="仿宋" w:eastAsia="仿宋" w:cs="仿宋"/>
          <w:bCs/>
          <w:sz w:val="32"/>
          <w:szCs w:val="32"/>
        </w:rPr>
      </w:pPr>
      <w:r>
        <w:rPr>
          <w:rFonts w:ascii="仿宋" w:hAnsi="仿宋" w:eastAsia="仿宋" w:cs="仿宋"/>
          <w:sz w:val="32"/>
          <w:szCs w:val="32"/>
        </w:rPr>
        <w:t>2</w:t>
      </w:r>
      <w:r>
        <w:rPr>
          <w:rFonts w:hint="eastAsia" w:ascii="仿宋" w:hAnsi="仿宋" w:eastAsia="仿宋" w:cs="仿宋"/>
          <w:sz w:val="32"/>
          <w:szCs w:val="32"/>
        </w:rPr>
        <w:t>、质量保证期：质保期壹年，在质保期内出现货物质量问题供方无条件退换，如因货物质量问题给采购人造成损失的，供货方应承担相应的赔偿责任。</w:t>
      </w:r>
    </w:p>
    <w:p w14:paraId="75BB00E0">
      <w:pPr>
        <w:overflowPunct w:val="0"/>
        <w:adjustRightInd w:val="0"/>
        <w:spacing w:line="540" w:lineRule="exact"/>
        <w:ind w:firstLine="320" w:firstLineChars="100"/>
        <w:rPr>
          <w:rFonts w:ascii="仿宋" w:hAnsi="仿宋" w:eastAsia="仿宋" w:cs="仿宋"/>
          <w:bCs/>
          <w:sz w:val="32"/>
          <w:szCs w:val="32"/>
        </w:rPr>
      </w:pPr>
      <w:bookmarkStart w:id="4" w:name="_Toc33795778"/>
      <w:bookmarkStart w:id="5" w:name="_Toc29895"/>
      <w:bookmarkStart w:id="6" w:name="_Toc14688"/>
      <w:bookmarkStart w:id="7" w:name="_Toc14196"/>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6489C8CE">
      <w:pPr>
        <w:overflowPunct w:val="0"/>
        <w:adjustRightInd w:val="0"/>
        <w:spacing w:line="540" w:lineRule="exact"/>
        <w:ind w:firstLine="320" w:firstLineChars="100"/>
        <w:rPr>
          <w:rFonts w:ascii="仿宋" w:hAnsi="仿宋" w:eastAsia="仿宋" w:cs="仿宋"/>
          <w:bCs/>
          <w:sz w:val="32"/>
          <w:szCs w:val="32"/>
        </w:rPr>
      </w:pPr>
      <w:r>
        <w:rPr>
          <w:rFonts w:hint="eastAsia" w:ascii="仿宋" w:hAnsi="仿宋" w:eastAsia="仿宋" w:cs="仿宋"/>
          <w:bCs/>
          <w:sz w:val="32"/>
          <w:szCs w:val="32"/>
        </w:rPr>
        <w:t>（八）验收标准、方法：依据本条第六款质量标准验收。</w:t>
      </w:r>
    </w:p>
    <w:p w14:paraId="1619276B">
      <w:pPr>
        <w:spacing w:line="540" w:lineRule="exact"/>
        <w:ind w:firstLine="320" w:firstLineChars="100"/>
        <w:jc w:val="left"/>
        <w:rPr>
          <w:rFonts w:ascii="仿宋" w:hAnsi="仿宋" w:eastAsia="仿宋" w:cs="仿宋"/>
          <w:sz w:val="24"/>
        </w:rPr>
      </w:pPr>
      <w:r>
        <w:rPr>
          <w:rFonts w:hint="eastAsia" w:ascii="仿宋" w:hAnsi="仿宋" w:eastAsia="仿宋" w:cs="仿宋"/>
          <w:sz w:val="32"/>
          <w:szCs w:val="32"/>
        </w:rPr>
        <w:t>（九）付款方式：合同生效后，卖方开具合同总额30%的增值税发票（税率13%），买方预付合同总额的30%；货到买方厂内，初步验收合格，卖方开具合同总额30%的增值税发票（税率13%），买方再付合同总额的30%；安装调试完毕，验收合格后，卖方开具合同总额40%的增值税发票（税率13%），买方再付合同总额的30%；留10%作为质保金，质保期满无质量问题需方一次付清。</w:t>
      </w:r>
      <w:r>
        <w:rPr>
          <w:rFonts w:hint="eastAsia" w:ascii="仿宋" w:hAnsi="仿宋" w:eastAsia="仿宋" w:cs="仿宋"/>
          <w:b/>
          <w:bCs/>
          <w:sz w:val="32"/>
          <w:szCs w:val="32"/>
        </w:rPr>
        <w:t>卖方可按付款进度开具发票，也可一次性开具全额发票，但必须先票后款。</w:t>
      </w:r>
    </w:p>
    <w:p w14:paraId="41134B79">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（十一）供应商资格和履约能力要求</w:t>
      </w:r>
      <w:bookmarkEnd w:id="4"/>
      <w:bookmarkEnd w:id="5"/>
      <w:bookmarkEnd w:id="6"/>
      <w:bookmarkEnd w:id="7"/>
      <w:r>
        <w:rPr>
          <w:rFonts w:hint="eastAsia" w:ascii="仿宋" w:hAnsi="仿宋" w:eastAsia="仿宋" w:cs="仿宋"/>
          <w:sz w:val="32"/>
          <w:szCs w:val="32"/>
        </w:rPr>
        <w:t>：</w:t>
      </w:r>
    </w:p>
    <w:p w14:paraId="0DF22D9B">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14D88FFB">
      <w:pPr>
        <w:overflowPunct w:val="0"/>
        <w:spacing w:line="540" w:lineRule="exact"/>
        <w:ind w:firstLine="320" w:firstLineChars="100"/>
        <w:rPr>
          <w:rFonts w:ascii="仿宋" w:hAnsi="仿宋" w:eastAsia="仿宋" w:cs="仿宋"/>
          <w:color w:val="000000"/>
          <w:sz w:val="32"/>
          <w:szCs w:val="32"/>
        </w:rPr>
      </w:pPr>
      <w:r>
        <w:rPr>
          <w:rFonts w:hint="eastAsia" w:ascii="仿宋" w:hAnsi="仿宋" w:eastAsia="仿宋" w:cs="仿宋"/>
          <w:sz w:val="32"/>
          <w:szCs w:val="32"/>
        </w:rPr>
        <w:t>（1）供应商须为中华人民共和国境内依法注册的法人或者其他组织，有能力完成本项目的厂家或经销商，具备合法的营业执照</w:t>
      </w:r>
      <w:r>
        <w:rPr>
          <w:rFonts w:hint="eastAsia" w:ascii="仿宋" w:hAnsi="仿宋" w:eastAsia="仿宋" w:cs="仿宋"/>
          <w:color w:val="000000"/>
          <w:sz w:val="32"/>
          <w:szCs w:val="32"/>
        </w:rPr>
        <w:t>。</w:t>
      </w:r>
    </w:p>
    <w:p w14:paraId="58B934E5">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2.信用要求：</w:t>
      </w:r>
    </w:p>
    <w:p w14:paraId="1674370F">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550CC62B">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w:t>
      </w:r>
    </w:p>
    <w:p w14:paraId="0410B4E3">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3.业绩要求：供应商2022年9月至今具有类似业绩（提供合同复印件，时间以合同签订时间为准），不少于3份；</w:t>
      </w:r>
      <w:r>
        <w:rPr>
          <w:rFonts w:hint="eastAsia" w:ascii="仿宋" w:hAnsi="仿宋" w:eastAsia="仿宋" w:cs="仿宋"/>
          <w:b/>
          <w:bCs/>
          <w:sz w:val="32"/>
          <w:szCs w:val="32"/>
        </w:rPr>
        <w:t>未提供业绩的（即0份类似业绩），否决其响应文件。</w:t>
      </w:r>
    </w:p>
    <w:p w14:paraId="021A8638">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322B175D">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5.其他要求：</w:t>
      </w:r>
    </w:p>
    <w:p w14:paraId="71A98F71">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供应商不得存在下列情形之一：</w:t>
      </w:r>
    </w:p>
    <w:p w14:paraId="3C65C4E1">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5C4A4DD4">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76A24E20">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7CAE9E91">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4B8B985B">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5AA0A1AA">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2ACF6CF1">
      <w:pPr>
        <w:overflowPunct w:val="0"/>
        <w:spacing w:line="540" w:lineRule="exact"/>
        <w:ind w:firstLine="320" w:firstLineChars="100"/>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6AEE4AFA">
      <w:pPr>
        <w:overflowPunct w:val="0"/>
        <w:spacing w:line="540" w:lineRule="exact"/>
        <w:ind w:firstLine="321" w:firstLineChars="100"/>
        <w:rPr>
          <w:rFonts w:ascii="仿宋" w:hAnsi="仿宋" w:eastAsia="仿宋" w:cs="仿宋"/>
          <w:sz w:val="32"/>
          <w:szCs w:val="32"/>
        </w:rPr>
      </w:pPr>
      <w:r>
        <w:rPr>
          <w:rFonts w:hint="eastAsia" w:ascii="仿宋" w:hAnsi="仿宋" w:eastAsia="仿宋" w:cs="仿宋"/>
          <w:b/>
          <w:bCs/>
          <w:sz w:val="32"/>
          <w:szCs w:val="32"/>
        </w:rPr>
        <w:t>二、询比采购文件的获取</w:t>
      </w:r>
    </w:p>
    <w:p w14:paraId="2399A719">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0F35587C">
      <w:pPr>
        <w:overflowPunct w:val="0"/>
        <w:spacing w:line="54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三、供应商响应</w:t>
      </w:r>
    </w:p>
    <w:p w14:paraId="356D5782">
      <w:pPr>
        <w:overflowPunct w:val="0"/>
        <w:spacing w:line="536"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   （一）响应报价</w:t>
      </w:r>
    </w:p>
    <w:p w14:paraId="32F6BBC4">
      <w:pPr>
        <w:overflowPunct w:val="0"/>
        <w:spacing w:line="536" w:lineRule="exact"/>
        <w:ind w:firstLine="640" w:firstLineChars="200"/>
        <w:rPr>
          <w:rFonts w:ascii="仿宋" w:hAnsi="仿宋" w:eastAsia="仿宋" w:cs="仿宋"/>
          <w:b/>
          <w:bCs/>
          <w:sz w:val="32"/>
          <w:szCs w:val="32"/>
        </w:rPr>
      </w:pPr>
      <w:r>
        <w:rPr>
          <w:rFonts w:hint="eastAsia" w:ascii="仿宋" w:hAnsi="仿宋" w:eastAsia="仿宋" w:cs="仿宋"/>
          <w:sz w:val="32"/>
          <w:szCs w:val="32"/>
        </w:rPr>
        <w:t>1.供应商应按“响应文件格式”要求在响应函中进行报价并填写响应文件的分项报价表。</w:t>
      </w:r>
    </w:p>
    <w:p w14:paraId="5FA7A0F7">
      <w:pPr>
        <w:pStyle w:val="7"/>
        <w:overflowPunct w:val="0"/>
        <w:spacing w:after="0" w:line="536"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2.报价包括制造费、安装费、运输费、税费、指导安装调试费以及拆除旧溜槽送至采购人指定地点等费用的全包价。该价款不因原料、材料、劳务、能源等市场价格的变动而变动。</w:t>
      </w:r>
    </w:p>
    <w:p w14:paraId="7810906A">
      <w:pPr>
        <w:pStyle w:val="7"/>
        <w:overflowPunct w:val="0"/>
        <w:spacing w:after="0" w:line="536"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3.供应商在响应文件递交截止时间前修改响应函中的响应报价总额，应同时修</w:t>
      </w:r>
      <w:bookmarkStart w:id="8" w:name="_Toc144974510"/>
      <w:bookmarkStart w:id="9" w:name="_Toc300834963"/>
      <w:bookmarkStart w:id="10" w:name="_Toc152042318"/>
      <w:bookmarkStart w:id="11" w:name="_Toc361508598"/>
      <w:bookmarkStart w:id="12" w:name="_Toc25772"/>
      <w:bookmarkStart w:id="13" w:name="_Toc247513966"/>
      <w:bookmarkStart w:id="14" w:name="_Toc384308223"/>
      <w:bookmarkStart w:id="15" w:name="_Toc247527567"/>
      <w:bookmarkStart w:id="16" w:name="_Toc369531529"/>
      <w:bookmarkStart w:id="17" w:name="_Toc152045542"/>
      <w:bookmarkStart w:id="18" w:name="_Toc352691486"/>
      <w:r>
        <w:rPr>
          <w:rFonts w:hint="eastAsia" w:ascii="仿宋" w:hAnsi="仿宋" w:eastAsia="仿宋" w:cs="仿宋"/>
          <w:sz w:val="32"/>
          <w:szCs w:val="32"/>
        </w:rPr>
        <w:t>改响应文件</w:t>
      </w:r>
      <w:bookmarkEnd w:id="8"/>
      <w:bookmarkEnd w:id="9"/>
      <w:bookmarkEnd w:id="10"/>
      <w:bookmarkEnd w:id="11"/>
      <w:bookmarkEnd w:id="12"/>
      <w:bookmarkEnd w:id="13"/>
      <w:bookmarkEnd w:id="14"/>
      <w:bookmarkEnd w:id="15"/>
      <w:bookmarkEnd w:id="16"/>
      <w:bookmarkEnd w:id="17"/>
      <w:bookmarkEnd w:id="18"/>
      <w:bookmarkStart w:id="19" w:name="_Toc300834964"/>
      <w:bookmarkStart w:id="20" w:name="_Toc352691487"/>
      <w:bookmarkStart w:id="21" w:name="_Toc15242"/>
      <w:bookmarkStart w:id="22" w:name="_Toc247513967"/>
      <w:bookmarkStart w:id="23" w:name="_Toc152042319"/>
      <w:bookmarkStart w:id="24" w:name="_Toc152045543"/>
      <w:bookmarkStart w:id="25" w:name="_Toc247527568"/>
      <w:bookmarkStart w:id="26" w:name="_Toc144974511"/>
      <w:bookmarkStart w:id="27" w:name="_Toc384308224"/>
      <w:bookmarkStart w:id="28" w:name="_Toc361508599"/>
      <w:bookmarkStart w:id="29" w:name="_Toc369531530"/>
      <w:r>
        <w:rPr>
          <w:rFonts w:hint="eastAsia" w:ascii="仿宋" w:hAnsi="仿宋" w:eastAsia="仿宋" w:cs="仿宋"/>
          <w:sz w:val="32"/>
          <w:szCs w:val="32"/>
        </w:rPr>
        <w:t>“分项报价表”中的相应报价。</w:t>
      </w:r>
      <w:bookmarkEnd w:id="19"/>
      <w:bookmarkEnd w:id="20"/>
      <w:bookmarkEnd w:id="21"/>
      <w:bookmarkEnd w:id="22"/>
      <w:bookmarkEnd w:id="23"/>
      <w:bookmarkEnd w:id="24"/>
      <w:bookmarkEnd w:id="25"/>
      <w:bookmarkEnd w:id="26"/>
      <w:bookmarkEnd w:id="27"/>
      <w:bookmarkEnd w:id="28"/>
      <w:bookmarkEnd w:id="29"/>
    </w:p>
    <w:p w14:paraId="54F77168">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4.响应报价为各分项报价金额之和，响应报价与分项报价的合价不一致的，应以各分项合价累计数为准，修正响应报价。</w:t>
      </w:r>
    </w:p>
    <w:p w14:paraId="2E34C47D">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5.成交供应商的响应报价是成交、签订合同及合同执行过程中的依据，不得进行实质性变动。</w:t>
      </w:r>
    </w:p>
    <w:p w14:paraId="72A1D626">
      <w:pPr>
        <w:pStyle w:val="5"/>
        <w:keepNext w:val="0"/>
        <w:keepLines w:val="0"/>
        <w:overflowPunct w:val="0"/>
        <w:spacing w:before="0" w:after="0" w:line="536" w:lineRule="exact"/>
        <w:ind w:firstLine="320" w:firstLineChars="100"/>
        <w:rPr>
          <w:rFonts w:ascii="仿宋" w:hAnsi="仿宋" w:eastAsia="仿宋" w:cs="仿宋"/>
          <w:sz w:val="32"/>
          <w:szCs w:val="32"/>
        </w:rPr>
      </w:pPr>
      <w:r>
        <w:rPr>
          <w:rFonts w:hint="eastAsia" w:ascii="仿宋" w:hAnsi="仿宋" w:eastAsia="仿宋" w:cs="仿宋"/>
          <w:sz w:val="32"/>
          <w:szCs w:val="32"/>
        </w:rPr>
        <w:t>（二）响应有效期</w:t>
      </w:r>
    </w:p>
    <w:p w14:paraId="4B4C4E1D">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1.响应有效期从提交响应文件截止之日起算</w:t>
      </w:r>
      <w:r>
        <w:rPr>
          <w:rFonts w:ascii="仿宋" w:hAnsi="仿宋" w:eastAsia="仿宋" w:cs="仿宋"/>
          <w:sz w:val="32"/>
          <w:szCs w:val="32"/>
        </w:rPr>
        <w:t>10</w:t>
      </w:r>
      <w:r>
        <w:rPr>
          <w:rFonts w:hint="eastAsia" w:ascii="仿宋" w:hAnsi="仿宋" w:eastAsia="仿宋" w:cs="仿宋"/>
          <w:sz w:val="32"/>
          <w:szCs w:val="32"/>
        </w:rPr>
        <w:t>天。</w:t>
      </w:r>
    </w:p>
    <w:p w14:paraId="7E4CCEE6">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1F8E98CC">
      <w:pPr>
        <w:pStyle w:val="5"/>
        <w:keepNext w:val="0"/>
        <w:keepLines w:val="0"/>
        <w:overflowPunct w:val="0"/>
        <w:spacing w:before="0" w:after="0" w:line="536" w:lineRule="exact"/>
        <w:ind w:firstLine="320" w:firstLineChars="100"/>
        <w:rPr>
          <w:rFonts w:ascii="仿宋" w:hAnsi="仿宋" w:eastAsia="仿宋" w:cs="仿宋"/>
          <w:sz w:val="32"/>
          <w:szCs w:val="32"/>
        </w:rPr>
      </w:pPr>
      <w:r>
        <w:rPr>
          <w:rFonts w:hint="eastAsia" w:ascii="仿宋" w:hAnsi="仿宋" w:eastAsia="仿宋" w:cs="仿宋"/>
          <w:sz w:val="32"/>
          <w:szCs w:val="32"/>
        </w:rPr>
        <w:t>（三）响应保证金</w:t>
      </w:r>
    </w:p>
    <w:p w14:paraId="2A4B315E">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ascii="仿宋" w:hAnsi="仿宋" w:eastAsia="仿宋" w:cs="仿宋"/>
          <w:sz w:val="32"/>
          <w:szCs w:val="32"/>
        </w:rPr>
        <w:t>1</w:t>
      </w:r>
      <w:r>
        <w:rPr>
          <w:rFonts w:hint="eastAsia" w:ascii="仿宋" w:hAnsi="仿宋" w:eastAsia="仿宋" w:cs="仿宋"/>
          <w:sz w:val="32"/>
          <w:szCs w:val="32"/>
        </w:rPr>
        <w:t>万元，并作为其响应文件的组成部分。</w:t>
      </w:r>
    </w:p>
    <w:p w14:paraId="4ACF263A">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保证金支付账户如下：</w:t>
      </w:r>
    </w:p>
    <w:p w14:paraId="19FF192D">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收款人：陕西锌业有限公司</w:t>
      </w:r>
    </w:p>
    <w:p w14:paraId="460DC93F">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账号：26805701040010332</w:t>
      </w:r>
    </w:p>
    <w:p w14:paraId="7A52D5C3">
      <w:pPr>
        <w:overflowPunct w:val="0"/>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BF20B5F">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2.响应保证金应当由供应商基本账户转出。</w:t>
      </w:r>
    </w:p>
    <w:p w14:paraId="1926B3EE">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3.响应保证金必须在响应文件递交截止时间前到达指定帐户。</w:t>
      </w:r>
    </w:p>
    <w:p w14:paraId="7F35A60A">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4.响应保证金有效期与响应有效期一致。</w:t>
      </w:r>
    </w:p>
    <w:p w14:paraId="5F46BBA2">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5.供应商不按</w:t>
      </w:r>
      <w:bookmarkStart w:id="30" w:name="_Toc29025"/>
      <w:bookmarkStart w:id="31" w:name="_Toc384308227"/>
      <w:bookmarkStart w:id="32" w:name="_Toc361508602"/>
      <w:bookmarkStart w:id="33" w:name="_Toc352691490"/>
      <w:bookmarkStart w:id="34" w:name="_Toc369531533"/>
      <w:r>
        <w:rPr>
          <w:rFonts w:hint="eastAsia" w:ascii="仿宋" w:hAnsi="仿宋" w:eastAsia="仿宋" w:cs="仿宋"/>
          <w:sz w:val="32"/>
          <w:szCs w:val="32"/>
        </w:rPr>
        <w:t>前述要求提交响应保证金的，</w:t>
      </w:r>
      <w:bookmarkEnd w:id="30"/>
      <w:bookmarkEnd w:id="31"/>
      <w:bookmarkEnd w:id="32"/>
      <w:bookmarkEnd w:id="33"/>
      <w:bookmarkEnd w:id="34"/>
      <w:r>
        <w:rPr>
          <w:rFonts w:hint="eastAsia" w:ascii="仿宋" w:hAnsi="仿宋" w:eastAsia="仿宋" w:cs="仿宋"/>
          <w:sz w:val="32"/>
          <w:szCs w:val="32"/>
        </w:rPr>
        <w:t>评审小组将否决其响应文件。</w:t>
      </w:r>
    </w:p>
    <w:p w14:paraId="073F4469">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6.采购人最迟应当在与成交人</w:t>
      </w:r>
      <w:bookmarkStart w:id="35" w:name="_Toc384308228"/>
      <w:bookmarkStart w:id="36" w:name="_Toc152042322"/>
      <w:bookmarkStart w:id="37" w:name="_Toc14751"/>
      <w:bookmarkStart w:id="38" w:name="_Toc361508603"/>
      <w:bookmarkStart w:id="39" w:name="_Toc144974514"/>
      <w:bookmarkStart w:id="40" w:name="_Toc369531534"/>
      <w:bookmarkStart w:id="41" w:name="_Toc247527571"/>
      <w:bookmarkStart w:id="42" w:name="_Toc247513970"/>
      <w:bookmarkStart w:id="43" w:name="_Toc300834967"/>
      <w:bookmarkStart w:id="44" w:name="_Toc152045546"/>
      <w:bookmarkStart w:id="45" w:name="_Toc352691491"/>
      <w:r>
        <w:rPr>
          <w:rFonts w:hint="eastAsia" w:ascii="仿宋" w:hAnsi="仿宋" w:eastAsia="仿宋" w:cs="仿宋"/>
          <w:sz w:val="32"/>
          <w:szCs w:val="32"/>
        </w:rPr>
        <w:t>签订合同后7日</w:t>
      </w:r>
      <w:bookmarkEnd w:id="35"/>
      <w:bookmarkEnd w:id="36"/>
      <w:bookmarkEnd w:id="37"/>
      <w:bookmarkEnd w:id="38"/>
      <w:bookmarkEnd w:id="39"/>
      <w:bookmarkEnd w:id="40"/>
      <w:bookmarkEnd w:id="41"/>
      <w:bookmarkEnd w:id="42"/>
      <w:bookmarkEnd w:id="43"/>
      <w:bookmarkEnd w:id="44"/>
      <w:bookmarkEnd w:id="45"/>
      <w:r>
        <w:rPr>
          <w:rFonts w:hint="eastAsia" w:ascii="仿宋" w:hAnsi="仿宋" w:eastAsia="仿宋" w:cs="仿宋"/>
          <w:sz w:val="32"/>
          <w:szCs w:val="32"/>
        </w:rPr>
        <w:t>内</w:t>
      </w:r>
      <w:bookmarkStart w:id="46" w:name="_Toc17952"/>
      <w:bookmarkStart w:id="47" w:name="_Toc369531535"/>
      <w:bookmarkStart w:id="48" w:name="_Toc361508604"/>
      <w:bookmarkStart w:id="49" w:name="_Toc152042323"/>
      <w:bookmarkStart w:id="50" w:name="_Toc300834968"/>
      <w:bookmarkStart w:id="51" w:name="_Toc384308229"/>
      <w:bookmarkStart w:id="52" w:name="_Toc144974515"/>
      <w:bookmarkStart w:id="53" w:name="_Toc247513971"/>
      <w:bookmarkStart w:id="54" w:name="_Toc247527572"/>
      <w:bookmarkStart w:id="55" w:name="_Toc152045547"/>
      <w:bookmarkStart w:id="56" w:name="_Toc352691492"/>
      <w:r>
        <w:rPr>
          <w:rFonts w:hint="eastAsia" w:ascii="仿宋" w:hAnsi="仿宋" w:eastAsia="仿宋" w:cs="仿宋"/>
          <w:sz w:val="32"/>
          <w:szCs w:val="32"/>
        </w:rPr>
        <w:t>，向未成交的供应商和</w:t>
      </w:r>
      <w:bookmarkEnd w:id="46"/>
      <w:bookmarkEnd w:id="47"/>
      <w:bookmarkEnd w:id="48"/>
      <w:bookmarkEnd w:id="49"/>
      <w:bookmarkEnd w:id="50"/>
      <w:bookmarkEnd w:id="51"/>
      <w:bookmarkEnd w:id="52"/>
      <w:bookmarkEnd w:id="53"/>
      <w:bookmarkEnd w:id="54"/>
      <w:bookmarkEnd w:id="55"/>
      <w:bookmarkEnd w:id="56"/>
      <w:r>
        <w:rPr>
          <w:rFonts w:hint="eastAsia" w:ascii="仿宋" w:hAnsi="仿宋" w:eastAsia="仿宋" w:cs="仿宋"/>
          <w:sz w:val="32"/>
          <w:szCs w:val="32"/>
        </w:rPr>
        <w:t>成交人无息退还响应保证金。</w:t>
      </w:r>
    </w:p>
    <w:p w14:paraId="1B4E28D5">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7.有下列情形之一的，响应保证金将不予退还：</w:t>
      </w:r>
    </w:p>
    <w:p w14:paraId="17D5E3CB">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2484E5F0">
      <w:pPr>
        <w:overflowPunct w:val="0"/>
        <w:spacing w:line="540" w:lineRule="exact"/>
        <w:ind w:firstLine="320" w:firstLineChars="100"/>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332F9F18">
      <w:pPr>
        <w:pStyle w:val="5"/>
        <w:keepNext w:val="0"/>
        <w:keepLines w:val="0"/>
        <w:overflowPunct w:val="0"/>
        <w:spacing w:before="0" w:after="0" w:line="540" w:lineRule="exact"/>
        <w:ind w:firstLine="320" w:firstLineChars="100"/>
        <w:rPr>
          <w:rFonts w:ascii="仿宋" w:hAnsi="仿宋" w:eastAsia="仿宋" w:cs="仿宋"/>
          <w:sz w:val="32"/>
          <w:szCs w:val="32"/>
        </w:rPr>
      </w:pPr>
      <w:bookmarkStart w:id="57" w:name="_Toc21871"/>
      <w:bookmarkStart w:id="58" w:name="_Toc33795794"/>
      <w:bookmarkStart w:id="59" w:name="_Toc28216"/>
      <w:bookmarkStart w:id="60" w:name="_Toc24514"/>
      <w:r>
        <w:rPr>
          <w:rFonts w:hint="eastAsia" w:ascii="仿宋" w:hAnsi="仿宋" w:eastAsia="仿宋" w:cs="仿宋"/>
          <w:sz w:val="32"/>
          <w:szCs w:val="32"/>
        </w:rPr>
        <w:t>（四）资格审查资料</w:t>
      </w:r>
      <w:bookmarkEnd w:id="57"/>
      <w:bookmarkEnd w:id="58"/>
      <w:bookmarkEnd w:id="59"/>
      <w:bookmarkEnd w:id="60"/>
    </w:p>
    <w:p w14:paraId="280A18A2">
      <w:pPr>
        <w:pStyle w:val="5"/>
        <w:keepNext w:val="0"/>
        <w:keepLines w:val="0"/>
        <w:overflowPunct w:val="0"/>
        <w:spacing w:before="0" w:after="0" w:line="540" w:lineRule="exact"/>
        <w:ind w:firstLine="640" w:firstLineChars="200"/>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A3215A6">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5E180C44">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2.“近三年完成的类似项目情况表”应附从2022年9月至今的合同复印件。</w:t>
      </w:r>
    </w:p>
    <w:p w14:paraId="6D75E763">
      <w:pPr>
        <w:overflowPunct w:val="0"/>
        <w:spacing w:line="540" w:lineRule="exact"/>
        <w:ind w:firstLine="640" w:firstLineChars="200"/>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53353D28">
      <w:pPr>
        <w:pStyle w:val="15"/>
        <w:spacing w:before="0" w:after="0" w:line="540" w:lineRule="exact"/>
        <w:ind w:firstLine="647" w:firstLineChars="200"/>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27BCFE07">
      <w:pPr>
        <w:pStyle w:val="15"/>
        <w:spacing w:before="0" w:after="0" w:line="540" w:lineRule="exact"/>
        <w:ind w:firstLine="644" w:firstLineChars="200"/>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30</w:t>
      </w:r>
      <w:bookmarkStart w:id="138" w:name="_GoBack"/>
      <w:bookmarkEnd w:id="138"/>
      <w:r>
        <w:rPr>
          <w:rFonts w:hint="eastAsia" w:ascii="仿宋" w:hAnsi="仿宋" w:eastAsia="仿宋" w:cs="仿宋"/>
          <w:spacing w:val="1"/>
          <w:sz w:val="32"/>
          <w:szCs w:val="32"/>
          <w:lang w:eastAsia="zh-CN"/>
        </w:rPr>
        <w:t>日11时0分（北京时间）；</w:t>
      </w:r>
    </w:p>
    <w:p w14:paraId="0DD4B861">
      <w:pPr>
        <w:pStyle w:val="15"/>
        <w:spacing w:before="0" w:after="0" w:line="540" w:lineRule="exact"/>
        <w:ind w:firstLine="644" w:firstLineChars="200"/>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陕西锌业有限公司办公楼一楼招投标办公室</w:t>
      </w:r>
      <w:r>
        <w:rPr>
          <w:rFonts w:hint="eastAsia" w:ascii="仿宋" w:hAnsi="仿宋" w:eastAsia="仿宋" w:cs="仿宋"/>
          <w:sz w:val="32"/>
          <w:szCs w:val="32"/>
          <w:lang w:eastAsia="zh-CN"/>
        </w:rPr>
        <w:t>。</w:t>
      </w:r>
    </w:p>
    <w:p w14:paraId="409CF9B2">
      <w:pPr>
        <w:pStyle w:val="9"/>
        <w:widowControl/>
        <w:spacing w:beforeAutospacing="0" w:afterAutospacing="0" w:line="54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邮递地址：陕西省商洛市商州区沙河子镇陕西锌业有限公司一楼</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357A2921">
      <w:pPr>
        <w:pStyle w:val="9"/>
        <w:widowControl/>
        <w:spacing w:beforeAutospacing="0" w:afterAutospacing="0" w:line="54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（三）逾期送达或者未送达指定地点的询比采购文件，询比采购人不予受理，报价通过密封送达或邮递的方式，</w:t>
      </w:r>
      <w:r>
        <w:rPr>
          <w:rStyle w:val="13"/>
          <w:rFonts w:hint="eastAsia" w:ascii="仿宋" w:hAnsi="仿宋" w:eastAsia="仿宋" w:cs="仿宋"/>
          <w:color w:val="000000"/>
          <w:sz w:val="32"/>
          <w:szCs w:val="32"/>
        </w:rPr>
        <w:t>未密封的报价按无效报价处理</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（档案袋需要密封，并在封条上盖章，档案袋上需注明所投项目名称、报价人单位名称、报价人姓名、电话等信息，并盖章）。响应文件要求一正一副，胶装。</w:t>
      </w:r>
    </w:p>
    <w:p w14:paraId="40525D2E">
      <w:pPr>
        <w:pStyle w:val="9"/>
        <w:widowControl/>
        <w:spacing w:beforeAutospacing="0" w:afterAutospacing="0" w:line="54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收件人：白浩南   </w:t>
      </w:r>
      <w:r>
        <w:rPr>
          <w:rFonts w:ascii="仿宋" w:hAnsi="仿宋" w:eastAsia="仿宋" w:cs="仿宋"/>
          <w:color w:val="000000"/>
          <w:sz w:val="32"/>
          <w:szCs w:val="32"/>
        </w:rPr>
        <w:t xml:space="preserve">  </w:t>
      </w:r>
      <w:r>
        <w:rPr>
          <w:rFonts w:hint="eastAsia" w:ascii="仿宋" w:hAnsi="仿宋" w:eastAsia="仿宋" w:cs="仿宋"/>
          <w:color w:val="000000"/>
          <w:sz w:val="32"/>
          <w:szCs w:val="32"/>
        </w:rPr>
        <w:t>电话：</w:t>
      </w:r>
      <w:r>
        <w:rPr>
          <w:rFonts w:ascii="仿宋" w:hAnsi="仿宋" w:eastAsia="仿宋" w:cs="仿宋"/>
          <w:color w:val="000000"/>
          <w:sz w:val="32"/>
          <w:szCs w:val="32"/>
        </w:rPr>
        <w:t>18329587208</w:t>
      </w:r>
    </w:p>
    <w:p w14:paraId="330C49CB">
      <w:pPr>
        <w:pStyle w:val="9"/>
        <w:widowControl/>
        <w:spacing w:beforeAutospacing="0" w:afterAutospacing="0" w:line="540" w:lineRule="exact"/>
        <w:ind w:firstLine="645"/>
        <w:rPr>
          <w:rFonts w:ascii="仿宋" w:hAnsi="仿宋" w:eastAsia="仿宋" w:cs="仿宋"/>
          <w:color w:val="000000"/>
          <w:sz w:val="32"/>
          <w:szCs w:val="32"/>
        </w:rPr>
      </w:pPr>
      <w:r>
        <w:rPr>
          <w:rFonts w:hint="eastAsia" w:ascii="仿宋" w:hAnsi="仿宋" w:eastAsia="仿宋" w:cs="仿宋"/>
          <w:color w:val="000000"/>
          <w:sz w:val="32"/>
          <w:szCs w:val="32"/>
        </w:rPr>
        <w:t>技术联系人：张军     电话：1</w:t>
      </w:r>
      <w:r>
        <w:rPr>
          <w:rFonts w:ascii="仿宋" w:hAnsi="仿宋" w:eastAsia="仿宋" w:cs="仿宋"/>
          <w:color w:val="000000"/>
          <w:sz w:val="32"/>
          <w:szCs w:val="32"/>
        </w:rPr>
        <w:t>3154066660</w:t>
      </w:r>
    </w:p>
    <w:p w14:paraId="730EA648">
      <w:pPr>
        <w:pStyle w:val="4"/>
        <w:keepNext w:val="0"/>
        <w:keepLines w:val="0"/>
        <w:overflowPunct w:val="0"/>
        <w:spacing w:before="0" w:after="0" w:line="540" w:lineRule="exact"/>
        <w:ind w:firstLine="643" w:firstLineChars="200"/>
        <w:rPr>
          <w:rFonts w:ascii="仿宋" w:hAnsi="仿宋" w:eastAsia="仿宋" w:cs="仿宋"/>
          <w:szCs w:val="32"/>
        </w:rPr>
      </w:pPr>
      <w:r>
        <w:rPr>
          <w:rStyle w:val="13"/>
          <w:rFonts w:hint="eastAsia" w:ascii="仿宋" w:hAnsi="仿宋" w:eastAsia="仿宋" w:cs="仿宋"/>
          <w:b/>
          <w:color w:val="000000"/>
          <w:szCs w:val="32"/>
        </w:rPr>
        <w:t>五、响应文件的</w:t>
      </w:r>
      <w:r>
        <w:rPr>
          <w:rFonts w:hint="eastAsia" w:ascii="仿宋" w:hAnsi="仿宋" w:eastAsia="仿宋" w:cs="仿宋"/>
          <w:szCs w:val="32"/>
        </w:rPr>
        <w:t>评审</w:t>
      </w:r>
    </w:p>
    <w:p w14:paraId="6A158970">
      <w:pPr>
        <w:overflowPunct w:val="0"/>
        <w:spacing w:line="540" w:lineRule="exact"/>
        <w:ind w:firstLine="643" w:firstLineChars="200"/>
        <w:rPr>
          <w:rFonts w:ascii="仿宋" w:hAnsi="仿宋" w:eastAsia="仿宋" w:cs="仿宋"/>
          <w:b/>
          <w:sz w:val="32"/>
          <w:szCs w:val="32"/>
        </w:rPr>
      </w:pPr>
      <w:bookmarkStart w:id="61" w:name="_Toc33795807"/>
      <w:bookmarkStart w:id="62" w:name="_Toc9481"/>
      <w:bookmarkStart w:id="63" w:name="_Toc8518"/>
      <w:r>
        <w:rPr>
          <w:rFonts w:hint="eastAsia" w:ascii="仿宋" w:hAnsi="仿宋" w:eastAsia="仿宋" w:cs="仿宋"/>
          <w:b/>
          <w:sz w:val="32"/>
          <w:szCs w:val="32"/>
        </w:rPr>
        <w:t>本项目采用综合评定法确定入围单位。</w:t>
      </w:r>
    </w:p>
    <w:bookmarkEnd w:id="61"/>
    <w:bookmarkEnd w:id="62"/>
    <w:bookmarkEnd w:id="63"/>
    <w:p w14:paraId="239ADB87">
      <w:pPr>
        <w:pStyle w:val="4"/>
        <w:keepNext w:val="0"/>
        <w:keepLines w:val="0"/>
        <w:overflowPunct w:val="0"/>
        <w:spacing w:before="0" w:after="0" w:line="540" w:lineRule="exact"/>
        <w:ind w:firstLine="643" w:firstLineChars="200"/>
        <w:rPr>
          <w:rFonts w:ascii="仿宋" w:hAnsi="仿宋" w:eastAsia="仿宋" w:cs="仿宋"/>
          <w:szCs w:val="32"/>
        </w:rPr>
      </w:pPr>
      <w:r>
        <w:rPr>
          <w:rFonts w:hint="eastAsia" w:ascii="仿宋" w:hAnsi="仿宋" w:eastAsia="仿宋" w:cs="仿宋"/>
          <w:szCs w:val="32"/>
        </w:rPr>
        <w:t>六、合同授予</w:t>
      </w:r>
    </w:p>
    <w:p w14:paraId="50B1D0D2">
      <w:pPr>
        <w:pStyle w:val="5"/>
        <w:keepNext w:val="0"/>
        <w:keepLines w:val="0"/>
        <w:overflowPunct w:val="0"/>
        <w:spacing w:before="0" w:after="0" w:line="540" w:lineRule="exact"/>
        <w:ind w:firstLine="320" w:firstLineChars="100"/>
        <w:rPr>
          <w:rFonts w:ascii="仿宋" w:hAnsi="仿宋" w:eastAsia="仿宋" w:cs="仿宋"/>
          <w:sz w:val="32"/>
          <w:szCs w:val="32"/>
        </w:rPr>
      </w:pPr>
      <w:bookmarkStart w:id="64" w:name="_Toc33795808"/>
      <w:bookmarkStart w:id="65" w:name="_Toc21093"/>
      <w:bookmarkStart w:id="66" w:name="_Toc30852"/>
      <w:bookmarkStart w:id="67" w:name="_Toc16094"/>
      <w:r>
        <w:rPr>
          <w:rFonts w:hint="eastAsia" w:ascii="仿宋" w:hAnsi="仿宋" w:eastAsia="仿宋" w:cs="仿宋"/>
          <w:sz w:val="32"/>
          <w:szCs w:val="32"/>
        </w:rPr>
        <w:t>（一）成交候选人公示</w:t>
      </w:r>
      <w:bookmarkEnd w:id="64"/>
      <w:bookmarkEnd w:id="65"/>
      <w:bookmarkEnd w:id="66"/>
      <w:bookmarkEnd w:id="67"/>
    </w:p>
    <w:p w14:paraId="399913FF">
      <w:pPr>
        <w:overflowPunct w:val="0"/>
        <w:spacing w:line="540" w:lineRule="exact"/>
        <w:ind w:firstLine="640" w:firstLineChars="200"/>
        <w:rPr>
          <w:rFonts w:ascii="仿宋" w:hAnsi="仿宋" w:eastAsia="仿宋" w:cs="仿宋"/>
          <w:sz w:val="32"/>
          <w:szCs w:val="32"/>
        </w:rPr>
      </w:pPr>
      <w:bookmarkStart w:id="68" w:name="_Toc10372"/>
      <w:bookmarkStart w:id="69" w:name="_Toc19079"/>
      <w:bookmarkStart w:id="70" w:name="_Toc33795809"/>
      <w:bookmarkStart w:id="71" w:name="_Toc7018"/>
      <w:r>
        <w:rPr>
          <w:rFonts w:hint="eastAsia" w:ascii="仿宋" w:hAnsi="仿宋" w:eastAsia="仿宋" w:cs="仿宋"/>
          <w:sz w:val="32"/>
          <w:szCs w:val="32"/>
        </w:rPr>
        <w:t>在陕西锌业有限公司网络采购平台www.sxxyjjpt.com公示成交候选人，公示期不少于3天。</w:t>
      </w:r>
    </w:p>
    <w:p w14:paraId="24567029">
      <w:pPr>
        <w:pStyle w:val="5"/>
        <w:keepNext w:val="0"/>
        <w:keepLines w:val="0"/>
        <w:overflowPunct w:val="0"/>
        <w:spacing w:before="0" w:after="0" w:line="540" w:lineRule="exact"/>
        <w:ind w:firstLine="320" w:firstLineChars="100"/>
        <w:rPr>
          <w:rFonts w:ascii="仿宋" w:hAnsi="仿宋" w:eastAsia="仿宋" w:cs="仿宋"/>
          <w:sz w:val="32"/>
          <w:szCs w:val="32"/>
        </w:rPr>
      </w:pPr>
      <w:r>
        <w:rPr>
          <w:rFonts w:hint="eastAsia" w:ascii="仿宋" w:hAnsi="仿宋" w:eastAsia="仿宋" w:cs="仿宋"/>
          <w:sz w:val="32"/>
          <w:szCs w:val="32"/>
        </w:rPr>
        <w:t>（二）评审结果异议</w:t>
      </w:r>
      <w:bookmarkEnd w:id="68"/>
      <w:bookmarkEnd w:id="69"/>
      <w:bookmarkEnd w:id="70"/>
      <w:bookmarkEnd w:id="71"/>
    </w:p>
    <w:p w14:paraId="10A04253">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供应商或者其他利</w:t>
      </w:r>
      <w:bookmarkStart w:id="72" w:name="_Toc247513985"/>
      <w:bookmarkStart w:id="73" w:name="_Toc144974529"/>
      <w:bookmarkStart w:id="74" w:name="_Toc247527586"/>
      <w:bookmarkStart w:id="75" w:name="_Toc152042337"/>
      <w:bookmarkStart w:id="76" w:name="_Toc300834982"/>
      <w:bookmarkStart w:id="77" w:name="_Toc369531549"/>
      <w:bookmarkStart w:id="78" w:name="_Toc352691505"/>
      <w:bookmarkStart w:id="79" w:name="_Toc30095"/>
      <w:bookmarkStart w:id="80" w:name="_Toc361508618"/>
      <w:bookmarkStart w:id="81" w:name="_Toc384308243"/>
      <w:bookmarkStart w:id="82" w:name="_Toc152045561"/>
      <w:r>
        <w:rPr>
          <w:rFonts w:hint="eastAsia" w:ascii="仿宋" w:hAnsi="仿宋" w:eastAsia="仿宋" w:cs="仿宋"/>
          <w:sz w:val="32"/>
          <w:szCs w:val="32"/>
        </w:rPr>
        <w:t>害关系人对</w:t>
      </w:r>
      <w:bookmarkEnd w:id="72"/>
      <w:bookmarkEnd w:id="73"/>
      <w:bookmarkEnd w:id="74"/>
      <w:bookmarkEnd w:id="75"/>
      <w:bookmarkEnd w:id="76"/>
      <w:bookmarkEnd w:id="77"/>
      <w:bookmarkEnd w:id="78"/>
      <w:bookmarkEnd w:id="79"/>
      <w:bookmarkEnd w:id="80"/>
      <w:bookmarkEnd w:id="81"/>
      <w:bookmarkEnd w:id="82"/>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32A5E5B9">
      <w:pPr>
        <w:pStyle w:val="5"/>
        <w:keepNext w:val="0"/>
        <w:keepLines w:val="0"/>
        <w:overflowPunct w:val="0"/>
        <w:spacing w:before="0" w:after="0" w:line="540" w:lineRule="exact"/>
        <w:ind w:firstLine="320" w:firstLineChars="100"/>
        <w:rPr>
          <w:rFonts w:ascii="仿宋" w:hAnsi="仿宋" w:eastAsia="仿宋" w:cs="仿宋"/>
          <w:sz w:val="32"/>
          <w:szCs w:val="32"/>
        </w:rPr>
      </w:pPr>
      <w:bookmarkStart w:id="83" w:name="_Toc25590"/>
      <w:bookmarkStart w:id="84" w:name="_Toc21648"/>
      <w:bookmarkStart w:id="85" w:name="_Toc33795810"/>
      <w:bookmarkStart w:id="86" w:name="_Toc28756"/>
      <w:r>
        <w:rPr>
          <w:rFonts w:hint="eastAsia" w:ascii="仿宋" w:hAnsi="仿宋" w:eastAsia="仿宋" w:cs="仿宋"/>
          <w:sz w:val="32"/>
          <w:szCs w:val="32"/>
        </w:rPr>
        <w:t>（三）成交候选人履约能力审查</w:t>
      </w:r>
      <w:bookmarkEnd w:id="83"/>
      <w:bookmarkEnd w:id="84"/>
      <w:bookmarkEnd w:id="85"/>
      <w:bookmarkEnd w:id="86"/>
    </w:p>
    <w:p w14:paraId="4CD8ED28">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53332123">
      <w:pPr>
        <w:pStyle w:val="5"/>
        <w:keepNext w:val="0"/>
        <w:keepLines w:val="0"/>
        <w:overflowPunct w:val="0"/>
        <w:spacing w:before="0" w:after="0" w:line="540" w:lineRule="exact"/>
        <w:ind w:firstLine="320" w:firstLineChars="100"/>
        <w:rPr>
          <w:rFonts w:ascii="仿宋" w:hAnsi="仿宋" w:eastAsia="仿宋" w:cs="仿宋"/>
          <w:sz w:val="32"/>
          <w:szCs w:val="32"/>
        </w:rPr>
      </w:pPr>
      <w:bookmarkStart w:id="87" w:name="_Toc19470"/>
      <w:bookmarkStart w:id="88" w:name="_Toc33795811"/>
      <w:bookmarkStart w:id="89" w:name="_Toc24665"/>
      <w:bookmarkStart w:id="90" w:name="_Toc2191"/>
      <w:r>
        <w:rPr>
          <w:rFonts w:hint="eastAsia" w:ascii="仿宋" w:hAnsi="仿宋" w:eastAsia="仿宋" w:cs="仿宋"/>
          <w:sz w:val="32"/>
          <w:szCs w:val="32"/>
        </w:rPr>
        <w:t>（四）</w:t>
      </w:r>
      <w:bookmarkEnd w:id="87"/>
      <w:bookmarkEnd w:id="88"/>
      <w:bookmarkEnd w:id="89"/>
      <w:bookmarkEnd w:id="90"/>
      <w:r>
        <w:rPr>
          <w:rFonts w:hint="eastAsia" w:ascii="仿宋" w:hAnsi="仿宋" w:eastAsia="仿宋" w:cs="仿宋"/>
          <w:sz w:val="32"/>
          <w:szCs w:val="32"/>
        </w:rPr>
        <w:t>确定成交人</w:t>
      </w:r>
    </w:p>
    <w:p w14:paraId="6B6E986F">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3B3AEF1E">
      <w:pPr>
        <w:pStyle w:val="5"/>
        <w:keepNext w:val="0"/>
        <w:keepLines w:val="0"/>
        <w:overflowPunct w:val="0"/>
        <w:spacing w:before="0" w:after="0" w:line="540" w:lineRule="exact"/>
        <w:ind w:firstLine="157"/>
        <w:rPr>
          <w:rFonts w:ascii="仿宋" w:hAnsi="仿宋" w:eastAsia="仿宋" w:cs="仿宋"/>
          <w:sz w:val="32"/>
          <w:szCs w:val="32"/>
        </w:rPr>
      </w:pPr>
      <w:bookmarkStart w:id="91" w:name="_Toc14362"/>
      <w:bookmarkStart w:id="92" w:name="_Toc11183"/>
      <w:bookmarkStart w:id="93" w:name="_Toc33795814"/>
      <w:bookmarkStart w:id="94" w:name="_Toc3671"/>
      <w:r>
        <w:rPr>
          <w:rFonts w:hint="eastAsia" w:ascii="仿宋" w:hAnsi="仿宋" w:eastAsia="仿宋" w:cs="仿宋"/>
          <w:sz w:val="32"/>
          <w:szCs w:val="32"/>
        </w:rPr>
        <w:t>（五）签订合同</w:t>
      </w:r>
      <w:bookmarkEnd w:id="91"/>
      <w:bookmarkEnd w:id="92"/>
      <w:bookmarkEnd w:id="93"/>
      <w:bookmarkEnd w:id="94"/>
    </w:p>
    <w:p w14:paraId="019DC1A4">
      <w:pPr>
        <w:overflowPunct w:val="0"/>
        <w:spacing w:line="540" w:lineRule="exact"/>
        <w:ind w:firstLine="640" w:firstLineChars="200"/>
        <w:rPr>
          <w:rFonts w:ascii="仿宋" w:hAnsi="仿宋" w:eastAsia="仿宋" w:cs="仿宋"/>
          <w:sz w:val="32"/>
          <w:szCs w:val="32"/>
        </w:rPr>
      </w:pPr>
      <w:bookmarkStart w:id="95" w:name="_Toc384308252"/>
      <w:bookmarkStart w:id="96" w:name="_Toc361508627"/>
      <w:bookmarkStart w:id="97" w:name="_Toc24067"/>
      <w:bookmarkStart w:id="98" w:name="_Toc144974536"/>
      <w:bookmarkStart w:id="99" w:name="_Toc247513992"/>
      <w:bookmarkStart w:id="100" w:name="_Toc300834991"/>
      <w:bookmarkStart w:id="101" w:name="_Toc247527593"/>
      <w:bookmarkStart w:id="102" w:name="_Toc152045568"/>
      <w:bookmarkStart w:id="103" w:name="_Toc152042344"/>
      <w:r>
        <w:rPr>
          <w:rFonts w:hint="eastAsia" w:ascii="仿宋" w:hAnsi="仿宋" w:eastAsia="仿宋" w:cs="仿宋"/>
          <w:sz w:val="32"/>
          <w:szCs w:val="32"/>
        </w:rPr>
        <w:t>1.采购人和成交供应商应当在响应有效期内，且在收到成交通知之日起</w:t>
      </w:r>
      <w:bookmarkStart w:id="104" w:name="_Toc352691509"/>
      <w:bookmarkStart w:id="105" w:name="_Toc152045564"/>
      <w:bookmarkStart w:id="106" w:name="_Toc144974532"/>
      <w:bookmarkStart w:id="107" w:name="_Toc300834986"/>
      <w:bookmarkStart w:id="108" w:name="_Toc247527589"/>
      <w:bookmarkStart w:id="109" w:name="_Toc247513988"/>
      <w:bookmarkStart w:id="110" w:name="_Toc369531553"/>
      <w:bookmarkStart w:id="111" w:name="_Toc384308247"/>
      <w:bookmarkStart w:id="112" w:name="_Toc152042340"/>
      <w:bookmarkStart w:id="113" w:name="_Toc4656"/>
      <w:bookmarkStart w:id="114" w:name="_Toc361508622"/>
      <w:r>
        <w:rPr>
          <w:rFonts w:hint="eastAsia" w:ascii="仿宋" w:hAnsi="仿宋" w:eastAsia="仿宋" w:cs="仿宋"/>
          <w:sz w:val="32"/>
          <w:szCs w:val="32"/>
        </w:rPr>
        <w:t>7日内，根据</w:t>
      </w:r>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cs="仿宋"/>
          <w:sz w:val="32"/>
          <w:szCs w:val="32"/>
        </w:rPr>
        <w:t>询比采购文件和成交人的响应文件订立书面合同。成交人无正</w:t>
      </w:r>
      <w:bookmarkStart w:id="115" w:name="_Toc18247"/>
      <w:bookmarkStart w:id="116" w:name="_Toc361508623"/>
      <w:bookmarkStart w:id="117" w:name="_Toc369531554"/>
      <w:bookmarkStart w:id="118" w:name="_Toc384308248"/>
      <w:bookmarkStart w:id="119" w:name="_Toc144974533"/>
      <w:bookmarkStart w:id="120" w:name="_Toc300834987"/>
      <w:bookmarkStart w:id="121" w:name="_Toc152042341"/>
      <w:bookmarkStart w:id="122" w:name="_Toc247527590"/>
      <w:bookmarkStart w:id="123" w:name="_Toc152045565"/>
      <w:bookmarkStart w:id="124" w:name="_Toc352691510"/>
      <w:bookmarkStart w:id="125" w:name="_Toc247513989"/>
      <w:r>
        <w:rPr>
          <w:rFonts w:hint="eastAsia" w:ascii="仿宋" w:hAnsi="仿宋" w:eastAsia="仿宋" w:cs="仿宋"/>
          <w:sz w:val="32"/>
          <w:szCs w:val="32"/>
        </w:rPr>
        <w:t>当理由拒签合</w:t>
      </w:r>
      <w:bookmarkEnd w:id="115"/>
      <w:bookmarkEnd w:id="116"/>
      <w:bookmarkEnd w:id="117"/>
      <w:bookmarkEnd w:id="118"/>
      <w:bookmarkEnd w:id="119"/>
      <w:bookmarkEnd w:id="120"/>
      <w:bookmarkEnd w:id="121"/>
      <w:bookmarkEnd w:id="122"/>
      <w:bookmarkEnd w:id="123"/>
      <w:bookmarkEnd w:id="124"/>
      <w:bookmarkEnd w:id="125"/>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5678CF5F">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95"/>
    <w:bookmarkEnd w:id="96"/>
    <w:bookmarkEnd w:id="97"/>
    <w:p w14:paraId="34CF979B">
      <w:pPr>
        <w:pStyle w:val="4"/>
        <w:keepNext w:val="0"/>
        <w:keepLines w:val="0"/>
        <w:overflowPunct w:val="0"/>
        <w:spacing w:before="0" w:after="0" w:line="540" w:lineRule="exact"/>
        <w:ind w:firstLine="643" w:firstLineChars="200"/>
        <w:rPr>
          <w:rFonts w:ascii="仿宋" w:hAnsi="仿宋" w:eastAsia="仿宋" w:cs="仿宋"/>
          <w:szCs w:val="32"/>
        </w:rPr>
      </w:pPr>
      <w:bookmarkStart w:id="126" w:name="_Toc14752"/>
      <w:bookmarkStart w:id="127" w:name="_Toc25347"/>
      <w:bookmarkStart w:id="128" w:name="_Toc33795815"/>
      <w:r>
        <w:rPr>
          <w:rFonts w:hint="eastAsia" w:ascii="仿宋" w:hAnsi="仿宋" w:eastAsia="仿宋" w:cs="仿宋"/>
          <w:szCs w:val="32"/>
        </w:rPr>
        <w:t>七、纪律和监督</w:t>
      </w:r>
      <w:bookmarkEnd w:id="126"/>
      <w:bookmarkEnd w:id="127"/>
      <w:bookmarkEnd w:id="128"/>
    </w:p>
    <w:p w14:paraId="3F675B51">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6015F624">
      <w:pPr>
        <w:overflowPunct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29" w:name="_Toc352691515"/>
      <w:bookmarkStart w:id="130" w:name="_Toc361508628"/>
      <w:bookmarkStart w:id="131" w:name="_Toc384308253"/>
      <w:bookmarkStart w:id="132" w:name="_Toc369531559"/>
      <w:bookmarkStart w:id="133" w:name="_Toc13644"/>
      <w:r>
        <w:rPr>
          <w:rFonts w:hint="eastAsia" w:ascii="仿宋" w:hAnsi="仿宋" w:eastAsia="仿宋" w:cs="仿宋"/>
          <w:sz w:val="32"/>
          <w:szCs w:val="32"/>
        </w:rPr>
        <w:t>和比较、</w:t>
      </w:r>
      <w:bookmarkEnd w:id="98"/>
      <w:bookmarkEnd w:id="99"/>
      <w:bookmarkEnd w:id="100"/>
      <w:bookmarkEnd w:id="101"/>
      <w:bookmarkEnd w:id="102"/>
      <w:bookmarkEnd w:id="103"/>
      <w:bookmarkEnd w:id="129"/>
      <w:bookmarkEnd w:id="130"/>
      <w:bookmarkEnd w:id="131"/>
      <w:bookmarkEnd w:id="132"/>
      <w:bookmarkEnd w:id="133"/>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435C2488">
      <w:pPr>
        <w:pStyle w:val="5"/>
        <w:keepNext w:val="0"/>
        <w:keepLines w:val="0"/>
        <w:overflowPunct w:val="0"/>
        <w:spacing w:before="0" w:after="0" w:line="540" w:lineRule="exact"/>
        <w:ind w:firstLine="640" w:firstLineChars="200"/>
        <w:rPr>
          <w:rFonts w:ascii="仿宋" w:hAnsi="仿宋" w:eastAsia="仿宋" w:cs="仿宋"/>
          <w:sz w:val="32"/>
          <w:szCs w:val="32"/>
        </w:rPr>
      </w:pPr>
      <w:bookmarkStart w:id="134" w:name="_Toc22294"/>
      <w:bookmarkStart w:id="135" w:name="_Toc18070"/>
      <w:bookmarkStart w:id="136" w:name="_Toc24957"/>
      <w:bookmarkStart w:id="137" w:name="_Toc33795820"/>
      <w:r>
        <w:rPr>
          <w:rFonts w:hint="eastAsia" w:ascii="仿宋" w:hAnsi="仿宋" w:eastAsia="仿宋" w:cs="仿宋"/>
          <w:sz w:val="32"/>
          <w:szCs w:val="32"/>
        </w:rPr>
        <w:t>（三）异议</w:t>
      </w:r>
      <w:bookmarkEnd w:id="134"/>
      <w:bookmarkEnd w:id="135"/>
      <w:bookmarkEnd w:id="136"/>
      <w:bookmarkEnd w:id="137"/>
    </w:p>
    <w:p w14:paraId="2060F2ED">
      <w:pPr>
        <w:overflowPunct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770CA607">
      <w:pPr>
        <w:overflowPunct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36007407">
      <w:pPr>
        <w:overflowPunct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7D3B4208">
      <w:pPr>
        <w:overflowPunct w:val="0"/>
        <w:spacing w:line="520" w:lineRule="exact"/>
        <w:ind w:firstLine="640" w:firstLineChars="200"/>
        <w:rPr>
          <w:rFonts w:ascii="仿宋" w:hAnsi="仿宋" w:eastAsia="仿宋" w:cs="仿宋"/>
          <w:kern w:val="0"/>
          <w:sz w:val="32"/>
          <w:szCs w:val="32"/>
        </w:rPr>
      </w:pPr>
    </w:p>
    <w:p w14:paraId="312DDE17">
      <w:pPr>
        <w:overflowPunct w:val="0"/>
        <w:spacing w:line="520" w:lineRule="exact"/>
        <w:rPr>
          <w:rFonts w:ascii="仿宋" w:hAnsi="仿宋" w:eastAsia="仿宋" w:cs="仿宋"/>
          <w:sz w:val="32"/>
          <w:szCs w:val="32"/>
        </w:rPr>
      </w:pPr>
    </w:p>
    <w:p w14:paraId="524EBB2E">
      <w:pPr>
        <w:overflowPunct w:val="0"/>
        <w:spacing w:line="520" w:lineRule="exact"/>
        <w:ind w:firstLine="4160" w:firstLineChars="1300"/>
        <w:rPr>
          <w:rFonts w:ascii="仿宋" w:hAnsi="仿宋" w:eastAsia="仿宋" w:cs="仿宋"/>
          <w:sz w:val="32"/>
          <w:szCs w:val="32"/>
        </w:rPr>
      </w:pPr>
      <w:r>
        <w:rPr>
          <w:rFonts w:hint="eastAsia" w:ascii="仿宋" w:hAnsi="仿宋" w:eastAsia="仿宋" w:cs="仿宋"/>
          <w:sz w:val="32"/>
          <w:szCs w:val="32"/>
        </w:rPr>
        <w:t>陕西锌业有限公司</w:t>
      </w:r>
    </w:p>
    <w:p w14:paraId="0C7778DF">
      <w:pPr>
        <w:overflowPunct w:val="0"/>
        <w:spacing w:line="520" w:lineRule="exact"/>
        <w:ind w:firstLine="4160" w:firstLineChars="1300"/>
        <w:rPr>
          <w:rFonts w:ascii="宋体" w:hAnsi="宋体" w:eastAsia="宋体" w:cs="宋体"/>
          <w:sz w:val="36"/>
          <w:szCs w:val="36"/>
        </w:rPr>
      </w:pPr>
      <w:r>
        <w:rPr>
          <w:rFonts w:hint="eastAsia" w:ascii="仿宋" w:hAnsi="仿宋" w:eastAsia="仿宋" w:cs="仿宋"/>
          <w:sz w:val="32"/>
          <w:szCs w:val="32"/>
        </w:rPr>
        <w:t>2025年</w:t>
      </w:r>
      <w:r>
        <w:rPr>
          <w:rFonts w:ascii="仿宋" w:hAnsi="仿宋" w:eastAsia="仿宋" w:cs="仿宋"/>
          <w:sz w:val="32"/>
          <w:szCs w:val="32"/>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00CD60BF">
      <w:pPr>
        <w:topLinePunct/>
        <w:spacing w:line="520" w:lineRule="exact"/>
      </w:pPr>
    </w:p>
    <w:p w14:paraId="743A7063">
      <w:pPr>
        <w:topLinePunct/>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4AA26-FEB6-4B21-8845-39B9FC3000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E317D01-D41F-4CB1-982B-D7B840103BEE}"/>
  </w:font>
  <w:font w:name="微软雅黑">
    <w:panose1 w:val="020B0503020204020204"/>
    <w:charset w:val="86"/>
    <w:family w:val="swiss"/>
    <w:pitch w:val="default"/>
    <w:sig w:usb0="80000287" w:usb1="2ACF3C50" w:usb2="00000016" w:usb3="00000000" w:csb0="0004001F" w:csb1="00000000"/>
    <w:embedRegular r:id="rId3" w:fontKey="{801463EC-4F56-44D2-BFEE-558A386546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9C00">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6DC983">
                          <w:pPr>
                            <w:pStyle w:val="8"/>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D6DC983">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7952">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581DCA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785A">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33037"/>
    <w:rsid w:val="00072A32"/>
    <w:rsid w:val="002A4216"/>
    <w:rsid w:val="00352983"/>
    <w:rsid w:val="00383501"/>
    <w:rsid w:val="00450331"/>
    <w:rsid w:val="00470E83"/>
    <w:rsid w:val="00875FF4"/>
    <w:rsid w:val="00926C17"/>
    <w:rsid w:val="009E7F19"/>
    <w:rsid w:val="00A06977"/>
    <w:rsid w:val="00A46B7B"/>
    <w:rsid w:val="00AE0DAD"/>
    <w:rsid w:val="00CB6297"/>
    <w:rsid w:val="00D93544"/>
    <w:rsid w:val="00DE6917"/>
    <w:rsid w:val="00E35CB5"/>
    <w:rsid w:val="00E35FA1"/>
    <w:rsid w:val="00E5416B"/>
    <w:rsid w:val="00FC03B5"/>
    <w:rsid w:val="01251650"/>
    <w:rsid w:val="01A67659"/>
    <w:rsid w:val="023E2922"/>
    <w:rsid w:val="026A1189"/>
    <w:rsid w:val="03C330A1"/>
    <w:rsid w:val="051379D8"/>
    <w:rsid w:val="05BE40FB"/>
    <w:rsid w:val="06141C07"/>
    <w:rsid w:val="076A5F83"/>
    <w:rsid w:val="07720B9B"/>
    <w:rsid w:val="08B1198F"/>
    <w:rsid w:val="08D00E36"/>
    <w:rsid w:val="0AA3355A"/>
    <w:rsid w:val="0B0A4D8C"/>
    <w:rsid w:val="0CAF4DC4"/>
    <w:rsid w:val="102F1EF5"/>
    <w:rsid w:val="106F0166"/>
    <w:rsid w:val="10CE5CD3"/>
    <w:rsid w:val="114161E7"/>
    <w:rsid w:val="130628D8"/>
    <w:rsid w:val="14F74BCE"/>
    <w:rsid w:val="14F90946"/>
    <w:rsid w:val="14FD19B0"/>
    <w:rsid w:val="15350822"/>
    <w:rsid w:val="17725CE9"/>
    <w:rsid w:val="19B65298"/>
    <w:rsid w:val="19BF0744"/>
    <w:rsid w:val="19BF485E"/>
    <w:rsid w:val="19EF056A"/>
    <w:rsid w:val="1AEC4493"/>
    <w:rsid w:val="1B177D78"/>
    <w:rsid w:val="1DA8115B"/>
    <w:rsid w:val="1DB27CC5"/>
    <w:rsid w:val="1DD30B53"/>
    <w:rsid w:val="1E1E31CB"/>
    <w:rsid w:val="1E34479D"/>
    <w:rsid w:val="207E073E"/>
    <w:rsid w:val="20A977A1"/>
    <w:rsid w:val="21834158"/>
    <w:rsid w:val="220426D8"/>
    <w:rsid w:val="2245341D"/>
    <w:rsid w:val="22F5715A"/>
    <w:rsid w:val="241430A6"/>
    <w:rsid w:val="2452597D"/>
    <w:rsid w:val="24D2374D"/>
    <w:rsid w:val="257B5469"/>
    <w:rsid w:val="257B685F"/>
    <w:rsid w:val="265F25D3"/>
    <w:rsid w:val="27CC3C98"/>
    <w:rsid w:val="297D7484"/>
    <w:rsid w:val="2A2E0C3A"/>
    <w:rsid w:val="2A4B3DED"/>
    <w:rsid w:val="2B757BA5"/>
    <w:rsid w:val="2BF61145"/>
    <w:rsid w:val="2D331C6F"/>
    <w:rsid w:val="2DE05E9B"/>
    <w:rsid w:val="2E033918"/>
    <w:rsid w:val="2EA4771D"/>
    <w:rsid w:val="31832E12"/>
    <w:rsid w:val="32A1627D"/>
    <w:rsid w:val="33260700"/>
    <w:rsid w:val="333C7F24"/>
    <w:rsid w:val="333D3C9C"/>
    <w:rsid w:val="339B5162"/>
    <w:rsid w:val="34DF16EF"/>
    <w:rsid w:val="354E1250"/>
    <w:rsid w:val="358E6037"/>
    <w:rsid w:val="37991DE9"/>
    <w:rsid w:val="38C369F1"/>
    <w:rsid w:val="39974106"/>
    <w:rsid w:val="3A3A65D2"/>
    <w:rsid w:val="3A561988"/>
    <w:rsid w:val="3BFF184D"/>
    <w:rsid w:val="3CB63F34"/>
    <w:rsid w:val="3CCA65A0"/>
    <w:rsid w:val="3CEB6517"/>
    <w:rsid w:val="3CFB6595"/>
    <w:rsid w:val="3CFD6BB7"/>
    <w:rsid w:val="3D34475C"/>
    <w:rsid w:val="3E3C01FF"/>
    <w:rsid w:val="3FE9293F"/>
    <w:rsid w:val="405A4224"/>
    <w:rsid w:val="427A5715"/>
    <w:rsid w:val="433C5D1E"/>
    <w:rsid w:val="44093E52"/>
    <w:rsid w:val="44107006"/>
    <w:rsid w:val="44920CB0"/>
    <w:rsid w:val="45726E52"/>
    <w:rsid w:val="45A00D58"/>
    <w:rsid w:val="460F14C8"/>
    <w:rsid w:val="46637C62"/>
    <w:rsid w:val="46933C70"/>
    <w:rsid w:val="4B896DF6"/>
    <w:rsid w:val="4CB27A82"/>
    <w:rsid w:val="4D66647C"/>
    <w:rsid w:val="4E6B74B7"/>
    <w:rsid w:val="4F18763F"/>
    <w:rsid w:val="4F2D1733"/>
    <w:rsid w:val="500261D8"/>
    <w:rsid w:val="50610B72"/>
    <w:rsid w:val="509B2FD7"/>
    <w:rsid w:val="51D376E3"/>
    <w:rsid w:val="523676EA"/>
    <w:rsid w:val="524F1A19"/>
    <w:rsid w:val="54EB7CA8"/>
    <w:rsid w:val="55EF7BB3"/>
    <w:rsid w:val="55F20E2B"/>
    <w:rsid w:val="56737851"/>
    <w:rsid w:val="5680683F"/>
    <w:rsid w:val="56F815DC"/>
    <w:rsid w:val="57711FE2"/>
    <w:rsid w:val="59907EED"/>
    <w:rsid w:val="5A715E56"/>
    <w:rsid w:val="5B00740E"/>
    <w:rsid w:val="5B97061C"/>
    <w:rsid w:val="5C02145B"/>
    <w:rsid w:val="5C2B04AE"/>
    <w:rsid w:val="5C594DF3"/>
    <w:rsid w:val="5CE71330"/>
    <w:rsid w:val="5D042FB1"/>
    <w:rsid w:val="5DA87DE0"/>
    <w:rsid w:val="5DCA09A3"/>
    <w:rsid w:val="5E8D407E"/>
    <w:rsid w:val="5F213A10"/>
    <w:rsid w:val="5F8C5DB5"/>
    <w:rsid w:val="602C2F4B"/>
    <w:rsid w:val="60675D3C"/>
    <w:rsid w:val="6077565B"/>
    <w:rsid w:val="60C97FB7"/>
    <w:rsid w:val="61137C66"/>
    <w:rsid w:val="61483E9A"/>
    <w:rsid w:val="61D92AF5"/>
    <w:rsid w:val="62B64D4D"/>
    <w:rsid w:val="63D009D4"/>
    <w:rsid w:val="6483301F"/>
    <w:rsid w:val="64B22605"/>
    <w:rsid w:val="661E50E3"/>
    <w:rsid w:val="66452F0C"/>
    <w:rsid w:val="6667362D"/>
    <w:rsid w:val="671D4BFD"/>
    <w:rsid w:val="672C3830"/>
    <w:rsid w:val="68365066"/>
    <w:rsid w:val="68FE0F77"/>
    <w:rsid w:val="69B729ED"/>
    <w:rsid w:val="69E314DA"/>
    <w:rsid w:val="69F446AA"/>
    <w:rsid w:val="6A445335"/>
    <w:rsid w:val="6BD87931"/>
    <w:rsid w:val="6C2347F8"/>
    <w:rsid w:val="6CCD1611"/>
    <w:rsid w:val="6CE26D5D"/>
    <w:rsid w:val="6DB30807"/>
    <w:rsid w:val="6E880895"/>
    <w:rsid w:val="6F4D07E7"/>
    <w:rsid w:val="7015517E"/>
    <w:rsid w:val="703561B0"/>
    <w:rsid w:val="70626755"/>
    <w:rsid w:val="707458D8"/>
    <w:rsid w:val="70C90342"/>
    <w:rsid w:val="72E3289C"/>
    <w:rsid w:val="736305DA"/>
    <w:rsid w:val="74F87447"/>
    <w:rsid w:val="7530098F"/>
    <w:rsid w:val="76987E92"/>
    <w:rsid w:val="784D172F"/>
    <w:rsid w:val="789149C9"/>
    <w:rsid w:val="7C6E0553"/>
    <w:rsid w:val="7D8E0949"/>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1"/>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 w:type="paragraph" w:customStyle="1" w:styleId="28">
    <w:name w:val="Table Text"/>
    <w:basedOn w:val="1"/>
    <w:semiHidden/>
    <w:qFormat/>
    <w:uiPriority w:val="0"/>
    <w:rPr>
      <w:rFonts w:ascii="宋体" w:hAnsi="宋体" w:eastAsia="宋体" w:cs="宋体"/>
      <w:sz w:val="24"/>
      <w:lang w:eastAsia="en-US"/>
    </w:rPr>
  </w:style>
  <w:style w:type="table" w:customStyle="1" w:styleId="29">
    <w:name w:val="Table Normal"/>
    <w:unhideWhenUsed/>
    <w:qFormat/>
    <w:uiPriority w:val="0"/>
    <w:tblPr>
      <w:tblCellMar>
        <w:top w:w="0" w:type="dxa"/>
        <w:left w:w="0" w:type="dxa"/>
        <w:bottom w:w="0" w:type="dxa"/>
        <w:right w:w="0" w:type="dxa"/>
      </w:tblCellMar>
    </w:tbl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2341</Words>
  <Characters>2490</Characters>
  <Lines>27</Lines>
  <Paragraphs>7</Paragraphs>
  <TotalTime>591</TotalTime>
  <ScaleCrop>false</ScaleCrop>
  <LinksUpToDate>false</LinksUpToDate>
  <CharactersWithSpaces>2508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2025-09-03T05:51:00Z</cp:lastPrinted>
  <dcterms:modified xsi:type="dcterms:W3CDTF">2025-12-27T07:04:07Z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eyJoZGlkIjoiYjg4NmJiNjQ5OTc2ODgwMDAyMGNmZTcxN2VlNTdhYjgiLCJ1c2VySWQiOiI2Mjg3MjA1MDUifQ==</vt:lpwstr>
  </property>
</Properties>
</file>