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陕西锌业有限公司</w:t>
      </w:r>
    </w:p>
    <w:p>
      <w:pPr>
        <w:spacing w:line="560" w:lineRule="exact"/>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视频监控及计量电脑采购与安装调试</w:t>
      </w:r>
      <w:r>
        <w:rPr>
          <w:rFonts w:hint="eastAsia" w:asciiTheme="majorEastAsia" w:hAnsiTheme="majorEastAsia" w:eastAsiaTheme="majorEastAsia" w:cstheme="majorEastAsia"/>
          <w:b/>
          <w:bCs/>
          <w:sz w:val="36"/>
          <w:szCs w:val="36"/>
        </w:rPr>
        <w:t>项目</w:t>
      </w:r>
    </w:p>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36"/>
          <w:szCs w:val="36"/>
        </w:rPr>
        <w:t>询比采购邀请函</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s="仿宋"/>
          <w:sz w:val="30"/>
          <w:szCs w:val="30"/>
        </w:rPr>
      </w:pPr>
      <w:r>
        <w:rPr>
          <w:rFonts w:ascii="仿宋" w:hAnsi="仿宋" w:eastAsia="仿宋" w:cs="仿宋"/>
          <w:sz w:val="30"/>
          <w:szCs w:val="30"/>
        </w:rPr>
        <w:t>陕西锌业有限公司</w:t>
      </w:r>
      <w:r>
        <w:rPr>
          <w:rFonts w:hint="eastAsia" w:ascii="仿宋" w:hAnsi="仿宋" w:eastAsia="仿宋" w:cs="仿宋"/>
          <w:sz w:val="30"/>
          <w:szCs w:val="30"/>
          <w:lang w:val="en-US" w:eastAsia="zh-CN"/>
        </w:rPr>
        <w:t>因生产需要，</w:t>
      </w:r>
      <w:r>
        <w:rPr>
          <w:rFonts w:ascii="仿宋" w:hAnsi="仿宋" w:eastAsia="仿宋" w:cs="仿宋"/>
          <w:sz w:val="30"/>
          <w:szCs w:val="30"/>
        </w:rPr>
        <w:t>拟</w:t>
      </w:r>
      <w:r>
        <w:rPr>
          <w:rFonts w:hint="eastAsia" w:ascii="仿宋" w:hAnsi="仿宋" w:eastAsia="仿宋" w:cs="仿宋"/>
          <w:sz w:val="30"/>
          <w:szCs w:val="30"/>
        </w:rPr>
        <w:t>完成</w:t>
      </w:r>
      <w:r>
        <w:rPr>
          <w:rFonts w:hint="eastAsia" w:ascii="仿宋" w:hAnsi="仿宋" w:eastAsia="仿宋" w:cs="仿宋"/>
          <w:b/>
          <w:bCs/>
          <w:sz w:val="30"/>
          <w:szCs w:val="30"/>
        </w:rPr>
        <w:t>视频监控及计量电脑采购与安装调试</w:t>
      </w:r>
      <w:r>
        <w:rPr>
          <w:rFonts w:hint="eastAsia" w:ascii="仿宋" w:hAnsi="仿宋" w:eastAsia="仿宋" w:cs="仿宋"/>
          <w:b w:val="0"/>
          <w:bCs w:val="0"/>
          <w:sz w:val="30"/>
          <w:szCs w:val="30"/>
          <w:lang w:val="en-US" w:eastAsia="zh-CN"/>
        </w:rPr>
        <w:t>工作</w:t>
      </w:r>
      <w:r>
        <w:rPr>
          <w:rFonts w:hint="eastAsia" w:ascii="仿宋" w:hAnsi="仿宋" w:eastAsia="仿宋" w:cs="仿宋"/>
          <w:sz w:val="30"/>
          <w:szCs w:val="30"/>
          <w:lang w:eastAsia="zh-CN"/>
        </w:rPr>
        <w:t>，</w:t>
      </w:r>
      <w:r>
        <w:rPr>
          <w:rFonts w:hint="eastAsia" w:ascii="仿宋" w:hAnsi="仿宋" w:eastAsia="仿宋" w:cs="仿宋"/>
          <w:sz w:val="30"/>
          <w:szCs w:val="30"/>
        </w:rPr>
        <w:t>按照公司有关规定，拟通过询比方式确定供应商，欢迎具备相应资质及能力的单位参与该项目询比采购，具体内容如下</w:t>
      </w:r>
      <w:r>
        <w:rPr>
          <w:rFonts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一、采购项目基本要求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（一）采购人：陕西锌业有限公司</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rPr>
        <w:t>（二）采购项目名称：陕西锌业有限公司</w:t>
      </w:r>
      <w:r>
        <w:rPr>
          <w:rFonts w:hint="eastAsia" w:ascii="仿宋" w:hAnsi="仿宋" w:eastAsia="仿宋" w:cs="仿宋"/>
          <w:b/>
          <w:bCs/>
          <w:sz w:val="30"/>
          <w:szCs w:val="30"/>
        </w:rPr>
        <w:t>视频监控及计量电脑采购与安装调试项目</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）交货时间：合同签订后</w:t>
      </w:r>
      <w:r>
        <w:rPr>
          <w:rFonts w:hint="eastAsia" w:ascii="仿宋" w:hAnsi="仿宋" w:eastAsia="仿宋" w:cs="仿宋"/>
          <w:sz w:val="30"/>
          <w:szCs w:val="30"/>
          <w:highlight w:val="none"/>
          <w:lang w:val="en-US" w:eastAsia="zh-CN"/>
        </w:rPr>
        <w:t>20</w:t>
      </w:r>
      <w:r>
        <w:rPr>
          <w:rFonts w:hint="eastAsia" w:ascii="仿宋" w:hAnsi="仿宋" w:eastAsia="仿宋" w:cs="仿宋"/>
          <w:sz w:val="30"/>
          <w:szCs w:val="30"/>
        </w:rPr>
        <w:t>个日历天交付，供方完成视频监控及计量电脑</w:t>
      </w:r>
      <w:r>
        <w:rPr>
          <w:rFonts w:hint="eastAsia" w:ascii="仿宋" w:hAnsi="仿宋" w:eastAsia="仿宋" w:cs="仿宋"/>
          <w:sz w:val="30"/>
          <w:szCs w:val="30"/>
          <w:lang w:val="en-US" w:eastAsia="zh-CN"/>
        </w:rPr>
        <w:t>软硬件的采购及施工调试</w:t>
      </w:r>
      <w:r>
        <w:rPr>
          <w:rFonts w:hint="eastAsia" w:ascii="仿宋" w:hAnsi="仿宋" w:eastAsia="仿宋" w:cs="仿宋"/>
          <w:sz w:val="30"/>
          <w:szCs w:val="30"/>
        </w:rPr>
        <w:t>工作</w:t>
      </w:r>
      <w:r>
        <w:rPr>
          <w:rFonts w:hint="eastAsia" w:ascii="仿宋" w:hAnsi="仿宋" w:eastAsia="仿宋" w:cs="仿宋"/>
          <w:sz w:val="30"/>
          <w:szCs w:val="30"/>
          <w:lang w:eastAsia="zh-CN"/>
        </w:rPr>
        <w:t>。</w:t>
      </w:r>
      <w:r>
        <w:rPr>
          <w:rFonts w:hint="eastAsia" w:ascii="仿宋" w:hAnsi="仿宋" w:eastAsia="仿宋" w:cs="仿宋"/>
          <w:sz w:val="30"/>
          <w:szCs w:val="30"/>
        </w:rPr>
        <w:t>不能按期</w:t>
      </w:r>
      <w:r>
        <w:rPr>
          <w:rFonts w:hint="eastAsia" w:ascii="仿宋" w:hAnsi="仿宋" w:eastAsia="仿宋" w:cs="仿宋"/>
          <w:sz w:val="30"/>
          <w:szCs w:val="30"/>
          <w:lang w:val="en-US" w:eastAsia="zh-CN"/>
        </w:rPr>
        <w:t>完工</w:t>
      </w:r>
      <w:r>
        <w:rPr>
          <w:rFonts w:hint="eastAsia" w:ascii="仿宋" w:hAnsi="仿宋" w:eastAsia="仿宋" w:cs="仿宋"/>
          <w:sz w:val="30"/>
          <w:szCs w:val="30"/>
        </w:rPr>
        <w:t>的，否决其响应文件。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）交货地点：采购方指定地点。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五</w:t>
      </w:r>
      <w:r>
        <w:rPr>
          <w:rFonts w:hint="eastAsia" w:ascii="仿宋" w:hAnsi="仿宋" w:eastAsia="仿宋" w:cs="仿宋"/>
          <w:sz w:val="30"/>
          <w:szCs w:val="30"/>
        </w:rPr>
        <w:t>）</w:t>
      </w:r>
      <w:r>
        <w:rPr>
          <w:rFonts w:ascii="仿宋" w:hAnsi="仿宋" w:eastAsia="仿宋" w:cs="仿宋"/>
          <w:i w:val="0"/>
          <w:iCs w:val="0"/>
          <w:caps w:val="0"/>
          <w:color w:val="000000"/>
          <w:spacing w:val="0"/>
          <w:sz w:val="31"/>
          <w:szCs w:val="31"/>
        </w:rPr>
        <w:t>采购货物一览表</w:t>
      </w:r>
      <w:r>
        <w:rPr>
          <w:rFonts w:hint="eastAsia" w:ascii="仿宋" w:hAnsi="仿宋" w:eastAsia="仿宋" w:cs="仿宋"/>
          <w:sz w:val="30"/>
          <w:szCs w:val="30"/>
        </w:rPr>
        <w:t>：详见</w:t>
      </w:r>
      <w:r>
        <w:rPr>
          <w:rFonts w:hint="eastAsia" w:ascii="仿宋" w:hAnsi="仿宋" w:eastAsia="仿宋" w:cs="仿宋"/>
          <w:sz w:val="30"/>
          <w:szCs w:val="30"/>
          <w:lang w:val="en-US" w:eastAsia="zh-CN"/>
        </w:rPr>
        <w:t>附件</w:t>
      </w:r>
      <w:r>
        <w:rPr>
          <w:rFonts w:hint="eastAsia" w:ascii="仿宋" w:hAnsi="仿宋" w:eastAsia="仿宋" w:cs="仿宋"/>
          <w:sz w:val="30"/>
          <w:szCs w:val="30"/>
        </w:rPr>
        <w:t>响应文件格式</w:t>
      </w:r>
      <w:r>
        <w:rPr>
          <w:rFonts w:hint="eastAsia" w:ascii="仿宋" w:hAnsi="仿宋" w:eastAsia="仿宋" w:cs="仿宋"/>
          <w:sz w:val="30"/>
          <w:szCs w:val="30"/>
          <w:lang w:eastAsia="zh-CN"/>
        </w:rPr>
        <w:t>（</w:t>
      </w:r>
      <w:r>
        <w:rPr>
          <w:rFonts w:hint="eastAsia" w:ascii="仿宋" w:hAnsi="仿宋" w:eastAsia="仿宋" w:cs="仿宋"/>
          <w:sz w:val="30"/>
          <w:szCs w:val="30"/>
          <w:highlight w:val="none"/>
          <w:lang w:val="en-US" w:eastAsia="zh-CN"/>
        </w:rPr>
        <w:t>第四条分项报价表</w:t>
      </w:r>
      <w:r>
        <w:rPr>
          <w:rFonts w:hint="eastAsia" w:ascii="仿宋" w:hAnsi="仿宋" w:eastAsia="仿宋" w:cs="仿宋"/>
          <w:sz w:val="30"/>
          <w:szCs w:val="30"/>
          <w:lang w:eastAsia="zh-CN"/>
        </w:rPr>
        <w:t>）</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质量要求：</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1.产品的设计及制造必须严格按照最新行业标准执行，质量符合国标要求。</w:t>
      </w:r>
      <w:r>
        <w:rPr>
          <w:rFonts w:hint="eastAsia" w:ascii="仿宋" w:hAnsi="仿宋" w:eastAsia="仿宋" w:cs="仿宋"/>
          <w:b/>
          <w:bCs/>
          <w:sz w:val="30"/>
          <w:szCs w:val="30"/>
          <w:lang w:val="en-US" w:eastAsia="zh-CN"/>
        </w:rPr>
        <w:t>所有皮带区域摄像头均选用防尘、耐腐蚀型工业级网络摄像头，满足硫酸车间特殊环境要求。</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2.所供产品必须有合格证、使用说明书、出厂质量检验报告单等，且产品铭牌标识完整清晰，否则按不合格品对待</w:t>
      </w:r>
      <w:r>
        <w:rPr>
          <w:rFonts w:hint="eastAsia" w:ascii="仿宋" w:hAnsi="仿宋" w:eastAsia="仿宋" w:cs="仿宋"/>
          <w:sz w:val="30"/>
          <w:szCs w:val="30"/>
          <w:highlight w:val="none"/>
          <w:lang w:val="en-US" w:eastAsia="zh-CN"/>
        </w:rPr>
        <w:t>。</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3.质量保证期：质保期壹年，在质保期内出现货物质量问题供方无条件退换，如因货物质量问题给采购人造成损失的，供货方应承担相应的赔偿责任。</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）验收标准、方法：</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1.入库初验：物资到达</w:t>
      </w:r>
      <w:r>
        <w:rPr>
          <w:rFonts w:hint="eastAsia" w:ascii="仿宋" w:hAnsi="仿宋" w:eastAsia="仿宋" w:cs="仿宋"/>
          <w:sz w:val="30"/>
          <w:szCs w:val="30"/>
        </w:rPr>
        <w:t>采购人</w:t>
      </w:r>
      <w:r>
        <w:rPr>
          <w:rFonts w:hint="eastAsia" w:ascii="仿宋" w:hAnsi="仿宋" w:eastAsia="仿宋" w:cs="仿宋"/>
          <w:sz w:val="30"/>
          <w:szCs w:val="30"/>
          <w:lang w:eastAsia="zh-CN"/>
        </w:rPr>
        <w:t>现场后，根据询比采购邀请函及合同供货清单内物资的规格型号、数量、厂家品牌进行入库初步验收。</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2.整体验收：物资调试完毕，通电运行后，根据</w:t>
      </w:r>
      <w:r>
        <w:rPr>
          <w:rFonts w:hint="eastAsia" w:ascii="仿宋" w:hAnsi="仿宋" w:eastAsia="仿宋" w:cs="仿宋"/>
          <w:sz w:val="30"/>
          <w:szCs w:val="30"/>
          <w:lang w:val="en-US" w:eastAsia="zh-CN"/>
        </w:rPr>
        <w:t>运行效果</w:t>
      </w:r>
      <w:r>
        <w:rPr>
          <w:rFonts w:hint="eastAsia" w:ascii="仿宋" w:hAnsi="仿宋" w:eastAsia="仿宋" w:cs="仿宋"/>
          <w:sz w:val="30"/>
          <w:szCs w:val="30"/>
          <w:lang w:eastAsia="zh-CN"/>
        </w:rPr>
        <w:t>能否满足</w:t>
      </w:r>
      <w:r>
        <w:rPr>
          <w:rFonts w:hint="eastAsia" w:ascii="仿宋" w:hAnsi="仿宋" w:eastAsia="仿宋" w:cs="仿宋"/>
          <w:sz w:val="30"/>
          <w:szCs w:val="30"/>
          <w:lang w:val="en-US" w:eastAsia="zh-CN"/>
        </w:rPr>
        <w:t>工作</w:t>
      </w:r>
      <w:r>
        <w:rPr>
          <w:rFonts w:hint="eastAsia" w:ascii="仿宋" w:hAnsi="仿宋" w:eastAsia="仿宋" w:cs="仿宋"/>
          <w:sz w:val="30"/>
          <w:szCs w:val="30"/>
          <w:lang w:eastAsia="zh-CN"/>
        </w:rPr>
        <w:t>需求进行整体验收。</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3.如果任何被检测的物资不能满足规格要求</w:t>
      </w:r>
      <w:r>
        <w:rPr>
          <w:rFonts w:hint="eastAsia" w:ascii="仿宋" w:hAnsi="仿宋" w:eastAsia="仿宋" w:cs="仿宋"/>
          <w:sz w:val="30"/>
          <w:szCs w:val="30"/>
          <w:lang w:val="en-US" w:eastAsia="zh-CN"/>
        </w:rPr>
        <w:t>或数量短缺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采购</w:t>
      </w:r>
      <w:r>
        <w:rPr>
          <w:rFonts w:hint="eastAsia" w:ascii="仿宋" w:hAnsi="仿宋" w:eastAsia="仿宋" w:cs="仿宋"/>
          <w:sz w:val="30"/>
          <w:szCs w:val="30"/>
          <w:lang w:eastAsia="zh-CN"/>
        </w:rPr>
        <w:t>方可以拒绝接受该货物，</w:t>
      </w:r>
      <w:r>
        <w:rPr>
          <w:rFonts w:hint="eastAsia" w:ascii="仿宋" w:hAnsi="仿宋" w:eastAsia="仿宋" w:cs="仿宋"/>
          <w:sz w:val="30"/>
          <w:szCs w:val="30"/>
          <w:lang w:val="en-US" w:eastAsia="zh-CN"/>
        </w:rPr>
        <w:t>供</w:t>
      </w:r>
      <w:r>
        <w:rPr>
          <w:rFonts w:hint="eastAsia" w:ascii="仿宋" w:hAnsi="仿宋" w:eastAsia="仿宋" w:cs="仿宋"/>
          <w:sz w:val="30"/>
          <w:szCs w:val="30"/>
          <w:lang w:eastAsia="zh-CN"/>
        </w:rPr>
        <w:t>方应更换被拒绝的货物，或者免费进行必要的修改以满足规格的要求。</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w:t>
      </w:r>
      <w:r>
        <w:rPr>
          <w:rFonts w:ascii="仿宋" w:hAnsi="仿宋" w:eastAsia="仿宋" w:cs="仿宋"/>
          <w:sz w:val="30"/>
          <w:szCs w:val="30"/>
        </w:rPr>
        <w:t>付款方式：</w:t>
      </w:r>
      <w:r>
        <w:rPr>
          <w:rFonts w:hint="eastAsia" w:ascii="仿宋" w:hAnsi="仿宋" w:eastAsia="仿宋" w:cs="仿宋"/>
          <w:sz w:val="30"/>
          <w:szCs w:val="30"/>
        </w:rPr>
        <w:t>合同签订货物全部到货，初验合格</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安装调试正常</w:t>
      </w:r>
      <w:r>
        <w:rPr>
          <w:rFonts w:hint="eastAsia" w:ascii="仿宋" w:hAnsi="仿宋" w:eastAsia="仿宋" w:cs="仿宋"/>
          <w:sz w:val="30"/>
          <w:szCs w:val="30"/>
        </w:rPr>
        <w:t>后付合同总价款的</w:t>
      </w:r>
      <w:r>
        <w:rPr>
          <w:rFonts w:hint="eastAsia" w:ascii="仿宋" w:hAnsi="仿宋" w:eastAsia="仿宋" w:cs="仿宋"/>
          <w:sz w:val="30"/>
          <w:szCs w:val="30"/>
          <w:lang w:val="en-US" w:eastAsia="zh-CN"/>
        </w:rPr>
        <w:t>6</w:t>
      </w:r>
      <w:r>
        <w:rPr>
          <w:rFonts w:hint="eastAsia" w:ascii="仿宋" w:hAnsi="仿宋" w:eastAsia="仿宋" w:cs="仿宋"/>
          <w:sz w:val="30"/>
          <w:szCs w:val="30"/>
        </w:rPr>
        <w:t>0%；完成合同约定的全部条款，通电运行一个月内无问题，验收合格后付3</w:t>
      </w:r>
      <w:r>
        <w:rPr>
          <w:rFonts w:hint="eastAsia" w:ascii="仿宋" w:hAnsi="仿宋" w:eastAsia="仿宋" w:cs="仿宋"/>
          <w:sz w:val="30"/>
          <w:szCs w:val="30"/>
          <w:lang w:val="en-US" w:eastAsia="zh-CN"/>
        </w:rPr>
        <w:t>0</w:t>
      </w:r>
      <w:r>
        <w:rPr>
          <w:rFonts w:hint="eastAsia" w:ascii="仿宋" w:hAnsi="仿宋" w:eastAsia="仿宋" w:cs="仿宋"/>
          <w:sz w:val="30"/>
          <w:szCs w:val="30"/>
        </w:rPr>
        <w:t>%；留</w:t>
      </w:r>
      <w:r>
        <w:rPr>
          <w:rFonts w:hint="eastAsia" w:ascii="仿宋" w:hAnsi="仿宋" w:eastAsia="仿宋" w:cs="仿宋"/>
          <w:sz w:val="30"/>
          <w:szCs w:val="30"/>
          <w:lang w:val="en-US" w:eastAsia="zh-CN"/>
        </w:rPr>
        <w:t>10</w:t>
      </w:r>
      <w:r>
        <w:rPr>
          <w:rFonts w:hint="eastAsia" w:ascii="仿宋" w:hAnsi="仿宋" w:eastAsia="仿宋" w:cs="仿宋"/>
          <w:sz w:val="30"/>
          <w:szCs w:val="30"/>
        </w:rPr>
        <w:t>%质保金使用一年后无质量问题一次付清。</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备注：付款前必须提供相应增值税发票（也可一次性开具合同全额税票）。</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（九）供应商资格和履约能力要求：</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1.资质要求：</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）供应商须为中华人民共和国境内依法注册的法人或者其他组织，有能力完成本项目的厂家或经销商，具备合法的营业执照</w:t>
      </w:r>
      <w:r>
        <w:rPr>
          <w:rFonts w:hint="eastAsia" w:ascii="仿宋" w:hAnsi="仿宋" w:eastAsia="仿宋" w:cs="仿宋"/>
          <w:sz w:val="30"/>
          <w:szCs w:val="30"/>
          <w:highlight w:val="none"/>
          <w:lang w:val="en-US" w:eastAsia="zh-CN"/>
        </w:rPr>
        <w:t>；</w:t>
      </w:r>
    </w:p>
    <w:p>
      <w:pPr>
        <w:spacing w:line="480" w:lineRule="exact"/>
        <w:ind w:firstLine="620" w:firstLineChars="200"/>
        <w:rPr>
          <w:rFonts w:hint="eastAsia" w:ascii="仿宋" w:hAnsi="仿宋" w:eastAsia="仿宋" w:cs="仿宋"/>
          <w:sz w:val="30"/>
          <w:szCs w:val="30"/>
          <w:highlight w:val="yellow"/>
          <w:lang w:eastAsia="zh-CN"/>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2</w:t>
      </w:r>
      <w:r>
        <w:rPr>
          <w:rFonts w:hint="eastAsia" w:ascii="仿宋" w:hAnsi="仿宋" w:eastAsia="仿宋" w:cs="仿宋"/>
          <w:i w:val="0"/>
          <w:iCs w:val="0"/>
          <w:caps w:val="0"/>
          <w:color w:val="000000"/>
          <w:spacing w:val="0"/>
          <w:sz w:val="31"/>
          <w:szCs w:val="31"/>
          <w:lang w:eastAsia="zh-CN"/>
        </w:rPr>
        <w:t>）</w:t>
      </w:r>
      <w:r>
        <w:rPr>
          <w:rFonts w:ascii="仿宋" w:hAnsi="仿宋" w:eastAsia="仿宋" w:cs="仿宋"/>
          <w:i w:val="0"/>
          <w:iCs w:val="0"/>
          <w:caps w:val="0"/>
          <w:color w:val="000000"/>
          <w:spacing w:val="0"/>
          <w:sz w:val="31"/>
          <w:szCs w:val="31"/>
        </w:rPr>
        <w:t>供应商</w:t>
      </w:r>
      <w:r>
        <w:rPr>
          <w:rFonts w:ascii="仿宋" w:hAnsi="仿宋" w:eastAsia="仿宋" w:cs="仿宋"/>
          <w:sz w:val="30"/>
          <w:szCs w:val="30"/>
        </w:rPr>
        <w:t>须具有履行合同所必需的设备和专业技术能力；</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2.信用要求：</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（1）供应商具有良好的银行资信和商业信誉，没有处于被责令停业、财产被接管、冻结、破产状态（附承诺书）</w:t>
      </w:r>
      <w:r>
        <w:rPr>
          <w:rFonts w:hint="eastAsia" w:ascii="仿宋" w:hAnsi="仿宋" w:eastAsia="仿宋" w:cs="仿宋"/>
          <w:sz w:val="30"/>
          <w:szCs w:val="30"/>
          <w:lang w:val="en-US" w:eastAsia="zh-CN"/>
        </w:rPr>
        <w:t>；</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（2）供应商不得在“信用中国-中国执行信息公开网”被列为失信被执行人；</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3.业绩要求：供应商202</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年</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月至今具有类似业绩（提供合同复印件，时间以合同签订时间为准）；</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联合体响应：</w:t>
      </w:r>
      <w:r>
        <w:rPr>
          <w:rFonts w:ascii="仿宋" w:hAnsi="仿宋" w:eastAsia="仿宋" w:cs="仿宋"/>
          <w:sz w:val="30"/>
          <w:szCs w:val="30"/>
        </w:rPr>
        <w:t>本项目不接受联合体投标。</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5.其他要求：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供应商不得存在下列情形之一：</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（1）与采购人存在利害关系可能影响询比采购公正性；</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（2）法定代表人（单位负责人）为同一人或者存在控股、管理关系的不同法人或其他组织同时参加询比采购；</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（3）被依法暂停或者取消询比采购资格；</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（4）被责令停产停业、暂扣或者吊销许可证、暂扣或者吊销执照；</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（5）进入清算程序，或被宣告破产，或其他丧失履约能力的情形；</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（6）在最近三年内发生重大产品质量问题；</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（7）法律法规规定的其他情形</w:t>
      </w:r>
      <w:r>
        <w:rPr>
          <w:rFonts w:hint="eastAsia" w:ascii="仿宋" w:hAnsi="仿宋" w:eastAsia="仿宋" w:cs="仿宋"/>
          <w:sz w:val="30"/>
          <w:szCs w:val="30"/>
          <w:lang w:eastAsia="zh-CN"/>
        </w:rPr>
        <w:t>。</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十</w:t>
      </w:r>
      <w:r>
        <w:rPr>
          <w:rFonts w:hint="eastAsia" w:ascii="仿宋" w:hAnsi="仿宋" w:eastAsia="仿宋" w:cs="仿宋"/>
          <w:sz w:val="30"/>
          <w:szCs w:val="30"/>
        </w:rPr>
        <w:t>）项目预算</w:t>
      </w:r>
      <w:r>
        <w:rPr>
          <w:rFonts w:hint="eastAsia" w:ascii="仿宋" w:hAnsi="仿宋" w:eastAsia="仿宋" w:cs="仿宋"/>
          <w:sz w:val="30"/>
          <w:szCs w:val="30"/>
          <w:lang w:eastAsia="zh-CN"/>
        </w:rPr>
        <w:t>：</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该项目总价：不超过</w:t>
      </w:r>
      <w:r>
        <w:rPr>
          <w:rFonts w:hint="eastAsia" w:ascii="仿宋" w:hAnsi="仿宋" w:eastAsia="仿宋" w:cs="仿宋"/>
          <w:sz w:val="30"/>
          <w:szCs w:val="30"/>
          <w:highlight w:val="none"/>
          <w:lang w:val="en-US" w:eastAsia="zh-CN"/>
        </w:rPr>
        <w:t>9.6</w:t>
      </w:r>
      <w:r>
        <w:rPr>
          <w:rFonts w:hint="eastAsia" w:ascii="仿宋" w:hAnsi="仿宋" w:eastAsia="仿宋" w:cs="仿宋"/>
          <w:sz w:val="30"/>
          <w:szCs w:val="30"/>
        </w:rPr>
        <w:t>万元。</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二、询比采购文件的获取</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询比采购文件在陕西锌业有限公司网络询比采购平台（www.sxxyjjpt.com）发布，符合条件的供应商可自行下载采购文件。</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三、供应商响应</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（一）响应报价</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1.供应商应按“响应文件格式”要求在响应函中进行报价并填写响应文件的分项报价表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该项目报价总额的最高限价为9.6万元，超出则视为无效报价。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2.报价包括设备费、材料费、</w:t>
      </w:r>
      <w:r>
        <w:rPr>
          <w:rFonts w:hint="eastAsia" w:ascii="仿宋" w:hAnsi="仿宋" w:eastAsia="仿宋" w:cs="仿宋"/>
          <w:sz w:val="30"/>
          <w:szCs w:val="30"/>
          <w:lang w:val="en-US" w:eastAsia="zh-CN"/>
        </w:rPr>
        <w:t>软件费、安装调试费、</w:t>
      </w:r>
      <w:r>
        <w:rPr>
          <w:rFonts w:hint="eastAsia" w:ascii="仿宋" w:hAnsi="仿宋" w:eastAsia="仿宋" w:cs="仿宋"/>
          <w:sz w:val="30"/>
          <w:szCs w:val="30"/>
        </w:rPr>
        <w:t>税费（其中设备硬件</w:t>
      </w:r>
      <w:r>
        <w:rPr>
          <w:rFonts w:hint="eastAsia" w:ascii="仿宋" w:hAnsi="仿宋" w:eastAsia="仿宋" w:cs="仿宋"/>
          <w:sz w:val="30"/>
          <w:szCs w:val="30"/>
          <w:lang w:val="en-US" w:eastAsia="zh-CN"/>
        </w:rPr>
        <w:t>及材料</w:t>
      </w:r>
      <w:r>
        <w:rPr>
          <w:rFonts w:hint="eastAsia" w:ascii="仿宋" w:hAnsi="仿宋" w:eastAsia="仿宋" w:cs="仿宋"/>
          <w:sz w:val="30"/>
          <w:szCs w:val="30"/>
        </w:rPr>
        <w:t>部分开13%全额增值税专用发票、软件开发及</w:t>
      </w:r>
      <w:r>
        <w:rPr>
          <w:rFonts w:hint="eastAsia" w:ascii="仿宋" w:hAnsi="仿宋" w:eastAsia="仿宋" w:cs="仿宋"/>
          <w:sz w:val="30"/>
          <w:szCs w:val="30"/>
          <w:highlight w:val="none"/>
          <w:lang w:val="en-US" w:eastAsia="zh-CN"/>
        </w:rPr>
        <w:t>施工</w:t>
      </w:r>
      <w:r>
        <w:rPr>
          <w:rFonts w:hint="eastAsia" w:ascii="仿宋" w:hAnsi="仿宋" w:eastAsia="仿宋" w:cs="仿宋"/>
          <w:sz w:val="30"/>
          <w:szCs w:val="30"/>
          <w:highlight w:val="none"/>
        </w:rPr>
        <w:t>部分</w:t>
      </w:r>
      <w:r>
        <w:rPr>
          <w:rFonts w:hint="eastAsia" w:ascii="仿宋" w:hAnsi="仿宋" w:eastAsia="仿宋" w:cs="仿宋"/>
          <w:sz w:val="30"/>
          <w:szCs w:val="30"/>
        </w:rPr>
        <w:t>开6%全额增值税专用发票）、运输费等因开展本项目所涉及的一切相关费用在内。该价款不因原料、材料、劳务、能源等市场价格的变动而变动。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3.供应商在响应文件递交截止时间前修改响应函中的响应报价总额，应同时修改响应文件“分项报价表”中的相应报价。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4.响应报价为各分项报价金额之和，响应报价与分项报价的合价不一致的，应以各分项合价累计数为准，修正响应报价。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5.成交供应商的响应报价是成交、签订合同及合同执行过程中的依据，不得进行实质性变动。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（二）响应有效期</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.响应有效期从提交响</w:t>
      </w:r>
      <w:r>
        <w:rPr>
          <w:rFonts w:hint="eastAsia" w:ascii="仿宋" w:hAnsi="仿宋" w:eastAsia="仿宋" w:cs="仿宋"/>
          <w:sz w:val="30"/>
          <w:szCs w:val="30"/>
        </w:rPr>
        <w:t>应文件截止之日起算60天。</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2.在响应有效期内，供应商撤销响应文件的，应承担询比采购文件和法律规定的责任。</w:t>
      </w:r>
    </w:p>
    <w:p>
      <w:pPr>
        <w:pStyle w:val="5"/>
        <w:keepNext w:val="0"/>
        <w:keepLines w:val="0"/>
        <w:widowControl/>
        <w:suppressLineNumbers w:val="0"/>
        <w:spacing w:before="0" w:beforeAutospacing="0" w:after="0" w:afterAutospacing="0" w:line="555" w:lineRule="atLeast"/>
        <w:ind w:firstLine="620" w:firstLineChars="200"/>
        <w:jc w:val="both"/>
        <w:rPr>
          <w:rFonts w:ascii="微软雅黑" w:hAnsi="微软雅黑" w:eastAsia="微软雅黑" w:cs="微软雅黑"/>
          <w:b w:val="0"/>
          <w:bCs w:val="0"/>
          <w:i w:val="0"/>
          <w:iCs w:val="0"/>
          <w:caps w:val="0"/>
          <w:color w:val="000000"/>
          <w:spacing w:val="0"/>
        </w:rPr>
      </w:pPr>
      <w:r>
        <w:rPr>
          <w:rFonts w:ascii="仿宋" w:hAnsi="仿宋" w:eastAsia="仿宋" w:cs="仿宋"/>
          <w:b w:val="0"/>
          <w:bCs w:val="0"/>
          <w:i w:val="0"/>
          <w:iCs w:val="0"/>
          <w:caps w:val="0"/>
          <w:color w:val="000000"/>
          <w:spacing w:val="0"/>
          <w:sz w:val="31"/>
          <w:szCs w:val="31"/>
        </w:rPr>
        <w:t>（</w:t>
      </w:r>
      <w:r>
        <w:rPr>
          <w:rFonts w:hint="eastAsia" w:ascii="仿宋" w:hAnsi="仿宋" w:eastAsia="仿宋" w:cs="仿宋"/>
          <w:b w:val="0"/>
          <w:bCs w:val="0"/>
          <w:i w:val="0"/>
          <w:iCs w:val="0"/>
          <w:caps w:val="0"/>
          <w:color w:val="000000"/>
          <w:spacing w:val="0"/>
          <w:sz w:val="31"/>
          <w:szCs w:val="31"/>
          <w:lang w:val="en-US" w:eastAsia="zh-CN"/>
        </w:rPr>
        <w:t>三</w:t>
      </w:r>
      <w:r>
        <w:rPr>
          <w:rFonts w:hint="eastAsia" w:ascii="仿宋" w:hAnsi="仿宋" w:eastAsia="仿宋" w:cs="仿宋"/>
          <w:b w:val="0"/>
          <w:bCs w:val="0"/>
          <w:i w:val="0"/>
          <w:iCs w:val="0"/>
          <w:caps w:val="0"/>
          <w:color w:val="000000"/>
          <w:spacing w:val="0"/>
          <w:sz w:val="31"/>
          <w:szCs w:val="31"/>
        </w:rPr>
        <w:t>）资格审查资料</w:t>
      </w:r>
    </w:p>
    <w:p>
      <w:pPr>
        <w:spacing w:line="48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供应商应按下列规定提供相关的证明材料，以证明其满足资质、财务、业绩、信誉要求。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2.“近三年完成的类似项目情况表”应附从202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月至今的合同复印件。</w:t>
      </w:r>
    </w:p>
    <w:p>
      <w:pPr>
        <w:spacing w:line="480" w:lineRule="exact"/>
        <w:ind w:firstLine="600" w:firstLineChars="20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sz w:val="30"/>
          <w:szCs w:val="30"/>
        </w:rPr>
        <w:t>3.“近年发生的诉讼及仲裁情况”应说明相关情况。</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四、响应文件的提交</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（一）响应文件提交截止时间：202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rPr>
        <w:t>日1</w:t>
      </w:r>
      <w:r>
        <w:rPr>
          <w:rFonts w:hint="eastAsia" w:ascii="仿宋" w:hAnsi="仿宋" w:eastAsia="仿宋" w:cs="仿宋"/>
          <w:sz w:val="30"/>
          <w:szCs w:val="30"/>
          <w:lang w:val="en-US" w:eastAsia="zh-CN"/>
        </w:rPr>
        <w:t>2</w:t>
      </w:r>
      <w:r>
        <w:rPr>
          <w:rFonts w:hint="eastAsia" w:ascii="仿宋" w:hAnsi="仿宋" w:eastAsia="仿宋" w:cs="仿宋"/>
          <w:sz w:val="30"/>
          <w:szCs w:val="30"/>
        </w:rPr>
        <w:t>时（北京时间）；</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（二）提交方法：将响应文件密封后直接送达或邮寄至陕西锌业有限公司办公楼</w:t>
      </w:r>
      <w:r>
        <w:rPr>
          <w:rFonts w:hint="eastAsia" w:ascii="仿宋" w:hAnsi="仿宋" w:eastAsia="仿宋" w:cs="仿宋"/>
          <w:sz w:val="30"/>
          <w:szCs w:val="30"/>
          <w:lang w:val="en-US" w:eastAsia="zh-CN"/>
        </w:rPr>
        <w:t>一</w:t>
      </w:r>
      <w:r>
        <w:rPr>
          <w:rFonts w:hint="eastAsia" w:ascii="仿宋" w:hAnsi="仿宋" w:eastAsia="仿宋" w:cs="仿宋"/>
          <w:sz w:val="30"/>
          <w:szCs w:val="30"/>
        </w:rPr>
        <w:t>楼招投标办公室。</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邮递地址：商洛市商州区沙河子镇陕西锌业有限公司一楼招投标办公室  </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收标联系人：白浩楠   电话：18329587208</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技术联系人：高强强  电话：18992465815</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逾期送达或者未送达指定地点的询比采购文件，询比采购人不予受理，报价通过密封送达或邮递的方式，未密封的报价按无效报价处理。（档案袋需要密封，并在封条上盖章，档案袋上需注明所投项目名称、报价人单位名称、报价人姓名、电话等信息，并盖章。响应文件两本，一正一副）</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（四）报价时，报价单应加盖公司公章，法人或其授权委托人应在报价单上签字确认方为有效。</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五、响应文件的评审</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（一）响应文件评审办法</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次采购采用综合评分法，是在响应文件满足采购文件实质性要求的前提下，评审小组对通过初步评审的响应单位的响应文件进行详细评审后，根据综合得分由高到底的顺序推荐三名候选人，综合得分最高者排第一，推荐为第一候选人，得分次低者排第二，以此类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二</w:t>
      </w:r>
      <w:r>
        <w:rPr>
          <w:rFonts w:hint="eastAsia" w:ascii="仿宋" w:hAnsi="仿宋" w:eastAsia="仿宋" w:cs="仿宋"/>
          <w:sz w:val="30"/>
          <w:szCs w:val="30"/>
        </w:rPr>
        <w:t>）评审标准</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分值构成(总分100分)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报价50分、</w:t>
      </w:r>
      <w:r>
        <w:rPr>
          <w:rFonts w:hint="eastAsia" w:ascii="仿宋" w:hAnsi="仿宋" w:eastAsia="仿宋" w:cs="仿宋"/>
          <w:sz w:val="30"/>
          <w:szCs w:val="30"/>
          <w:lang w:eastAsia="zh-CN"/>
        </w:rPr>
        <w:t>商务部分</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0分、</w:t>
      </w:r>
      <w:r>
        <w:rPr>
          <w:rFonts w:hint="eastAsia" w:ascii="仿宋" w:hAnsi="仿宋" w:eastAsia="仿宋" w:cs="仿宋"/>
          <w:sz w:val="30"/>
          <w:szCs w:val="30"/>
        </w:rPr>
        <w:t>技术部分40分</w:t>
      </w:r>
      <w:r>
        <w:rPr>
          <w:rFonts w:hint="eastAsia" w:ascii="仿宋" w:hAnsi="仿宋" w:eastAsia="仿宋" w:cs="仿宋"/>
          <w:sz w:val="30"/>
          <w:szCs w:val="30"/>
          <w:lang w:eastAsia="zh-CN"/>
        </w:rPr>
        <w:t>。</w:t>
      </w:r>
    </w:p>
    <w:tbl>
      <w:tblPr>
        <w:tblStyle w:val="7"/>
        <w:tblW w:w="100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0"/>
        <w:gridCol w:w="720"/>
        <w:gridCol w:w="1695"/>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370" w:type="dxa"/>
            <w:gridSpan w:val="2"/>
            <w:tcBorders>
              <w:top w:val="single" w:color="auto" w:sz="4" w:space="0"/>
              <w:bottom w:val="single" w:color="auto" w:sz="4" w:space="0"/>
              <w:right w:val="single" w:color="auto" w:sz="4" w:space="0"/>
            </w:tcBorders>
            <w:noWrap w:val="0"/>
            <w:vAlign w:val="center"/>
          </w:tcPr>
          <w:p>
            <w:pPr>
              <w:spacing w:line="440" w:lineRule="exact"/>
              <w:jc w:val="center"/>
              <w:rPr>
                <w:b/>
              </w:rPr>
            </w:pPr>
            <w:r>
              <w:rPr>
                <w:b/>
              </w:rPr>
              <w:t>条款号</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rPr>
            </w:pPr>
            <w:r>
              <w:rPr>
                <w:b/>
              </w:rPr>
              <w:t>条款内容</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rPr>
            </w:pPr>
            <w:r>
              <w:rPr>
                <w:b/>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370" w:type="dxa"/>
            <w:gridSpan w:val="2"/>
            <w:tcBorders>
              <w:bottom w:val="single" w:color="auto" w:sz="4" w:space="0"/>
              <w:right w:val="single" w:color="auto" w:sz="4" w:space="0"/>
            </w:tcBorders>
            <w:noWrap w:val="0"/>
            <w:vAlign w:val="center"/>
          </w:tcPr>
          <w:p>
            <w:pPr>
              <w:spacing w:line="4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1.1</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分值构成</w:t>
            </w:r>
          </w:p>
          <w:p>
            <w:pPr>
              <w:spacing w:line="440" w:lineRule="exact"/>
              <w:jc w:val="center"/>
              <w:rPr>
                <w:rFonts w:hint="eastAsia" w:ascii="宋体" w:hAnsi="宋体" w:cs="宋体"/>
                <w:szCs w:val="21"/>
              </w:rPr>
            </w:pPr>
            <w:r>
              <w:rPr>
                <w:rFonts w:hint="eastAsia" w:ascii="宋体" w:hAnsi="宋体" w:cs="宋体"/>
                <w:szCs w:val="21"/>
              </w:rPr>
              <w:t>(总分100分)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36" w:lineRule="auto"/>
              <w:rPr>
                <w:rFonts w:hint="eastAsia" w:ascii="宋体" w:hAnsi="宋体" w:cs="宋体"/>
                <w:szCs w:val="21"/>
              </w:rPr>
            </w:pPr>
            <w:r>
              <w:rPr>
                <w:rFonts w:hint="eastAsia" w:ascii="宋体" w:hAnsi="宋体" w:cs="宋体"/>
                <w:szCs w:val="21"/>
              </w:rPr>
              <w:t>报</w:t>
            </w:r>
            <w:r>
              <w:rPr>
                <w:rFonts w:hint="eastAsia" w:ascii="宋体" w:hAnsi="宋体" w:cs="宋体"/>
                <w:szCs w:val="21"/>
                <w:lang w:val="en-US" w:eastAsia="zh-CN"/>
              </w:rPr>
              <w:t xml:space="preserve">    </w:t>
            </w:r>
            <w:r>
              <w:rPr>
                <w:rFonts w:hint="eastAsia" w:ascii="宋体" w:hAnsi="宋体" w:cs="宋体"/>
                <w:szCs w:val="21"/>
              </w:rPr>
              <w:t>价：</w:t>
            </w:r>
            <w:r>
              <w:rPr>
                <w:rFonts w:hint="eastAsia" w:ascii="宋体" w:hAnsi="宋体" w:cs="宋体"/>
                <w:szCs w:val="21"/>
                <w:lang w:val="en-US" w:eastAsia="zh-CN"/>
              </w:rPr>
              <w:t>5</w:t>
            </w:r>
            <w:r>
              <w:rPr>
                <w:rFonts w:hint="eastAsia" w:ascii="宋体" w:hAnsi="宋体" w:cs="宋体"/>
                <w:szCs w:val="21"/>
              </w:rPr>
              <w:t>0分</w:t>
            </w:r>
          </w:p>
          <w:p>
            <w:pPr>
              <w:spacing w:line="336" w:lineRule="auto"/>
              <w:rPr>
                <w:rFonts w:hint="eastAsia" w:ascii="宋体" w:hAnsi="宋体" w:cs="宋体"/>
                <w:szCs w:val="21"/>
              </w:rPr>
            </w:pPr>
            <w:r>
              <w:rPr>
                <w:rFonts w:hint="eastAsia" w:ascii="宋体" w:hAnsi="宋体" w:cs="宋体"/>
                <w:szCs w:val="21"/>
              </w:rPr>
              <w:t>商务部分：</w:t>
            </w:r>
            <w:r>
              <w:rPr>
                <w:rFonts w:hint="eastAsia" w:ascii="宋体" w:hAnsi="宋体" w:cs="宋体"/>
                <w:szCs w:val="21"/>
                <w:lang w:val="en-US" w:eastAsia="zh-CN"/>
              </w:rPr>
              <w:t>1</w:t>
            </w:r>
            <w:r>
              <w:rPr>
                <w:rFonts w:hint="eastAsia" w:ascii="宋体" w:hAnsi="宋体" w:cs="宋体"/>
                <w:szCs w:val="21"/>
              </w:rPr>
              <w:t>0分</w:t>
            </w:r>
          </w:p>
          <w:p>
            <w:pPr>
              <w:spacing w:line="336" w:lineRule="auto"/>
              <w:rPr>
                <w:rFonts w:hint="eastAsia" w:ascii="宋体" w:hAnsi="宋体" w:cs="宋体"/>
                <w:szCs w:val="21"/>
              </w:rPr>
            </w:pPr>
            <w:r>
              <w:rPr>
                <w:rFonts w:hint="eastAsia" w:ascii="宋体" w:hAnsi="宋体" w:cs="宋体"/>
                <w:szCs w:val="21"/>
              </w:rPr>
              <w:t>技术部分：40分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1370"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1.2</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基准价计算方法</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pPr>
            <w:r>
              <w:rPr>
                <w:rFonts w:hint="eastAsia"/>
              </w:rPr>
              <w:t>以取掉各报价中一个最高值和一个最低值后的算术平均值为基准价：即基准价</w:t>
            </w:r>
            <w:r>
              <w:t>M=</w:t>
            </w:r>
          </w:p>
          <w:p>
            <w:pPr>
              <w:spacing w:line="400" w:lineRule="exact"/>
              <w:jc w:val="center"/>
            </w:pPr>
            <w: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251460</wp:posOffset>
                      </wp:positionV>
                      <wp:extent cx="2866390" cy="254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6390"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pt;margin-top:19.8pt;height:0.2pt;width:225.7pt;z-index:251659264;mso-width-relative:page;mso-height-relative:page;" filled="f" stroked="t" coordsize="21600,21600" o:gfxdata="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GTgp1gAAAAgBAAAPAAAAAAAAAAEAIAAAACIAAABkcnMvZG93bnJldi54bWxQ&#10;SwECFAAUAAAACACHTuJAcIX9FvkBAADnAwAADgAAAAAAAAABACAAAAAlAQAAZHJzL2Uyb0RvYy54&#10;bWxQSwUGAAAAAAYABgBZAQAAkAUAAAAA&#10;">
                      <v:fill on="f" focussize="0,0"/>
                      <v:stroke color="#000000" joinstyle="round"/>
                      <v:imagedata o:title=""/>
                      <o:lock v:ext="edit" aspectratio="f"/>
                    </v:line>
                  </w:pict>
                </mc:Fallback>
              </mc:AlternateContent>
            </w:r>
            <w:r>
              <w:rPr>
                <w:rFonts w:hint="eastAsia"/>
              </w:rPr>
              <w:t>有效报价（去掉一个最高、最低报价）之和</w:t>
            </w:r>
          </w:p>
          <w:p>
            <w:pPr>
              <w:spacing w:line="400" w:lineRule="exact"/>
              <w:ind w:firstLine="1575" w:firstLineChars="750"/>
            </w:pPr>
            <w:r>
              <w:rPr>
                <w:rFonts w:hint="eastAsia"/>
              </w:rPr>
              <w:t>有效</w:t>
            </w:r>
            <w:r>
              <w:rPr>
                <w:rFonts w:hint="eastAsia"/>
                <w:lang w:val="en-US" w:eastAsia="zh-CN"/>
              </w:rPr>
              <w:t>报价</w:t>
            </w:r>
            <w:r>
              <w:rPr>
                <w:rFonts w:hint="eastAsia"/>
              </w:rPr>
              <w:t>人个数</w:t>
            </w:r>
            <w:r>
              <w:t>-2</w:t>
            </w:r>
          </w:p>
          <w:p>
            <w:pPr>
              <w:spacing w:line="336" w:lineRule="auto"/>
              <w:rPr>
                <w:rFonts w:hint="eastAsia" w:ascii="宋体" w:hAnsi="宋体" w:cs="宋体"/>
                <w:szCs w:val="21"/>
              </w:rPr>
            </w:pPr>
            <w:r>
              <w:rPr>
                <w:rFonts w:hint="eastAsia"/>
              </w:rPr>
              <w:t>若有效报价少于五家</w:t>
            </w:r>
            <w:r>
              <w:t>(</w:t>
            </w:r>
            <w:r>
              <w:rPr>
                <w:rFonts w:hint="eastAsia"/>
              </w:rPr>
              <w:t>含五家</w:t>
            </w:r>
            <w:r>
              <w:t>)</w:t>
            </w:r>
            <w:r>
              <w:rPr>
                <w:rFonts w:hint="eastAsia"/>
              </w:rPr>
              <w:t>，则取所有有效报价的算术平均值为基准价。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370" w:type="dxa"/>
            <w:gridSpan w:val="2"/>
            <w:tcBorders>
              <w:top w:val="nil"/>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条款号</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评分因素</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650" w:type="dxa"/>
            <w:tcBorders>
              <w:top w:val="nil"/>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.3</w:t>
            </w:r>
          </w:p>
          <w:p>
            <w:pPr>
              <w:spacing w:line="440" w:lineRule="exact"/>
              <w:jc w:val="center"/>
              <w:rPr>
                <w:rFonts w:hint="eastAsia" w:ascii="宋体" w:hAnsi="宋体" w:cs="宋体"/>
                <w:b/>
                <w:szCs w:val="21"/>
              </w:rPr>
            </w:pPr>
            <w:r>
              <w:rPr>
                <w:rFonts w:hint="eastAsia" w:ascii="宋体" w:hAnsi="宋体" w:cs="宋体"/>
                <w:szCs w:val="21"/>
              </w:rPr>
              <w:t>（1）</w:t>
            </w:r>
          </w:p>
        </w:tc>
        <w:tc>
          <w:tcPr>
            <w:tcW w:w="720" w:type="dxa"/>
            <w:tcBorders>
              <w:top w:val="nil"/>
              <w:bottom w:val="single" w:color="auto" w:sz="4" w:space="0"/>
              <w:right w:val="single" w:color="auto" w:sz="4" w:space="0"/>
            </w:tcBorders>
            <w:noWrap w:val="0"/>
            <w:vAlign w:val="center"/>
          </w:tcPr>
          <w:p>
            <w:pPr>
              <w:spacing w:line="440" w:lineRule="exact"/>
              <w:jc w:val="center"/>
              <w:rPr>
                <w:rFonts w:hint="eastAsia" w:ascii="宋体" w:hAnsi="宋体" w:cs="宋体" w:eastAsiaTheme="minorEastAsia"/>
                <w:b/>
                <w:szCs w:val="21"/>
                <w:lang w:val="en-US" w:eastAsia="zh-CN"/>
              </w:rPr>
            </w:pPr>
            <w:r>
              <w:rPr>
                <w:rFonts w:hint="eastAsia" w:ascii="宋体" w:hAnsi="宋体" w:cs="宋体"/>
                <w:szCs w:val="21"/>
                <w:lang w:val="en-US" w:eastAsia="zh-CN"/>
              </w:rPr>
              <w:t>报价（50分）</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336" w:lineRule="auto"/>
              <w:jc w:val="center"/>
              <w:rPr>
                <w:rFonts w:hint="eastAsia" w:ascii="宋体" w:hAnsi="宋体" w:cs="宋体"/>
                <w:szCs w:val="21"/>
              </w:rPr>
            </w:pPr>
            <w:r>
              <w:rPr>
                <w:rFonts w:hint="eastAsia" w:ascii="宋体" w:hAnsi="宋体" w:cs="宋体"/>
                <w:szCs w:val="21"/>
              </w:rPr>
              <w:t>报价得分</w:t>
            </w:r>
          </w:p>
          <w:p>
            <w:pPr>
              <w:spacing w:line="440" w:lineRule="exact"/>
              <w:jc w:val="center"/>
              <w:rPr>
                <w:rFonts w:hint="eastAsia" w:ascii="宋体" w:hAnsi="宋体" w:cs="宋体"/>
                <w:b/>
                <w:szCs w:val="21"/>
              </w:rPr>
            </w:pPr>
            <w:r>
              <w:rPr>
                <w:rFonts w:hint="eastAsia" w:ascii="宋体" w:hAnsi="宋体" w:cs="宋体"/>
                <w:szCs w:val="21"/>
              </w:rPr>
              <w:t>（50分）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szCs w:val="21"/>
              </w:rPr>
              <w:t>等于基准价的报价得50分；高于基准价的，每高一个百分点扣0.5分；低于基准价的，每低一个百分点扣0.25分。评标赋分采用插入法计算，扣完为止。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650"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.3</w:t>
            </w:r>
          </w:p>
          <w:p>
            <w:pPr>
              <w:spacing w:line="44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p>
        </w:tc>
        <w:tc>
          <w:tcPr>
            <w:tcW w:w="720" w:type="dxa"/>
            <w:vMerge w:val="restart"/>
            <w:tcBorders>
              <w:top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商务评分标准（</w:t>
            </w:r>
            <w:r>
              <w:rPr>
                <w:rFonts w:hint="eastAsia" w:ascii="宋体" w:hAnsi="宋体" w:cs="宋体"/>
                <w:szCs w:val="21"/>
                <w:lang w:val="en-US" w:eastAsia="zh-CN"/>
              </w:rPr>
              <w:t>1</w:t>
            </w:r>
            <w:r>
              <w:rPr>
                <w:rFonts w:hint="eastAsia" w:ascii="宋体" w:hAnsi="宋体" w:cs="宋体"/>
                <w:szCs w:val="21"/>
              </w:rPr>
              <w:t>0分）</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业绩</w:t>
            </w:r>
          </w:p>
          <w:p>
            <w:pPr>
              <w:widowControl/>
              <w:jc w:val="center"/>
              <w:rPr>
                <w:rFonts w:hint="eastAsia" w:ascii="宋体" w:hAnsi="宋体" w:cs="宋体"/>
                <w:szCs w:val="21"/>
              </w:rPr>
            </w:pPr>
            <w:r>
              <w:rPr>
                <w:rFonts w:hint="eastAsia" w:ascii="宋体" w:hAnsi="宋体" w:cs="宋体"/>
                <w:szCs w:val="21"/>
              </w:rPr>
              <w:t>（3分）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36" w:lineRule="auto"/>
              <w:rPr>
                <w:rFonts w:hint="eastAsia" w:ascii="宋体" w:hAnsi="宋体" w:cs="宋体"/>
                <w:szCs w:val="21"/>
              </w:rPr>
            </w:pPr>
            <w:r>
              <w:rPr>
                <w:rFonts w:hint="eastAsia" w:ascii="宋体" w:hAnsi="宋体" w:cs="宋体"/>
                <w:szCs w:val="21"/>
                <w:lang w:val="zh-CN"/>
              </w:rPr>
              <w:t>根据</w:t>
            </w:r>
            <w:r>
              <w:rPr>
                <w:rFonts w:hint="eastAsia" w:ascii="宋体" w:hAnsi="宋体" w:cs="宋体"/>
                <w:szCs w:val="21"/>
                <w:lang w:val="en-US" w:eastAsia="zh-CN"/>
              </w:rPr>
              <w:t>报价人</w:t>
            </w:r>
            <w:r>
              <w:rPr>
                <w:rFonts w:hint="eastAsia" w:ascii="宋体" w:hAnsi="宋体" w:cs="宋体"/>
                <w:szCs w:val="21"/>
                <w:lang w:val="zh-CN"/>
              </w:rPr>
              <w:t>提供的</w:t>
            </w:r>
            <w:r>
              <w:rPr>
                <w:rFonts w:hint="eastAsia"/>
              </w:rPr>
              <w:t>近三年（20</w:t>
            </w:r>
            <w:r>
              <w:rPr>
                <w:rFonts w:hint="eastAsia"/>
                <w:lang w:val="en-US" w:eastAsia="zh-CN"/>
              </w:rPr>
              <w:t>23</w:t>
            </w:r>
            <w:r>
              <w:rPr>
                <w:rFonts w:hint="eastAsia"/>
              </w:rPr>
              <w:t>年</w:t>
            </w:r>
            <w:r>
              <w:t>1</w:t>
            </w:r>
            <w:r>
              <w:rPr>
                <w:rFonts w:hint="eastAsia"/>
              </w:rPr>
              <w:t>月至今）的同类项目业绩进行赋分，每提供一份业绩合同得</w:t>
            </w:r>
            <w:r>
              <w:t>1</w:t>
            </w:r>
            <w:r>
              <w:rPr>
                <w:rFonts w:hint="eastAsia"/>
              </w:rPr>
              <w:t>分，此项最高</w:t>
            </w:r>
            <w:r>
              <w:t>3</w:t>
            </w:r>
            <w:r>
              <w:rPr>
                <w:rFonts w:hint="eastAsia"/>
              </w:rPr>
              <w:t>分。</w:t>
            </w:r>
            <w:r>
              <w:rPr>
                <w:rFonts w:hint="eastAsia" w:ascii="宋体" w:hAnsi="宋体" w:cs="宋体"/>
                <w:b/>
                <w:szCs w:val="21"/>
              </w:rPr>
              <w:t>（注：须在</w:t>
            </w:r>
            <w:r>
              <w:rPr>
                <w:rFonts w:hint="eastAsia" w:ascii="宋体" w:hAnsi="宋体" w:cs="宋体"/>
                <w:b/>
                <w:szCs w:val="21"/>
                <w:lang w:val="en-US" w:eastAsia="zh-CN"/>
              </w:rPr>
              <w:t>响应</w:t>
            </w:r>
            <w:r>
              <w:rPr>
                <w:rFonts w:hint="eastAsia" w:ascii="宋体" w:hAnsi="宋体" w:cs="宋体"/>
                <w:b/>
                <w:szCs w:val="21"/>
              </w:rPr>
              <w:t>文件中附业绩合同复印件，否则不得分。）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650" w:type="dxa"/>
            <w:vMerge w:val="continue"/>
            <w:tcBorders>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720" w:type="dxa"/>
            <w:vMerge w:val="continue"/>
            <w:tcBorders>
              <w:bottom w:val="single" w:color="auto" w:sz="4" w:space="0"/>
              <w:right w:val="single" w:color="auto" w:sz="4" w:space="0"/>
            </w:tcBorders>
            <w:noWrap w:val="0"/>
            <w:vAlign w:val="center"/>
          </w:tcPr>
          <w:p>
            <w:pPr>
              <w:spacing w:line="440" w:lineRule="exact"/>
              <w:rPr>
                <w:rFonts w:hint="eastAsia"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ind w:left="105" w:hanging="105" w:hangingChars="50"/>
              <w:jc w:val="center"/>
              <w:rPr>
                <w:rFonts w:hint="eastAsia" w:hAnsi="宋体"/>
                <w:szCs w:val="21"/>
              </w:rPr>
            </w:pPr>
            <w:r>
              <w:rPr>
                <w:rFonts w:hint="eastAsia" w:hAnsi="宋体"/>
                <w:szCs w:val="21"/>
              </w:rPr>
              <w:t>售后服务</w:t>
            </w:r>
          </w:p>
          <w:p>
            <w:pPr>
              <w:widowControl/>
              <w:jc w:val="center"/>
              <w:rPr>
                <w:rFonts w:hint="eastAsia" w:ascii="宋体" w:hAnsi="宋体" w:cs="宋体"/>
                <w:szCs w:val="21"/>
              </w:rPr>
            </w:pPr>
            <w:r>
              <w:rPr>
                <w:rFonts w:hint="eastAsia" w:hAnsi="宋体"/>
                <w:szCs w:val="21"/>
              </w:rPr>
              <w:t>（4分）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lang w:val="zh-CN"/>
              </w:rPr>
            </w:pPr>
            <w:r>
              <w:t>1.</w:t>
            </w:r>
            <w:r>
              <w:rPr>
                <w:rFonts w:hint="eastAsia"/>
                <w:lang w:val="zh-CN"/>
              </w:rPr>
              <w:t>有完整的售后服务和技术培训方案、计划。</w:t>
            </w:r>
            <w:r>
              <w:t xml:space="preserve">     </w:t>
            </w:r>
            <w:r>
              <w:rPr>
                <w:rFonts w:hint="eastAsia" w:ascii="宋体" w:hAnsi="宋体"/>
                <w:szCs w:val="21"/>
                <w:lang w:val="zh-CN"/>
              </w:rPr>
              <w:t>（0-</w:t>
            </w:r>
            <w:r>
              <w:rPr>
                <w:rFonts w:hint="eastAsia" w:ascii="宋体" w:hAnsi="宋体"/>
                <w:szCs w:val="21"/>
              </w:rPr>
              <w:t>2</w:t>
            </w:r>
            <w:r>
              <w:rPr>
                <w:rFonts w:hint="eastAsia" w:ascii="宋体" w:hAnsi="宋体"/>
                <w:szCs w:val="21"/>
                <w:lang w:val="zh-CN"/>
              </w:rPr>
              <w:t>分）</w:t>
            </w:r>
          </w:p>
          <w:p>
            <w:pPr>
              <w:spacing w:line="336" w:lineRule="auto"/>
              <w:rPr>
                <w:rFonts w:hint="eastAsia" w:ascii="宋体" w:hAnsi="宋体" w:cs="宋体"/>
                <w:szCs w:val="21"/>
              </w:rPr>
            </w:pPr>
            <w:r>
              <w:t>2.</w:t>
            </w:r>
            <w:r>
              <w:rPr>
                <w:rFonts w:hint="eastAsia"/>
                <w:lang w:val="zh-CN"/>
              </w:rPr>
              <w:t>针对本项目售后服务措施得力，人员齐全，同类产品用户评价意见好。</w:t>
            </w:r>
            <w:r>
              <w:t xml:space="preserve">                                </w:t>
            </w:r>
            <w:r>
              <w:rPr>
                <w:rFonts w:hint="eastAsia"/>
              </w:rPr>
              <w:t xml:space="preserve">        </w:t>
            </w:r>
            <w:r>
              <w:t xml:space="preserve"> </w:t>
            </w:r>
            <w:r>
              <w:rPr>
                <w:rFonts w:hint="eastAsia" w:ascii="宋体" w:hAnsi="宋体"/>
                <w:szCs w:val="21"/>
                <w:lang w:val="zh-CN"/>
              </w:rPr>
              <w:t>（0-</w:t>
            </w:r>
            <w:r>
              <w:rPr>
                <w:rFonts w:hint="eastAsia" w:ascii="宋体" w:hAnsi="宋体"/>
                <w:szCs w:val="21"/>
              </w:rPr>
              <w:t>2</w:t>
            </w:r>
            <w:r>
              <w:rPr>
                <w:rFonts w:hint="eastAsia" w:ascii="宋体" w:hAnsi="宋体"/>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3" w:hRule="atLeast"/>
          <w:jc w:val="center"/>
        </w:trPr>
        <w:tc>
          <w:tcPr>
            <w:tcW w:w="650" w:type="dxa"/>
            <w:vMerge w:val="continue"/>
            <w:tcBorders>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720" w:type="dxa"/>
            <w:vMerge w:val="continue"/>
            <w:tcBorders>
              <w:bottom w:val="single" w:color="auto" w:sz="4" w:space="0"/>
              <w:right w:val="single" w:color="auto" w:sz="4" w:space="0"/>
            </w:tcBorders>
            <w:noWrap w:val="0"/>
            <w:vAlign w:val="center"/>
          </w:tcPr>
          <w:p>
            <w:pPr>
              <w:spacing w:line="440" w:lineRule="exact"/>
              <w:rPr>
                <w:rFonts w:hint="eastAsia" w:ascii="宋体" w:hAnsi="宋体" w:cs="宋体"/>
                <w:szCs w:val="21"/>
              </w:rPr>
            </w:pPr>
          </w:p>
        </w:tc>
        <w:tc>
          <w:tcPr>
            <w:tcW w:w="1695" w:type="dxa"/>
            <w:tcBorders>
              <w:top w:val="single" w:color="auto" w:sz="4" w:space="0"/>
              <w:left w:val="single" w:color="auto" w:sz="4" w:space="0"/>
              <w:right w:val="single" w:color="auto" w:sz="4" w:space="0"/>
            </w:tcBorders>
            <w:noWrap w:val="0"/>
            <w:vAlign w:val="center"/>
          </w:tcPr>
          <w:p>
            <w:pPr>
              <w:widowControl/>
              <w:jc w:val="center"/>
              <w:rPr>
                <w:rFonts w:hint="eastAsia" w:hAnsi="宋体"/>
                <w:szCs w:val="21"/>
              </w:rPr>
            </w:pPr>
            <w:r>
              <w:rPr>
                <w:rFonts w:hint="eastAsia" w:hAnsi="宋体"/>
                <w:szCs w:val="21"/>
              </w:rPr>
              <w:t>商务响应程度（ 3分）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36" w:lineRule="auto"/>
              <w:rPr>
                <w:rFonts w:hint="eastAsia" w:ascii="宋体" w:hAnsi="宋体" w:cs="宋体"/>
                <w:szCs w:val="21"/>
              </w:rPr>
            </w:pPr>
            <w:r>
              <w:rPr>
                <w:rFonts w:hint="eastAsia"/>
                <w:lang w:val="en-US" w:eastAsia="zh-CN"/>
              </w:rPr>
              <w:t>响应</w:t>
            </w:r>
            <w:r>
              <w:rPr>
                <w:rFonts w:hint="eastAsia"/>
              </w:rPr>
              <w:t>文件中对付款、质保、验收、交货期等商务要求进行响应</w:t>
            </w:r>
            <w:r>
              <w:t xml:space="preserve">, </w:t>
            </w:r>
            <w:r>
              <w:rPr>
                <w:rFonts w:hint="eastAsia"/>
              </w:rPr>
              <w:t>不符合</w:t>
            </w:r>
            <w:r>
              <w:rPr>
                <w:rFonts w:hint="eastAsia"/>
                <w:lang w:eastAsia="zh-CN"/>
              </w:rPr>
              <w:t>文件</w:t>
            </w:r>
            <w:r>
              <w:rPr>
                <w:rFonts w:hint="eastAsia"/>
              </w:rPr>
              <w:t>要求的，每负偏离一项，扣0.5分，扣完为止。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5" w:hRule="atLeast"/>
          <w:jc w:val="center"/>
        </w:trPr>
        <w:tc>
          <w:tcPr>
            <w:tcW w:w="650" w:type="dxa"/>
            <w:tcBorders>
              <w:top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.3</w:t>
            </w:r>
          </w:p>
          <w:p>
            <w:pPr>
              <w:spacing w:line="44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p>
        </w:tc>
        <w:tc>
          <w:tcPr>
            <w:tcW w:w="720" w:type="dxa"/>
            <w:tcBorders>
              <w:top w:val="single" w:color="auto" w:sz="4" w:space="0"/>
              <w:right w:val="single" w:color="auto" w:sz="4" w:space="0"/>
            </w:tcBorders>
            <w:noWrap w:val="0"/>
            <w:vAlign w:val="center"/>
          </w:tcPr>
          <w:p>
            <w:pPr>
              <w:spacing w:line="440" w:lineRule="exact"/>
              <w:rPr>
                <w:rFonts w:hint="eastAsia" w:ascii="宋体" w:hAnsi="宋体" w:cs="宋体"/>
                <w:szCs w:val="21"/>
              </w:rPr>
            </w:pPr>
          </w:p>
          <w:p>
            <w:pPr>
              <w:spacing w:line="440" w:lineRule="exact"/>
              <w:rPr>
                <w:rFonts w:hint="eastAsia" w:ascii="宋体" w:hAnsi="宋体" w:cs="宋体"/>
                <w:szCs w:val="21"/>
              </w:rPr>
            </w:pPr>
            <w:r>
              <w:rPr>
                <w:rFonts w:hint="eastAsia" w:ascii="宋体" w:hAnsi="宋体" w:cs="宋体"/>
                <w:szCs w:val="21"/>
              </w:rPr>
              <w:t>技术评分标准（40分）</w:t>
            </w:r>
          </w:p>
        </w:tc>
        <w:tc>
          <w:tcPr>
            <w:tcW w:w="1695" w:type="dxa"/>
            <w:tcBorders>
              <w:top w:val="single" w:color="auto" w:sz="4" w:space="0"/>
              <w:left w:val="single" w:color="auto" w:sz="4" w:space="0"/>
              <w:right w:val="single" w:color="auto" w:sz="4" w:space="0"/>
            </w:tcBorders>
            <w:noWrap w:val="0"/>
            <w:vAlign w:val="center"/>
          </w:tcPr>
          <w:p>
            <w:pPr>
              <w:widowControl/>
              <w:rPr>
                <w:rFonts w:ascii="宋体" w:hAnsi="宋体" w:cs="宋体"/>
                <w:szCs w:val="21"/>
              </w:rPr>
            </w:pPr>
          </w:p>
          <w:p>
            <w:pPr>
              <w:widowControl/>
              <w:rPr>
                <w:rFonts w:ascii="宋体" w:hAnsi="宋体" w:cs="宋体"/>
                <w:szCs w:val="21"/>
              </w:rPr>
            </w:pPr>
          </w:p>
          <w:p>
            <w:pPr>
              <w:widowControl/>
              <w:rPr>
                <w:rFonts w:ascii="宋体" w:hAnsi="宋体" w:cs="宋体"/>
                <w:szCs w:val="21"/>
              </w:rPr>
            </w:pPr>
          </w:p>
          <w:p>
            <w:pPr>
              <w:widowControl/>
              <w:jc w:val="center"/>
              <w:rPr>
                <w:rFonts w:ascii="宋体" w:hAnsi="宋体" w:cs="宋体"/>
                <w:szCs w:val="21"/>
              </w:rPr>
            </w:pPr>
            <w:r>
              <w:rPr>
                <w:rFonts w:hint="eastAsia" w:ascii="宋体" w:hAnsi="宋体" w:cs="宋体"/>
                <w:szCs w:val="21"/>
              </w:rPr>
              <w:t>方案评审</w:t>
            </w:r>
            <w:r>
              <w:rPr>
                <w:rFonts w:hint="eastAsia" w:ascii="宋体" w:hAnsi="宋体" w:cs="宋体"/>
                <w:szCs w:val="21"/>
                <w:lang w:val="en-US" w:eastAsia="zh-CN"/>
              </w:rPr>
              <w:t>及质量保证</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分）</w:t>
            </w:r>
          </w:p>
          <w:p>
            <w:pPr>
              <w:widowControl/>
              <w:rPr>
                <w:rFonts w:hint="eastAsia" w:ascii="宋体" w:hAnsi="宋体" w:cs="宋体"/>
                <w:szCs w:val="21"/>
              </w:rPr>
            </w:pPr>
            <w:r>
              <w:rPr>
                <w:rFonts w:hint="eastAsia" w:ascii="宋体" w:hAnsi="宋体" w:cs="宋体"/>
                <w:szCs w:val="21"/>
              </w:rPr>
              <w:t xml:space="preserve">                                                                        </w:t>
            </w:r>
          </w:p>
        </w:tc>
        <w:tc>
          <w:tcPr>
            <w:tcW w:w="6948" w:type="dxa"/>
            <w:tcBorders>
              <w:top w:val="single" w:color="auto" w:sz="4" w:space="0"/>
              <w:left w:val="single" w:color="auto" w:sz="4" w:space="0"/>
              <w:right w:val="single" w:color="auto" w:sz="4" w:space="0"/>
            </w:tcBorders>
            <w:noWrap w:val="0"/>
            <w:vAlign w:val="center"/>
          </w:tcPr>
          <w:p>
            <w:pPr>
              <w:widowControl/>
              <w:spacing w:line="360" w:lineRule="auto"/>
              <w:rPr>
                <w:rFonts w:hint="eastAsia" w:ascii="宋体" w:hAnsi="宋体" w:cs="宋体"/>
                <w:szCs w:val="21"/>
              </w:rPr>
            </w:pPr>
            <w:r>
              <w:rPr>
                <w:rFonts w:hint="eastAsia" w:ascii="宋体" w:hAnsi="宋体" w:cs="宋体"/>
                <w:szCs w:val="21"/>
              </w:rPr>
              <w:t>1.产品选择合理、功能满足用户需求、技术指标、配置满足</w:t>
            </w:r>
            <w:r>
              <w:rPr>
                <w:rFonts w:hint="eastAsia" w:ascii="宋体" w:hAnsi="宋体" w:cs="宋体"/>
                <w:szCs w:val="21"/>
                <w:lang w:eastAsia="zh-CN"/>
              </w:rPr>
              <w:t>文件</w:t>
            </w:r>
            <w:r>
              <w:rPr>
                <w:rFonts w:hint="eastAsia" w:ascii="宋体" w:hAnsi="宋体" w:cs="宋体"/>
                <w:szCs w:val="21"/>
              </w:rPr>
              <w:t>技术要求                                            （0-</w:t>
            </w:r>
            <w:r>
              <w:rPr>
                <w:rFonts w:hint="eastAsia" w:ascii="宋体" w:hAnsi="宋体" w:cs="宋体"/>
                <w:szCs w:val="21"/>
                <w:lang w:val="en-US" w:eastAsia="zh-CN"/>
              </w:rPr>
              <w:t>8</w:t>
            </w:r>
            <w:r>
              <w:rPr>
                <w:rFonts w:hint="eastAsia" w:ascii="宋体" w:hAnsi="宋体" w:cs="宋体"/>
                <w:szCs w:val="21"/>
              </w:rPr>
              <w:t xml:space="preserve">分）                                          </w:t>
            </w:r>
          </w:p>
          <w:p>
            <w:pPr>
              <w:widowControl/>
              <w:spacing w:line="360" w:lineRule="auto"/>
              <w:rPr>
                <w:rFonts w:hint="eastAsia" w:ascii="宋体" w:hAnsi="宋体" w:cs="宋体"/>
                <w:szCs w:val="21"/>
              </w:rPr>
            </w:pPr>
            <w:r>
              <w:rPr>
                <w:rFonts w:hint="eastAsia" w:ascii="宋体" w:hAnsi="宋体" w:cs="宋体"/>
                <w:szCs w:val="21"/>
              </w:rPr>
              <w:t>2.产品整体性能优良、环保、效率高、能耗低、质量优，对</w:t>
            </w:r>
            <w:r>
              <w:rPr>
                <w:rFonts w:hint="eastAsia" w:ascii="宋体" w:hAnsi="宋体" w:cs="宋体"/>
                <w:szCs w:val="21"/>
                <w:lang w:eastAsia="zh-CN"/>
              </w:rPr>
              <w:t>文件</w:t>
            </w:r>
            <w:r>
              <w:rPr>
                <w:rFonts w:hint="eastAsia" w:ascii="宋体" w:hAnsi="宋体" w:cs="宋体"/>
                <w:szCs w:val="21"/>
              </w:rPr>
              <w:t>做出全面响应                                        (0-</w:t>
            </w:r>
            <w:r>
              <w:rPr>
                <w:rFonts w:hint="eastAsia" w:ascii="宋体" w:hAnsi="宋体" w:cs="宋体"/>
                <w:szCs w:val="21"/>
                <w:lang w:val="en-US" w:eastAsia="zh-CN"/>
              </w:rPr>
              <w:t>8</w:t>
            </w:r>
            <w:r>
              <w:rPr>
                <w:rFonts w:hint="eastAsia" w:ascii="宋体" w:hAnsi="宋体" w:cs="宋体"/>
                <w:szCs w:val="21"/>
              </w:rPr>
              <w:t>分）</w:t>
            </w:r>
          </w:p>
          <w:p>
            <w:pPr>
              <w:widowControl/>
              <w:spacing w:line="360" w:lineRule="auto"/>
              <w:rPr>
                <w:rFonts w:hint="eastAsia" w:ascii="宋体" w:hAnsi="宋体" w:cs="宋体"/>
                <w:szCs w:val="21"/>
              </w:rPr>
            </w:pPr>
            <w:r>
              <w:rPr>
                <w:rFonts w:hint="eastAsia" w:ascii="宋体" w:hAnsi="宋体" w:cs="宋体"/>
                <w:szCs w:val="21"/>
              </w:rPr>
              <w:t>3.拟供产品的技术资料齐全、技术参数清楚、明确，检验（测）</w:t>
            </w:r>
          </w:p>
          <w:p>
            <w:pPr>
              <w:widowControl/>
              <w:spacing w:line="360" w:lineRule="auto"/>
              <w:rPr>
                <w:rFonts w:hint="eastAsia" w:ascii="宋体" w:hAnsi="宋体" w:cs="宋体"/>
                <w:szCs w:val="21"/>
              </w:rPr>
            </w:pPr>
            <w:r>
              <w:rPr>
                <w:rFonts w:hint="eastAsia" w:ascii="宋体" w:hAnsi="宋体" w:cs="宋体"/>
                <w:szCs w:val="21"/>
              </w:rPr>
              <w:t>报告等质量证明文件齐全                               （0-</w:t>
            </w:r>
            <w:r>
              <w:rPr>
                <w:rFonts w:hint="eastAsia" w:ascii="宋体" w:hAnsi="宋体" w:cs="宋体"/>
                <w:szCs w:val="21"/>
                <w:lang w:val="en-US" w:eastAsia="zh-CN"/>
              </w:rPr>
              <w:t>8</w:t>
            </w:r>
            <w:r>
              <w:rPr>
                <w:rFonts w:hint="eastAsia" w:ascii="宋体" w:hAnsi="宋体" w:cs="宋体"/>
                <w:szCs w:val="21"/>
              </w:rPr>
              <w:t>分）</w:t>
            </w:r>
          </w:p>
          <w:p>
            <w:pPr>
              <w:widowControl/>
              <w:spacing w:line="360" w:lineRule="auto"/>
              <w:rPr>
                <w:rFonts w:hint="eastAsia" w:ascii="宋体" w:hAnsi="宋体" w:cs="宋体"/>
                <w:szCs w:val="21"/>
              </w:rPr>
            </w:pPr>
            <w:r>
              <w:rPr>
                <w:rFonts w:hint="eastAsia" w:ascii="宋体" w:hAnsi="宋体" w:cs="宋体"/>
                <w:szCs w:val="21"/>
              </w:rPr>
              <w:t>4.供货、安装、调试方案</w:t>
            </w:r>
            <w:r>
              <w:rPr>
                <w:rFonts w:hint="eastAsia" w:ascii="宋体" w:hAnsi="宋体" w:cs="宋体"/>
                <w:szCs w:val="21"/>
                <w:lang w:eastAsia="zh-CN"/>
              </w:rPr>
              <w:t>，</w:t>
            </w:r>
            <w:r>
              <w:rPr>
                <w:rFonts w:hint="eastAsia" w:ascii="宋体" w:hAnsi="宋体" w:cs="宋体"/>
                <w:szCs w:val="21"/>
              </w:rPr>
              <w:t>方案的技术支持及现场服务     （0-</w:t>
            </w:r>
            <w:r>
              <w:rPr>
                <w:rFonts w:hint="eastAsia" w:ascii="宋体" w:hAnsi="宋体" w:cs="宋体"/>
                <w:szCs w:val="21"/>
                <w:lang w:val="en-US" w:eastAsia="zh-CN"/>
              </w:rPr>
              <w:t>8</w:t>
            </w:r>
            <w:r>
              <w:rPr>
                <w:rFonts w:hint="eastAsia" w:ascii="宋体" w:hAnsi="宋体" w:cs="宋体"/>
                <w:szCs w:val="21"/>
              </w:rPr>
              <w:t xml:space="preserve">分）                                              </w:t>
            </w:r>
          </w:p>
          <w:p>
            <w:pPr>
              <w:spacing w:line="360" w:lineRule="auto"/>
              <w:rPr>
                <w:rFonts w:hint="eastAsia" w:ascii="宋体" w:hAnsi="宋体" w:cs="宋体"/>
                <w:szCs w:val="21"/>
              </w:rPr>
            </w:pPr>
            <w:r>
              <w:rPr>
                <w:rFonts w:hint="eastAsia" w:ascii="宋体" w:hAnsi="宋体" w:cs="宋体"/>
                <w:szCs w:val="21"/>
              </w:rPr>
              <w:t>5.产品生产厂家具有可靠、完备的管理体系、加工、检验能力等（0-</w:t>
            </w:r>
            <w:r>
              <w:rPr>
                <w:rFonts w:hint="eastAsia" w:ascii="宋体" w:hAnsi="宋体" w:cs="宋体"/>
                <w:szCs w:val="21"/>
                <w:lang w:val="en-US" w:eastAsia="zh-CN"/>
              </w:rPr>
              <w:t>8</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10013" w:type="dxa"/>
            <w:gridSpan w:val="4"/>
            <w:tcBorders>
              <w:top w:val="single" w:color="auto" w:sz="4" w:space="0"/>
              <w:bottom w:val="single" w:color="auto" w:sz="4" w:space="0"/>
              <w:right w:val="single" w:color="auto" w:sz="4" w:space="0"/>
            </w:tcBorders>
            <w:noWrap w:val="0"/>
            <w:vAlign w:val="center"/>
          </w:tcPr>
          <w:p>
            <w:pPr>
              <w:spacing w:line="336" w:lineRule="auto"/>
              <w:rPr>
                <w:rFonts w:hint="eastAsia" w:ascii="宋体" w:hAnsi="宋体" w:cs="宋体"/>
                <w:szCs w:val="21"/>
                <w:lang w:val="zh-CN"/>
              </w:rPr>
            </w:pPr>
            <w:r>
              <w:rPr>
                <w:rFonts w:hint="eastAsia" w:ascii="宋体" w:hAnsi="宋体" w:cs="宋体"/>
                <w:szCs w:val="21"/>
                <w:lang w:val="zh-CN"/>
              </w:rPr>
              <w:t>注： 计算小数点保留两位小数，第三位“四舍五入”。</w:t>
            </w:r>
          </w:p>
        </w:tc>
      </w:tr>
    </w:tbl>
    <w:p>
      <w:pPr>
        <w:spacing w:line="480" w:lineRule="exact"/>
        <w:rPr>
          <w:rFonts w:hint="eastAsia" w:ascii="仿宋" w:hAnsi="仿宋" w:eastAsia="仿宋" w:cs="仿宋"/>
          <w:sz w:val="30"/>
          <w:szCs w:val="30"/>
        </w:rPr>
      </w:pP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）响应文件评审程序</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1.评审小组要求供应商提交第一条第</w:t>
      </w:r>
      <w:r>
        <w:rPr>
          <w:rFonts w:hint="eastAsia" w:ascii="仿宋" w:hAnsi="仿宋" w:eastAsia="仿宋" w:cs="仿宋"/>
          <w:b w:val="0"/>
          <w:bCs w:val="0"/>
          <w:sz w:val="30"/>
          <w:szCs w:val="30"/>
          <w:highlight w:val="none"/>
          <w:lang w:val="en-US" w:eastAsia="zh-CN"/>
        </w:rPr>
        <w:t>九</w:t>
      </w:r>
      <w:r>
        <w:rPr>
          <w:rFonts w:hint="eastAsia" w:ascii="仿宋" w:hAnsi="仿宋" w:eastAsia="仿宋" w:cs="仿宋"/>
          <w:sz w:val="30"/>
          <w:szCs w:val="30"/>
        </w:rPr>
        <w:t>款规定的有关证明和证件的原件</w:t>
      </w:r>
      <w:r>
        <w:rPr>
          <w:rFonts w:hint="eastAsia" w:ascii="仿宋" w:hAnsi="仿宋" w:eastAsia="仿宋" w:cs="仿宋"/>
          <w:sz w:val="30"/>
          <w:szCs w:val="30"/>
          <w:lang w:val="en-US" w:eastAsia="zh-CN"/>
        </w:rPr>
        <w:t>或复印件</w:t>
      </w:r>
      <w:r>
        <w:rPr>
          <w:rFonts w:hint="eastAsia" w:ascii="仿宋" w:hAnsi="仿宋" w:eastAsia="仿宋" w:cs="仿宋"/>
          <w:sz w:val="30"/>
          <w:szCs w:val="30"/>
        </w:rPr>
        <w:t>，评审小组对前述响应文件进行初步评审，有一项不符合评审标准的，评审小组应当否决其响应文件。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2.供应商有以下情形之一的，评审小组应当否决其响应：</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（1）供应商未经过正常途径获取标书或供应商名称或组织结构与询比采购文件不一致且未提供有效证明的；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（2）响应文件未经响应供应商单位盖章和单位负责人签字或盖章的；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（3）供应商不符合询比采购文件规定的资格条件的；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）供应商提交两份或多份内容不同的响应文件，或在同一份响应文件中有两个或多个报价，且未声明哪一个为最终报价的；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）报价明显低于其他响应报价，且供应商不能合理说明或者提供相关证明材料，评审小组认定该供应商以低于成本价竞标的；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）响应文件有效期达不到询比采购文件要求的；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）供应商方案出现严重漏项，已影响到该项目的实施的；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bookmarkStart w:id="0" w:name="_GoBack"/>
      <w:bookmarkEnd w:id="0"/>
      <w:r>
        <w:rPr>
          <w:rFonts w:hint="eastAsia" w:ascii="仿宋" w:hAnsi="仿宋" w:eastAsia="仿宋" w:cs="仿宋"/>
          <w:sz w:val="30"/>
          <w:szCs w:val="30"/>
        </w:rPr>
        <w:t>）供应商有串通投标、弄虚作假、行贿等违法行为的。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3.响应报价有算术错误的，评审小组按以下原则要求供应商对响应报价进行书面澄清确认。供应商拒不澄清确认的，评审小组应当否决其响应文件：</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（2）总价金额与单价金额不一致的，以单价金额为准，但单价金额小数点有明显错误的除外；</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（3）响应报价为各分项报价金额之和，响应报价与分项报价的合价不一致的，应以各分项合价累计数为准，修正响应报价。</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评审小组发现供应商的报价明显低于其他响应报价，使得其响应报价可能低于其个别成本的，应当要求该供应商作出书面说明并提供相应的证明材料。供应商不能合理说明或者不能提供相应证明材料的，评审小组应当认定该供应商以低于成本报价竞标，并否决其响应文件。</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）响应文件的澄清</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评审过程中，评审小组对响应文件中含义不明确、对同类问题表述不一致或者有明显文字和计算错误的内容可以书面形式要求供应商作必要的澄清、说明或补正。评审小组不接受供应商主动提出的澄清、说明或补正。</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2.澄清、说明或补正不得超出响应文件的范围且不得改变响应文件的实质性内容，并构成响应文件的组成部分。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3.评审小组对供应商提交的澄清、说明或补正有疑问的，可要求供应商进一步澄清、说明或补正，直至满足评审小组的要求。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）评审结果</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评审小组根据采购文件规定的评审办法按照综合得分由高到低的顺序推荐候选人。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评审小组完成评标后，应当向招标办公室提交书面评审报告和成交候选人名单。</w:t>
      </w:r>
    </w:p>
    <w:p>
      <w:pPr>
        <w:spacing w:line="48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六、合同授予</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（一）成交候选人公示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在陕西锌业有限公司网络采购平台www.sxxyjjpt.com公示成交候选人，公示期不少于3天。</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（二）评审结果异议</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供应商或者其他利害关系人对评审结果有异议的，应当在成交候选人公示期间提出。采购人在收到异议之日起3日内对异议作出答复；作出答复前，将暂停询比采购活动。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（三）成交候选人履约能力审查</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（四）确定成交人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采购人单位履行内部审批程序，根据评审小组的评审报告及成交人候选人名单确定成交人。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五</w:t>
      </w:r>
      <w:r>
        <w:rPr>
          <w:rFonts w:hint="eastAsia" w:ascii="仿宋" w:hAnsi="仿宋" w:eastAsia="仿宋" w:cs="仿宋"/>
          <w:sz w:val="30"/>
          <w:szCs w:val="30"/>
        </w:rPr>
        <w:t>）签订合同</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采购人和成交供应商应当在响应有效期内，且在收到成交通知之日起7日内，根据询比采购文件和成交人的响应文件订立书面合同。成交人无正当理由拒签合同，或者提出其他附加条件的，采购人有权取消其成交资格，其响应保证金不予退还；给采购人造成的损失超出响应保证金数额的，成交供应商还应当对超出部分予以赔偿。</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2.发出成交通知书后，采购人无正当理由拒签合同的，或者提出其他附加条件的，采购人向成交人退还响应保证金；给成交人造成损失的，还应当赔偿损失。</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七、纪律和监督</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（一）供应商不得相互串通投标或者与采购人串通投标，不得向采购人或者评审小组成员行贿谋取成交，不得以他人名义投标或者以其他方式弄虚作假骗取成交；供应商不得以任何方式干扰、影响评标工作。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评审小组成员及相关工作人员不得收受他人的财物或者其他好处，不得向他人透露对响应文件的评审和比较、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（三）异议</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1.供应商或者其他利害关系人认为采购人采购活动存在违法或违反平等自愿、公平诚信原则的，可以直接向采购人单位招标办公室提出异议。</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2.招标办收到供应商提出的异议，应当依法、依规、妥善处理异议，并在收到异议之日起三个工作日内，对异议提出人做出答复。答复前，可暂停下一程序的采购活动。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3.对响应供应商提出的异议，如属异议提出人对相关问题理解有误的，招标办应做出解释；如经核查发现采购活动确实存在违法或违反本办法相关规定的，招标办应及时予以纠正或补救。 </w:t>
      </w:r>
    </w:p>
    <w:p>
      <w:pPr>
        <w:spacing w:line="480" w:lineRule="exact"/>
        <w:ind w:firstLine="3600" w:firstLineChars="1200"/>
        <w:rPr>
          <w:rFonts w:hint="eastAsia" w:ascii="仿宋" w:hAnsi="仿宋" w:eastAsia="仿宋" w:cs="仿宋"/>
          <w:sz w:val="30"/>
          <w:szCs w:val="30"/>
        </w:rPr>
      </w:pPr>
    </w:p>
    <w:p>
      <w:pPr>
        <w:spacing w:line="480" w:lineRule="exact"/>
        <w:ind w:firstLine="3600" w:firstLineChars="1200"/>
        <w:rPr>
          <w:rFonts w:hint="eastAsia" w:ascii="仿宋" w:hAnsi="仿宋" w:eastAsia="仿宋" w:cs="仿宋"/>
          <w:sz w:val="30"/>
          <w:szCs w:val="30"/>
        </w:rPr>
      </w:pPr>
      <w:r>
        <w:rPr>
          <w:rFonts w:hint="eastAsia" w:ascii="仿宋" w:hAnsi="仿宋" w:eastAsia="仿宋" w:cs="仿宋"/>
          <w:sz w:val="30"/>
          <w:szCs w:val="30"/>
        </w:rPr>
        <w:t>陕西锌业有限公司</w:t>
      </w:r>
    </w:p>
    <w:p>
      <w:pPr>
        <w:spacing w:line="480" w:lineRule="exact"/>
        <w:ind w:firstLine="3600" w:firstLineChars="1200"/>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w:t>
      </w:r>
      <w:r>
        <w:rPr>
          <w:rFonts w:hint="eastAsia" w:ascii="仿宋" w:hAnsi="仿宋" w:eastAsia="仿宋" w:cs="仿宋"/>
          <w:sz w:val="30"/>
          <w:szCs w:val="30"/>
          <w:lang w:val="en-US" w:eastAsia="zh-CN"/>
        </w:rPr>
        <w:t>22</w:t>
      </w:r>
      <w:r>
        <w:rPr>
          <w:rFonts w:hint="eastAsia" w:ascii="仿宋" w:hAnsi="仿宋" w:eastAsia="仿宋" w:cs="仿宋"/>
          <w:sz w:val="30"/>
          <w:szCs w:val="30"/>
        </w:rPr>
        <w:t>日</w:t>
      </w:r>
    </w:p>
    <w:sectPr>
      <w:pgSz w:w="11906" w:h="16838"/>
      <w:pgMar w:top="1440"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97"/>
    <w:rsid w:val="00003148"/>
    <w:rsid w:val="00303B97"/>
    <w:rsid w:val="00346571"/>
    <w:rsid w:val="004505B1"/>
    <w:rsid w:val="004D448E"/>
    <w:rsid w:val="009568FE"/>
    <w:rsid w:val="00AA2A0E"/>
    <w:rsid w:val="00D37EE7"/>
    <w:rsid w:val="00E903B4"/>
    <w:rsid w:val="01305281"/>
    <w:rsid w:val="01DC313D"/>
    <w:rsid w:val="021467A9"/>
    <w:rsid w:val="024617F2"/>
    <w:rsid w:val="0256337A"/>
    <w:rsid w:val="02905EAB"/>
    <w:rsid w:val="02E908CF"/>
    <w:rsid w:val="03393BAE"/>
    <w:rsid w:val="033F0D78"/>
    <w:rsid w:val="037C5D7C"/>
    <w:rsid w:val="03BB78CE"/>
    <w:rsid w:val="0449694D"/>
    <w:rsid w:val="046C7840"/>
    <w:rsid w:val="049802FF"/>
    <w:rsid w:val="054D64A7"/>
    <w:rsid w:val="05DA1197"/>
    <w:rsid w:val="05F26B29"/>
    <w:rsid w:val="05F73ACD"/>
    <w:rsid w:val="061A15B1"/>
    <w:rsid w:val="068B7FCC"/>
    <w:rsid w:val="0698721F"/>
    <w:rsid w:val="07090194"/>
    <w:rsid w:val="070C0DEF"/>
    <w:rsid w:val="071C1CA7"/>
    <w:rsid w:val="071F2A3E"/>
    <w:rsid w:val="07270FC2"/>
    <w:rsid w:val="07D63EE2"/>
    <w:rsid w:val="07DD516F"/>
    <w:rsid w:val="084342C2"/>
    <w:rsid w:val="085409E1"/>
    <w:rsid w:val="0861382A"/>
    <w:rsid w:val="08E25A72"/>
    <w:rsid w:val="090F0C59"/>
    <w:rsid w:val="09AF3FF1"/>
    <w:rsid w:val="09F163D0"/>
    <w:rsid w:val="0A31556A"/>
    <w:rsid w:val="0A721B30"/>
    <w:rsid w:val="0B5C0DCA"/>
    <w:rsid w:val="0B6F4ED0"/>
    <w:rsid w:val="0BCC1D85"/>
    <w:rsid w:val="0BFE5C52"/>
    <w:rsid w:val="0C8A7F8F"/>
    <w:rsid w:val="0C9308B1"/>
    <w:rsid w:val="0C9D62F5"/>
    <w:rsid w:val="0CD56232"/>
    <w:rsid w:val="0CF62461"/>
    <w:rsid w:val="0D6E4798"/>
    <w:rsid w:val="0D7444E2"/>
    <w:rsid w:val="0D8E74AA"/>
    <w:rsid w:val="0E7C5D36"/>
    <w:rsid w:val="0E8E0F8D"/>
    <w:rsid w:val="0EB126E9"/>
    <w:rsid w:val="0ED4619D"/>
    <w:rsid w:val="0F3F5DC2"/>
    <w:rsid w:val="100C2487"/>
    <w:rsid w:val="1024355E"/>
    <w:rsid w:val="103F5E7B"/>
    <w:rsid w:val="10B25DF3"/>
    <w:rsid w:val="11300BAA"/>
    <w:rsid w:val="118C11EC"/>
    <w:rsid w:val="11CE095F"/>
    <w:rsid w:val="12242713"/>
    <w:rsid w:val="12392B8D"/>
    <w:rsid w:val="12422D6C"/>
    <w:rsid w:val="12882DFF"/>
    <w:rsid w:val="128A0824"/>
    <w:rsid w:val="12F86343"/>
    <w:rsid w:val="13065BC9"/>
    <w:rsid w:val="138B2FE8"/>
    <w:rsid w:val="13B80D4D"/>
    <w:rsid w:val="13F11F07"/>
    <w:rsid w:val="14991AC0"/>
    <w:rsid w:val="14A113D2"/>
    <w:rsid w:val="15064E11"/>
    <w:rsid w:val="15E541D9"/>
    <w:rsid w:val="1606592F"/>
    <w:rsid w:val="16166774"/>
    <w:rsid w:val="16734516"/>
    <w:rsid w:val="16A25956"/>
    <w:rsid w:val="16C4003D"/>
    <w:rsid w:val="17527900"/>
    <w:rsid w:val="17BD3500"/>
    <w:rsid w:val="182F6239"/>
    <w:rsid w:val="18391F9F"/>
    <w:rsid w:val="19131D2F"/>
    <w:rsid w:val="194A6E65"/>
    <w:rsid w:val="19C442EE"/>
    <w:rsid w:val="19DB0CFF"/>
    <w:rsid w:val="19E05FC6"/>
    <w:rsid w:val="19E734C4"/>
    <w:rsid w:val="1A1E4E2D"/>
    <w:rsid w:val="1A295D37"/>
    <w:rsid w:val="1A3E59C6"/>
    <w:rsid w:val="1A6F38D8"/>
    <w:rsid w:val="1A711D62"/>
    <w:rsid w:val="1A711E1C"/>
    <w:rsid w:val="1A7A751F"/>
    <w:rsid w:val="1AB4513B"/>
    <w:rsid w:val="1B106EF4"/>
    <w:rsid w:val="1BE51C24"/>
    <w:rsid w:val="1BE9183C"/>
    <w:rsid w:val="1C660667"/>
    <w:rsid w:val="1C6A2129"/>
    <w:rsid w:val="1CB728D5"/>
    <w:rsid w:val="1CF739BD"/>
    <w:rsid w:val="1D1A36B1"/>
    <w:rsid w:val="1D964ABA"/>
    <w:rsid w:val="1E144992"/>
    <w:rsid w:val="1E4E0F88"/>
    <w:rsid w:val="1F5A0233"/>
    <w:rsid w:val="1F613F70"/>
    <w:rsid w:val="1F762255"/>
    <w:rsid w:val="1F8110BF"/>
    <w:rsid w:val="1F9C6C13"/>
    <w:rsid w:val="1FB069D9"/>
    <w:rsid w:val="1FB2188E"/>
    <w:rsid w:val="202933B5"/>
    <w:rsid w:val="203778E9"/>
    <w:rsid w:val="218925D5"/>
    <w:rsid w:val="219C7A82"/>
    <w:rsid w:val="21D30B38"/>
    <w:rsid w:val="222A326B"/>
    <w:rsid w:val="225F61DD"/>
    <w:rsid w:val="22883450"/>
    <w:rsid w:val="22EA67DF"/>
    <w:rsid w:val="23392584"/>
    <w:rsid w:val="239301B8"/>
    <w:rsid w:val="240D12D4"/>
    <w:rsid w:val="24154A61"/>
    <w:rsid w:val="24257FC2"/>
    <w:rsid w:val="24271A15"/>
    <w:rsid w:val="24AF2BC7"/>
    <w:rsid w:val="24B85758"/>
    <w:rsid w:val="24BB0A3D"/>
    <w:rsid w:val="24E67F8F"/>
    <w:rsid w:val="24EB6880"/>
    <w:rsid w:val="25624973"/>
    <w:rsid w:val="25865C88"/>
    <w:rsid w:val="25900E53"/>
    <w:rsid w:val="25A636A3"/>
    <w:rsid w:val="260E28FB"/>
    <w:rsid w:val="26126108"/>
    <w:rsid w:val="2668592C"/>
    <w:rsid w:val="269F6A97"/>
    <w:rsid w:val="26D61A38"/>
    <w:rsid w:val="27085815"/>
    <w:rsid w:val="27135380"/>
    <w:rsid w:val="27654158"/>
    <w:rsid w:val="27976205"/>
    <w:rsid w:val="27D66557"/>
    <w:rsid w:val="283A348C"/>
    <w:rsid w:val="28684995"/>
    <w:rsid w:val="288F3EED"/>
    <w:rsid w:val="28C93342"/>
    <w:rsid w:val="2A123246"/>
    <w:rsid w:val="2A226BAF"/>
    <w:rsid w:val="2A317754"/>
    <w:rsid w:val="2A63381A"/>
    <w:rsid w:val="2ADE0BAC"/>
    <w:rsid w:val="2B1803C1"/>
    <w:rsid w:val="2B3B28AC"/>
    <w:rsid w:val="2B4925E0"/>
    <w:rsid w:val="2B6E5373"/>
    <w:rsid w:val="2BA52826"/>
    <w:rsid w:val="2BBD24DE"/>
    <w:rsid w:val="2BC27F3E"/>
    <w:rsid w:val="2BCC4267"/>
    <w:rsid w:val="2C3C5BB3"/>
    <w:rsid w:val="2C4900D0"/>
    <w:rsid w:val="2C627C98"/>
    <w:rsid w:val="2CF76054"/>
    <w:rsid w:val="2D3A4BC3"/>
    <w:rsid w:val="2D6F37D0"/>
    <w:rsid w:val="2DDE505D"/>
    <w:rsid w:val="2DE042FA"/>
    <w:rsid w:val="2DFB2B80"/>
    <w:rsid w:val="2EBF1B6D"/>
    <w:rsid w:val="2F0C7B16"/>
    <w:rsid w:val="2F906803"/>
    <w:rsid w:val="30105051"/>
    <w:rsid w:val="30AD0B0B"/>
    <w:rsid w:val="30D94E27"/>
    <w:rsid w:val="31713BF6"/>
    <w:rsid w:val="31EF13AD"/>
    <w:rsid w:val="322E2C6A"/>
    <w:rsid w:val="32820E21"/>
    <w:rsid w:val="32F455C5"/>
    <w:rsid w:val="3364747B"/>
    <w:rsid w:val="33F65C71"/>
    <w:rsid w:val="340B5C84"/>
    <w:rsid w:val="34160775"/>
    <w:rsid w:val="3437693D"/>
    <w:rsid w:val="346E0C1D"/>
    <w:rsid w:val="34791A15"/>
    <w:rsid w:val="34A35960"/>
    <w:rsid w:val="34A57A56"/>
    <w:rsid w:val="35401F9A"/>
    <w:rsid w:val="355902E0"/>
    <w:rsid w:val="35F12B6A"/>
    <w:rsid w:val="35F868B7"/>
    <w:rsid w:val="35FF5902"/>
    <w:rsid w:val="360E55BB"/>
    <w:rsid w:val="36163147"/>
    <w:rsid w:val="36C73F0A"/>
    <w:rsid w:val="373222B4"/>
    <w:rsid w:val="381A6292"/>
    <w:rsid w:val="38A209F9"/>
    <w:rsid w:val="38D65DCF"/>
    <w:rsid w:val="38DC4574"/>
    <w:rsid w:val="38F0143A"/>
    <w:rsid w:val="390D4114"/>
    <w:rsid w:val="39AA15A9"/>
    <w:rsid w:val="39CC60DB"/>
    <w:rsid w:val="3ABD4121"/>
    <w:rsid w:val="3B093A44"/>
    <w:rsid w:val="3B134335"/>
    <w:rsid w:val="3B742AB0"/>
    <w:rsid w:val="3B772808"/>
    <w:rsid w:val="3C7C75E3"/>
    <w:rsid w:val="3CAC6C8F"/>
    <w:rsid w:val="3CDF1048"/>
    <w:rsid w:val="3CEE26B8"/>
    <w:rsid w:val="3D107535"/>
    <w:rsid w:val="3D182492"/>
    <w:rsid w:val="3D1F3CA9"/>
    <w:rsid w:val="3D5A3DC8"/>
    <w:rsid w:val="3D5E0B00"/>
    <w:rsid w:val="3D935145"/>
    <w:rsid w:val="3E29379B"/>
    <w:rsid w:val="3E6842C3"/>
    <w:rsid w:val="3E9418DD"/>
    <w:rsid w:val="3E9606B2"/>
    <w:rsid w:val="3ECE4075"/>
    <w:rsid w:val="3EF45BDE"/>
    <w:rsid w:val="3F583C95"/>
    <w:rsid w:val="3F896BDA"/>
    <w:rsid w:val="3FA011AF"/>
    <w:rsid w:val="3FEC081F"/>
    <w:rsid w:val="40081729"/>
    <w:rsid w:val="401F177C"/>
    <w:rsid w:val="40434746"/>
    <w:rsid w:val="407B78CA"/>
    <w:rsid w:val="40DE726B"/>
    <w:rsid w:val="40EC27D7"/>
    <w:rsid w:val="41974570"/>
    <w:rsid w:val="424305B2"/>
    <w:rsid w:val="42982A6F"/>
    <w:rsid w:val="4298644F"/>
    <w:rsid w:val="429D0102"/>
    <w:rsid w:val="42AE65B3"/>
    <w:rsid w:val="42DA5043"/>
    <w:rsid w:val="42E83A5B"/>
    <w:rsid w:val="433B4E12"/>
    <w:rsid w:val="43887FE0"/>
    <w:rsid w:val="44096C57"/>
    <w:rsid w:val="44524D55"/>
    <w:rsid w:val="446E05D4"/>
    <w:rsid w:val="447E677D"/>
    <w:rsid w:val="454F1840"/>
    <w:rsid w:val="4570367A"/>
    <w:rsid w:val="458D26BC"/>
    <w:rsid w:val="45A7122C"/>
    <w:rsid w:val="46193713"/>
    <w:rsid w:val="461F4711"/>
    <w:rsid w:val="463E4EC1"/>
    <w:rsid w:val="463E75C2"/>
    <w:rsid w:val="468515B9"/>
    <w:rsid w:val="46C96F40"/>
    <w:rsid w:val="4781191F"/>
    <w:rsid w:val="47825340"/>
    <w:rsid w:val="4789756D"/>
    <w:rsid w:val="479B4556"/>
    <w:rsid w:val="47AB19BB"/>
    <w:rsid w:val="47DA2A52"/>
    <w:rsid w:val="47E845A8"/>
    <w:rsid w:val="48293FC7"/>
    <w:rsid w:val="48D24F85"/>
    <w:rsid w:val="49305CE7"/>
    <w:rsid w:val="49725A83"/>
    <w:rsid w:val="499A544A"/>
    <w:rsid w:val="49C67F9A"/>
    <w:rsid w:val="4A13330D"/>
    <w:rsid w:val="4A133E60"/>
    <w:rsid w:val="4A995073"/>
    <w:rsid w:val="4AB4029C"/>
    <w:rsid w:val="4B3F5804"/>
    <w:rsid w:val="4B4E749F"/>
    <w:rsid w:val="4BA82530"/>
    <w:rsid w:val="4BBF33AD"/>
    <w:rsid w:val="4C1863C8"/>
    <w:rsid w:val="4C494F33"/>
    <w:rsid w:val="4D0E7C67"/>
    <w:rsid w:val="4DB22E42"/>
    <w:rsid w:val="4E04765A"/>
    <w:rsid w:val="4E260B52"/>
    <w:rsid w:val="4E3C4B9F"/>
    <w:rsid w:val="4ED679CA"/>
    <w:rsid w:val="4F142CD2"/>
    <w:rsid w:val="4F2446A2"/>
    <w:rsid w:val="4F391107"/>
    <w:rsid w:val="4F6734AD"/>
    <w:rsid w:val="4FBC2023"/>
    <w:rsid w:val="4FD81A3A"/>
    <w:rsid w:val="4FE347FA"/>
    <w:rsid w:val="4FFF360F"/>
    <w:rsid w:val="502E24AC"/>
    <w:rsid w:val="509C0DC4"/>
    <w:rsid w:val="50A87415"/>
    <w:rsid w:val="50C555A5"/>
    <w:rsid w:val="50CD151D"/>
    <w:rsid w:val="50DC78FC"/>
    <w:rsid w:val="51855CFC"/>
    <w:rsid w:val="51B374FB"/>
    <w:rsid w:val="51B64D1E"/>
    <w:rsid w:val="51DE36BE"/>
    <w:rsid w:val="5289354B"/>
    <w:rsid w:val="535E0BA7"/>
    <w:rsid w:val="535F4B55"/>
    <w:rsid w:val="536F40F5"/>
    <w:rsid w:val="53E113B9"/>
    <w:rsid w:val="53F01145"/>
    <w:rsid w:val="54244258"/>
    <w:rsid w:val="54363C94"/>
    <w:rsid w:val="54653303"/>
    <w:rsid w:val="548F0560"/>
    <w:rsid w:val="54B86B0F"/>
    <w:rsid w:val="54C115A7"/>
    <w:rsid w:val="55741C75"/>
    <w:rsid w:val="55A77000"/>
    <w:rsid w:val="55F35DBB"/>
    <w:rsid w:val="560B6B33"/>
    <w:rsid w:val="56EB21FB"/>
    <w:rsid w:val="57993E96"/>
    <w:rsid w:val="57BB4CEC"/>
    <w:rsid w:val="58B96B20"/>
    <w:rsid w:val="58D31E1F"/>
    <w:rsid w:val="58FA2368"/>
    <w:rsid w:val="59281352"/>
    <w:rsid w:val="592A0CFA"/>
    <w:rsid w:val="59B66225"/>
    <w:rsid w:val="5A8D692F"/>
    <w:rsid w:val="5AA514DE"/>
    <w:rsid w:val="5B291D9C"/>
    <w:rsid w:val="5B4D4C0B"/>
    <w:rsid w:val="5B6A1F1A"/>
    <w:rsid w:val="5B884084"/>
    <w:rsid w:val="5C751DBE"/>
    <w:rsid w:val="5CCA2340"/>
    <w:rsid w:val="5D1B023A"/>
    <w:rsid w:val="5D2C1C84"/>
    <w:rsid w:val="5D3101D2"/>
    <w:rsid w:val="5DA919AB"/>
    <w:rsid w:val="5DB118E9"/>
    <w:rsid w:val="5DBD5EFD"/>
    <w:rsid w:val="5DD6174B"/>
    <w:rsid w:val="5E18068B"/>
    <w:rsid w:val="5E821890"/>
    <w:rsid w:val="5ECC5796"/>
    <w:rsid w:val="5F076912"/>
    <w:rsid w:val="5F684E7C"/>
    <w:rsid w:val="60476A0E"/>
    <w:rsid w:val="605466A0"/>
    <w:rsid w:val="60556AAD"/>
    <w:rsid w:val="60A11FAE"/>
    <w:rsid w:val="61DC2B1A"/>
    <w:rsid w:val="62183AC1"/>
    <w:rsid w:val="62CA7E20"/>
    <w:rsid w:val="635048C6"/>
    <w:rsid w:val="637970C3"/>
    <w:rsid w:val="6399240A"/>
    <w:rsid w:val="63B74CE3"/>
    <w:rsid w:val="63B90A77"/>
    <w:rsid w:val="64092310"/>
    <w:rsid w:val="642D4971"/>
    <w:rsid w:val="64562351"/>
    <w:rsid w:val="647F559D"/>
    <w:rsid w:val="656C74F3"/>
    <w:rsid w:val="65A051CD"/>
    <w:rsid w:val="65D476A5"/>
    <w:rsid w:val="65D87EA7"/>
    <w:rsid w:val="65FB4000"/>
    <w:rsid w:val="65FC53A9"/>
    <w:rsid w:val="66035F06"/>
    <w:rsid w:val="66661AB5"/>
    <w:rsid w:val="66DA3D17"/>
    <w:rsid w:val="67A44733"/>
    <w:rsid w:val="67DA535D"/>
    <w:rsid w:val="67F9748A"/>
    <w:rsid w:val="682150CB"/>
    <w:rsid w:val="683F08C3"/>
    <w:rsid w:val="68A125DD"/>
    <w:rsid w:val="68CF22B3"/>
    <w:rsid w:val="69456E2B"/>
    <w:rsid w:val="694C42CE"/>
    <w:rsid w:val="69940C52"/>
    <w:rsid w:val="69D2758C"/>
    <w:rsid w:val="6A422F85"/>
    <w:rsid w:val="6A687275"/>
    <w:rsid w:val="6A721A02"/>
    <w:rsid w:val="6AAC1D8E"/>
    <w:rsid w:val="6B4E646B"/>
    <w:rsid w:val="6B77107A"/>
    <w:rsid w:val="6BA14120"/>
    <w:rsid w:val="6C776A96"/>
    <w:rsid w:val="6D8A71E4"/>
    <w:rsid w:val="6DA210B8"/>
    <w:rsid w:val="6E4808C0"/>
    <w:rsid w:val="6EC417C9"/>
    <w:rsid w:val="6F173EB2"/>
    <w:rsid w:val="6F62590A"/>
    <w:rsid w:val="6F997223"/>
    <w:rsid w:val="6FF102A9"/>
    <w:rsid w:val="70AD6730"/>
    <w:rsid w:val="70AF0DC5"/>
    <w:rsid w:val="70DB179F"/>
    <w:rsid w:val="70E33D42"/>
    <w:rsid w:val="71436346"/>
    <w:rsid w:val="71681A1D"/>
    <w:rsid w:val="7185070D"/>
    <w:rsid w:val="719F5598"/>
    <w:rsid w:val="71F441B6"/>
    <w:rsid w:val="72143DD6"/>
    <w:rsid w:val="73424373"/>
    <w:rsid w:val="739902BF"/>
    <w:rsid w:val="74182329"/>
    <w:rsid w:val="741C7D0C"/>
    <w:rsid w:val="745A55F3"/>
    <w:rsid w:val="7474619D"/>
    <w:rsid w:val="74B1140E"/>
    <w:rsid w:val="750F26A5"/>
    <w:rsid w:val="756C0933"/>
    <w:rsid w:val="75B17515"/>
    <w:rsid w:val="760D6E77"/>
    <w:rsid w:val="76BE139E"/>
    <w:rsid w:val="76C00348"/>
    <w:rsid w:val="76ED5DA5"/>
    <w:rsid w:val="770924FE"/>
    <w:rsid w:val="772001B6"/>
    <w:rsid w:val="772227B3"/>
    <w:rsid w:val="773E2CEC"/>
    <w:rsid w:val="77DA57B7"/>
    <w:rsid w:val="781A429B"/>
    <w:rsid w:val="781D3088"/>
    <w:rsid w:val="78454B1B"/>
    <w:rsid w:val="78574B7E"/>
    <w:rsid w:val="786F7FE8"/>
    <w:rsid w:val="78734ECD"/>
    <w:rsid w:val="78755EE0"/>
    <w:rsid w:val="78784A88"/>
    <w:rsid w:val="78A0590D"/>
    <w:rsid w:val="78CC6C21"/>
    <w:rsid w:val="791F6106"/>
    <w:rsid w:val="79540685"/>
    <w:rsid w:val="795F088A"/>
    <w:rsid w:val="79B078A8"/>
    <w:rsid w:val="79CD0FF0"/>
    <w:rsid w:val="79F41474"/>
    <w:rsid w:val="7A482943"/>
    <w:rsid w:val="7A5D7F7A"/>
    <w:rsid w:val="7AC21775"/>
    <w:rsid w:val="7B19100F"/>
    <w:rsid w:val="7B1F00C5"/>
    <w:rsid w:val="7B57268A"/>
    <w:rsid w:val="7BC24980"/>
    <w:rsid w:val="7BC851A2"/>
    <w:rsid w:val="7BEB7099"/>
    <w:rsid w:val="7C0861C2"/>
    <w:rsid w:val="7C093D32"/>
    <w:rsid w:val="7C4431AD"/>
    <w:rsid w:val="7C7D684C"/>
    <w:rsid w:val="7D0263E2"/>
    <w:rsid w:val="7D2C0851"/>
    <w:rsid w:val="7D435A31"/>
    <w:rsid w:val="7D5B6EBA"/>
    <w:rsid w:val="7D6749D4"/>
    <w:rsid w:val="7D705BAC"/>
    <w:rsid w:val="7D976E56"/>
    <w:rsid w:val="7DDB1269"/>
    <w:rsid w:val="7E18172E"/>
    <w:rsid w:val="7E525DBF"/>
    <w:rsid w:val="7EF77212"/>
    <w:rsid w:val="7F2A2ACE"/>
    <w:rsid w:val="7F566635"/>
    <w:rsid w:val="7F7821AA"/>
    <w:rsid w:val="7FE6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3"/>
    <w:qFormat/>
    <w:uiPriority w:val="0"/>
    <w:pPr>
      <w:keepNext/>
      <w:keepLines/>
      <w:tabs>
        <w:tab w:val="left" w:pos="992"/>
      </w:tabs>
      <w:adjustRightInd w:val="0"/>
      <w:spacing w:before="280" w:after="290" w:line="376" w:lineRule="atLeast"/>
      <w:ind w:left="992" w:hanging="992"/>
      <w:jc w:val="left"/>
      <w:textAlignment w:val="baseline"/>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1"/>
    <w:basedOn w:val="12"/>
    <w:qFormat/>
    <w:uiPriority w:val="0"/>
    <w:pPr>
      <w:tabs>
        <w:tab w:val="left" w:pos="2160"/>
      </w:tabs>
      <w:adjustRightInd w:val="0"/>
      <w:spacing w:line="490" w:lineRule="exact"/>
      <w:jc w:val="center"/>
      <w:textAlignment w:val="baseline"/>
    </w:pPr>
    <w:rPr>
      <w:rFonts w:ascii="仿宋_GB2312" w:eastAsia="仿宋_GB2312"/>
      <w:kern w:val="0"/>
      <w:sz w:val="34"/>
    </w:rPr>
  </w:style>
  <w:style w:type="paragraph" w:customStyle="1" w:styleId="12">
    <w:name w:val="样式1"/>
    <w:basedOn w:val="1"/>
    <w:qFormat/>
    <w:uiPriority w:val="99"/>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4581</Words>
  <Characters>4711</Characters>
  <Lines>19</Lines>
  <Paragraphs>5</Paragraphs>
  <TotalTime>166</TotalTime>
  <ScaleCrop>false</ScaleCrop>
  <LinksUpToDate>false</LinksUpToDate>
  <CharactersWithSpaces>4719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2021-06-07T01:34:00Z</dcterms:created>
  <dc:creator>123</dc:creator>
  <cp:lastModifiedBy>布拉格</cp:lastModifiedBy>
  <cp:lastPrinted>2025-10-09T01:27:00Z</cp:lastPrinted>
  <dcterms:modified xsi:type="dcterms:W3CDTF">2026-01-22T06:09:30Z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BE0E89C4513B4F8BBB42F036B1B31B64</vt:lpwstr>
  </property>
  <property fmtid="{D5CDD505-2E9C-101B-9397-08002B2CF9AE}" pid="4" name="KSOTemplateDocerSaveRecord">
    <vt:lpwstr>eyJoZGlkIjoiM2ExNjY5MWQ0OWUzYjcxZjUxYWY0YjAzMjk0YjQ0NDAiLCJ1c2VySWQiOiI2Mjg3MjA1MDUifQ==</vt:lpwstr>
  </property>
</Properties>
</file>