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Style w:val="11"/>
          <w:rFonts w:hint="eastAsia" w:ascii="仿宋" w:hAnsi="仿宋" w:eastAsia="仿宋" w:cs="仿宋"/>
          <w:b/>
          <w:bCs w:val="0"/>
          <w:i w:val="0"/>
          <w:iCs w:val="0"/>
          <w:caps w:val="0"/>
          <w:color w:val="000000"/>
          <w:spacing w:val="0"/>
          <w:sz w:val="36"/>
          <w:szCs w:val="36"/>
        </w:rPr>
      </w:pPr>
      <w:bookmarkStart w:id="210" w:name="_GoBack"/>
      <w:bookmarkEnd w:id="210"/>
      <w:r>
        <w:rPr>
          <w:rStyle w:val="11"/>
          <w:rFonts w:hint="eastAsia" w:ascii="方正粗黑宋简体" w:hAnsi="方正粗黑宋简体" w:eastAsia="方正粗黑宋简体" w:cs="方正粗黑宋简体"/>
          <w:b/>
          <w:bCs w:val="0"/>
          <w:i w:val="0"/>
          <w:iCs w:val="0"/>
          <w:caps w:val="0"/>
          <w:color w:val="000000"/>
          <w:spacing w:val="0"/>
          <w:sz w:val="36"/>
          <w:szCs w:val="36"/>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90" w:lineRule="exac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2026年二月份焦粒采购项目</w:t>
      </w:r>
      <w:r>
        <w:rPr>
          <w:rStyle w:val="11"/>
          <w:rFonts w:hint="eastAsia" w:ascii="方正粗黑宋简体" w:hAnsi="方正粗黑宋简体" w:eastAsia="方正粗黑宋简体" w:cs="方正粗黑宋简体"/>
          <w:i w:val="0"/>
          <w:iCs w:val="0"/>
          <w:caps w:val="0"/>
          <w:color w:val="000000"/>
          <w:spacing w:val="0"/>
          <w:sz w:val="36"/>
          <w:szCs w:val="36"/>
        </w:rPr>
        <w:t>询比采购</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邀请函</w:t>
      </w:r>
    </w:p>
    <w:p w14:paraId="1EC36912">
      <w:pPr>
        <w:keepNext w:val="0"/>
        <w:keepLines w:val="0"/>
        <w:pageBreakBefore w:val="0"/>
        <w:kinsoku/>
        <w:wordWrap/>
        <w:overflowPunct/>
        <w:topLinePunct w:val="0"/>
        <w:autoSpaceDE/>
        <w:autoSpaceDN/>
        <w:bidi w:val="0"/>
        <w:adjustRightInd/>
        <w:snapToGrid/>
        <w:spacing w:line="49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采购焦粒300吨干量</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7037"/>
      <w:bookmarkStart w:id="6" w:name="_Toc14565"/>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焦粒采购项目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300吨干量送完为止，在此期间，如遇采购人检修、减产、生产工艺调整等，采购人根据实际情况适时调整采购量。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（五）数量：300吨干量。</w:t>
      </w:r>
    </w:p>
    <w:p w14:paraId="7C92147E">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5E80425E">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textAlignment w:val="baseline"/>
        <w:rPr>
          <w:rFonts w:hint="eastAsia" w:ascii="仿宋" w:hAnsi="仿宋" w:eastAsia="仿宋" w:cs="仿宋"/>
          <w:b w:val="0"/>
          <w:bCs/>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r>
        <w:rPr>
          <w:rFonts w:hint="eastAsia" w:ascii="仿宋" w:hAnsi="仿宋" w:eastAsia="仿宋" w:cs="仿宋"/>
          <w:b w:val="0"/>
          <w:bCs/>
          <w:sz w:val="28"/>
          <w:szCs w:val="28"/>
        </w:rPr>
        <w:t xml:space="preserve"> </w:t>
      </w:r>
    </w:p>
    <w:p w14:paraId="0B4DFD63">
      <w:pPr>
        <w:keepNext w:val="0"/>
        <w:keepLines w:val="0"/>
        <w:pageBreakBefore w:val="0"/>
        <w:widowControl w:val="0"/>
        <w:kinsoku/>
        <w:wordWrap/>
        <w:overflowPunct/>
        <w:topLinePunct w:val="0"/>
        <w:autoSpaceDE/>
        <w:autoSpaceDN/>
        <w:bidi w:val="0"/>
        <w:adjustRightInd w:val="0"/>
        <w:snapToGrid/>
        <w:spacing w:line="48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29895"/>
      <w:bookmarkStart w:id="10" w:name="_Toc33795778"/>
      <w:bookmarkStart w:id="11" w:name="_Toc14196"/>
    </w:p>
    <w:p w14:paraId="44BCDE0E">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2C928921">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11300E98">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p>
    <w:p w14:paraId="26D09483">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34C5656F">
      <w:pPr>
        <w:kinsoku/>
        <w:wordWrap/>
        <w:overflowPunct/>
        <w:topLinePunct w:val="0"/>
        <w:autoSpaceDE/>
        <w:autoSpaceDN/>
        <w:bidi w:val="0"/>
        <w:snapToGrid/>
        <w:spacing w:line="520" w:lineRule="exact"/>
        <w:ind w:left="0" w:firstLine="560" w:firstLineChars="200"/>
        <w:jc w:val="both"/>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lang w:val="en-US" w:eastAsia="zh-CN"/>
        </w:rPr>
        <w:t>批量、干量一票制送到价结算；当</w:t>
      </w:r>
      <w:r>
        <w:rPr>
          <w:rFonts w:hint="eastAsia" w:ascii="仿宋" w:hAnsi="仿宋" w:eastAsia="仿宋" w:cs="仿宋"/>
          <w:b w:val="0"/>
          <w:bCs w:val="0"/>
          <w:sz w:val="28"/>
          <w:szCs w:val="28"/>
        </w:rPr>
        <w:t>C≥80.0%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时按</w:t>
      </w:r>
      <w:r>
        <w:rPr>
          <w:rFonts w:hint="eastAsia" w:ascii="仿宋" w:hAnsi="仿宋" w:eastAsia="仿宋" w:cs="仿宋"/>
          <w:b w:val="0"/>
          <w:bCs w:val="0"/>
          <w:sz w:val="28"/>
          <w:szCs w:val="28"/>
          <w:lang w:val="en-US" w:eastAsia="zh-CN"/>
        </w:rPr>
        <w:t>报价</w:t>
      </w:r>
      <w:r>
        <w:rPr>
          <w:rFonts w:hint="eastAsia" w:ascii="仿宋" w:hAnsi="仿宋" w:eastAsia="仿宋" w:cs="仿宋"/>
          <w:b w:val="0"/>
          <w:bCs w:val="0"/>
          <w:sz w:val="28"/>
          <w:szCs w:val="28"/>
        </w:rPr>
        <w:t>结算；C&lt;80%</w:t>
      </w:r>
      <w:r>
        <w:rPr>
          <w:rFonts w:hint="eastAsia" w:ascii="仿宋" w:hAnsi="仿宋" w:eastAsia="仿宋" w:cs="仿宋"/>
          <w:b w:val="0"/>
          <w:bCs w:val="0"/>
          <w:sz w:val="28"/>
          <w:szCs w:val="28"/>
          <w:lang w:val="en-US" w:eastAsia="zh-CN"/>
        </w:rPr>
        <w:t>时，</w:t>
      </w:r>
      <w:r>
        <w:rPr>
          <w:rFonts w:hint="eastAsia" w:ascii="仿宋" w:hAnsi="仿宋" w:eastAsia="仿宋" w:cs="仿宋"/>
          <w:b w:val="0"/>
          <w:bCs w:val="0"/>
          <w:sz w:val="28"/>
          <w:szCs w:val="28"/>
        </w:rPr>
        <w:t>每降低一个百分点，单价扣除20元/吨</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C%&lt;</w:t>
      </w:r>
      <w:r>
        <w:rPr>
          <w:rFonts w:hint="eastAsia" w:ascii="仿宋" w:hAnsi="仿宋" w:eastAsia="仿宋" w:cs="仿宋"/>
          <w:b w:val="0"/>
          <w:bCs w:val="0"/>
          <w:sz w:val="28"/>
          <w:szCs w:val="28"/>
          <w:lang w:val="en-US" w:eastAsia="zh-CN"/>
        </w:rPr>
        <w:t>78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时，拒收；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S＞1.0%时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每上升一个百分点扣10元/吨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S＞</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rPr>
        <w:t>；</w:t>
      </w:r>
      <w:r>
        <w:rPr>
          <w:rFonts w:hint="eastAsia" w:ascii="仿宋" w:hAnsi="仿宋" w:eastAsia="仿宋" w:cs="仿宋"/>
          <w:b w:val="0"/>
          <w:bCs w:val="0"/>
          <w:color w:val="auto"/>
          <w:sz w:val="28"/>
          <w:szCs w:val="28"/>
          <w:lang w:eastAsia="zh-CN"/>
        </w:rPr>
        <w:t>灰分每上升一个百分点扣10元/吨，</w:t>
      </w:r>
      <w:r>
        <w:rPr>
          <w:rFonts w:hint="eastAsia" w:ascii="仿宋" w:hAnsi="仿宋" w:eastAsia="仿宋" w:cs="仿宋"/>
          <w:b w:val="0"/>
          <w:bCs w:val="0"/>
          <w:color w:val="auto"/>
          <w:sz w:val="28"/>
          <w:szCs w:val="28"/>
          <w:lang w:val="en-US" w:eastAsia="zh-CN"/>
        </w:rPr>
        <w:t>灰分</w:t>
      </w: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sz w:val="28"/>
          <w:szCs w:val="28"/>
        </w:rPr>
        <w:t>挥发份每上升0.1个百分点扣10元/吨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挥发份＞</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b w:val="0"/>
          <w:bCs w:val="0"/>
          <w:sz w:val="28"/>
          <w:szCs w:val="28"/>
          <w:lang w:eastAsia="zh-CN"/>
        </w:rPr>
        <w:t>；当</w:t>
      </w:r>
      <w:r>
        <w:rPr>
          <w:rFonts w:hint="eastAsia" w:ascii="仿宋" w:hAnsi="仿宋" w:eastAsia="仿宋" w:cs="仿宋"/>
          <w:b w:val="0"/>
          <w:bCs w:val="0"/>
          <w:sz w:val="28"/>
          <w:szCs w:val="28"/>
        </w:rPr>
        <w:t>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拒收。</w:t>
      </w: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84308223"/>
      <w:bookmarkStart w:id="13" w:name="_Toc152045542"/>
      <w:bookmarkStart w:id="14" w:name="_Toc352691486"/>
      <w:bookmarkStart w:id="15" w:name="_Toc247527567"/>
      <w:bookmarkStart w:id="16" w:name="_Toc25772"/>
      <w:bookmarkStart w:id="17" w:name="_Toc361508598"/>
      <w:bookmarkStart w:id="18" w:name="_Toc144974510"/>
      <w:bookmarkStart w:id="19" w:name="_Toc369531529"/>
      <w:bookmarkStart w:id="20" w:name="_Toc300834963"/>
      <w:bookmarkStart w:id="21" w:name="_Toc152042318"/>
      <w:bookmarkStart w:id="22" w:name="_Toc247513966"/>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247527568"/>
      <w:bookmarkStart w:id="25" w:name="_Toc152042319"/>
      <w:bookmarkStart w:id="26" w:name="_Toc15242"/>
      <w:bookmarkStart w:id="27" w:name="_Toc361508599"/>
      <w:bookmarkStart w:id="28" w:name="_Toc384308224"/>
      <w:bookmarkStart w:id="29" w:name="_Toc369531530"/>
      <w:bookmarkStart w:id="30" w:name="_Toc144974511"/>
      <w:bookmarkStart w:id="31" w:name="_Toc300834964"/>
      <w:bookmarkStart w:id="32" w:name="_Toc352691487"/>
      <w:bookmarkStart w:id="33" w:name="_Toc152045543"/>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84308227"/>
      <w:bookmarkStart w:id="35" w:name="_Toc29025"/>
      <w:bookmarkStart w:id="36" w:name="_Toc361508602"/>
      <w:bookmarkStart w:id="37" w:name="_Toc352691490"/>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152045546"/>
      <w:bookmarkStart w:id="40" w:name="_Toc352691491"/>
      <w:bookmarkStart w:id="41" w:name="_Toc384308228"/>
      <w:bookmarkStart w:id="42" w:name="_Toc152042322"/>
      <w:bookmarkStart w:id="43" w:name="_Toc369531534"/>
      <w:bookmarkStart w:id="44" w:name="_Toc247527571"/>
      <w:bookmarkStart w:id="45" w:name="_Toc361508603"/>
      <w:bookmarkStart w:id="46" w:name="_Toc247513970"/>
      <w:bookmarkStart w:id="47" w:name="_Toc300834967"/>
      <w:bookmarkStart w:id="48" w:name="_Toc144974514"/>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17952"/>
      <w:bookmarkStart w:id="52" w:name="_Toc144974515"/>
      <w:bookmarkStart w:id="53" w:name="_Toc384308229"/>
      <w:bookmarkStart w:id="54" w:name="_Toc369531535"/>
      <w:bookmarkStart w:id="55" w:name="_Toc152042323"/>
      <w:bookmarkStart w:id="56" w:name="_Toc300834968"/>
      <w:bookmarkStart w:id="57" w:name="_Toc152045547"/>
      <w:bookmarkStart w:id="58" w:name="_Toc352691492"/>
      <w:bookmarkStart w:id="59" w:name="_Toc247513971"/>
      <w:bookmarkStart w:id="60" w:name="_Toc247527572"/>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3"/>
        <w:pageBreakBefore w:val="0"/>
        <w:kinsoku/>
        <w:wordWrap/>
        <w:overflowPunct/>
        <w:topLinePunct w:val="0"/>
        <w:autoSpaceDE/>
        <w:autoSpaceDN/>
        <w:bidi w:val="0"/>
        <w:snapToGrid/>
        <w:spacing w:before="0" w:after="0" w:line="480" w:lineRule="exact"/>
        <w:ind w:left="0" w:firstLine="280" w:firstLineChars="100"/>
        <w:jc w:val="both"/>
        <w:rPr>
          <w:rFonts w:hint="eastAsia" w:ascii="仿宋" w:hAnsi="仿宋" w:eastAsia="仿宋" w:cs="仿宋"/>
          <w:color w:val="auto"/>
          <w:sz w:val="28"/>
          <w:szCs w:val="28"/>
        </w:rPr>
      </w:pPr>
      <w:bookmarkStart w:id="61" w:name="_Toc21871"/>
      <w:bookmarkStart w:id="62" w:name="_Toc24514"/>
      <w:bookmarkStart w:id="63" w:name="_Toc28216"/>
      <w:bookmarkStart w:id="64"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48926144">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（五）响应文件的提交</w:t>
      </w:r>
    </w:p>
    <w:p w14:paraId="06443965">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1. 响应文件提交截止时间：2026年2月09日13时（北京时间）；</w:t>
      </w:r>
    </w:p>
    <w:p w14:paraId="16848ABC">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2.线上提交方法：陕西锌业有限公司网络询比采购平台（www.sxxyjjpt.com）</w:t>
      </w:r>
    </w:p>
    <w:p w14:paraId="367819D8">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3、线下提交方法：将响应文件一式两份一正一副密封后直接送达或邮寄至陕西锌业有限公司一楼招投标办公室。</w:t>
      </w:r>
    </w:p>
    <w:p w14:paraId="613E9446">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联系人：张小兵    电话： 0914-2552485</w:t>
      </w:r>
    </w:p>
    <w:p w14:paraId="3F24E10A">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收标联系人：白浩楠     电话：18329587208</w:t>
      </w:r>
    </w:p>
    <w:p w14:paraId="3D2BDD28">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四、响应文件开启时间及地点</w:t>
      </w:r>
    </w:p>
    <w:p w14:paraId="2A776A86">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（一）响应文件的开启时间：2026年2月09日13时；</w:t>
      </w:r>
    </w:p>
    <w:p w14:paraId="4BB52F03">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Style w:val="11"/>
          <w:rFonts w:hint="eastAsia" w:ascii="仿宋" w:hAnsi="仿宋" w:eastAsia="仿宋" w:cs="仿宋"/>
          <w:b w:val="0"/>
          <w:bCs/>
          <w:i w:val="0"/>
          <w:iCs w:val="0"/>
          <w:caps w:val="0"/>
          <w:color w:val="000000"/>
          <w:spacing w:val="0"/>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80" w:lineRule="exact"/>
        <w:ind w:firstLine="560" w:firstLineChars="200"/>
        <w:jc w:val="both"/>
        <w:textAlignment w:val="auto"/>
        <w:rPr>
          <w:rFonts w:hint="eastAsia" w:ascii="仿宋" w:hAnsi="仿宋" w:eastAsia="仿宋" w:cs="仿宋"/>
          <w:b w:val="0"/>
          <w:bCs/>
          <w:color w:val="auto"/>
          <w:sz w:val="28"/>
          <w:szCs w:val="28"/>
          <w:lang w:val="en-US" w:eastAsia="zh-CN"/>
        </w:rPr>
      </w:pPr>
      <w:r>
        <w:rPr>
          <w:rStyle w:val="11"/>
          <w:rFonts w:hint="eastAsia" w:ascii="仿宋" w:hAnsi="仿宋" w:eastAsia="仿宋" w:cs="仿宋"/>
          <w:b w:val="0"/>
          <w:bCs/>
          <w:i w:val="0"/>
          <w:iCs w:val="0"/>
          <w:caps w:val="0"/>
          <w:color w:val="000000"/>
          <w:spacing w:val="0"/>
          <w:sz w:val="28"/>
          <w:szCs w:val="28"/>
          <w:lang w:val="en-US" w:eastAsia="zh-CN"/>
        </w:rPr>
        <w:t>五</w:t>
      </w:r>
      <w:r>
        <w:rPr>
          <w:rStyle w:val="11"/>
          <w:rFonts w:hint="eastAsia" w:ascii="仿宋" w:hAnsi="仿宋" w:eastAsia="仿宋" w:cs="仿宋"/>
          <w:b w:val="0"/>
          <w:bCs/>
          <w:i w:val="0"/>
          <w:iCs w:val="0"/>
          <w:caps w:val="0"/>
          <w:color w:val="000000"/>
          <w:spacing w:val="0"/>
          <w:sz w:val="28"/>
          <w:szCs w:val="28"/>
        </w:rPr>
        <w:t>、</w:t>
      </w:r>
      <w:r>
        <w:rPr>
          <w:rStyle w:val="11"/>
          <w:rFonts w:hint="eastAsia" w:ascii="仿宋" w:hAnsi="仿宋" w:eastAsia="仿宋" w:cs="仿宋"/>
          <w:b w:val="0"/>
          <w:bCs/>
          <w:i w:val="0"/>
          <w:iCs w:val="0"/>
          <w:caps w:val="0"/>
          <w:color w:val="000000"/>
          <w:spacing w:val="0"/>
          <w:sz w:val="28"/>
          <w:szCs w:val="28"/>
          <w:lang w:val="en-US" w:eastAsia="zh-CN"/>
        </w:rPr>
        <w:t>响应文件的</w:t>
      </w:r>
      <w:r>
        <w:rPr>
          <w:rFonts w:hint="eastAsia" w:ascii="仿宋" w:hAnsi="仿宋" w:eastAsia="仿宋" w:cs="仿宋"/>
          <w:b w:val="0"/>
          <w:bCs/>
          <w:color w:val="auto"/>
          <w:sz w:val="28"/>
          <w:szCs w:val="28"/>
        </w:rPr>
        <w:t>评</w:t>
      </w:r>
      <w:r>
        <w:rPr>
          <w:rFonts w:hint="eastAsia" w:ascii="仿宋" w:hAnsi="仿宋" w:eastAsia="仿宋" w:cs="仿宋"/>
          <w:b w:val="0"/>
          <w:bCs/>
          <w:color w:val="auto"/>
          <w:sz w:val="28"/>
          <w:szCs w:val="28"/>
          <w:lang w:val="en-US" w:eastAsia="zh-CN"/>
        </w:rPr>
        <w:t>审</w:t>
      </w:r>
    </w:p>
    <w:p w14:paraId="160DA3BB">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3B5E127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val="en-US"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0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C6ECA9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54FBF42">
      <w:pPr>
        <w:pageBreakBefore w:val="0"/>
        <w:kinsoku/>
        <w:wordWrap/>
        <w:overflowPunct/>
        <w:topLinePunct w:val="0"/>
        <w:autoSpaceDE/>
        <w:autoSpaceDN/>
        <w:bidi w:val="0"/>
        <w:adjustRightInd/>
        <w:snapToGrid/>
        <w:spacing w:line="48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r>
        <w:rPr>
          <w:rFonts w:hint="eastAsia" w:ascii="仿宋" w:hAnsi="仿宋" w:eastAsia="仿宋" w:cs="仿宋"/>
          <w:b w:val="0"/>
          <w:bCs w:val="0"/>
          <w:color w:val="auto"/>
          <w:sz w:val="28"/>
          <w:szCs w:val="28"/>
          <w:highlight w:val="none"/>
          <w:shd w:val="clear" w:color="auto" w:fill="FFFFFF"/>
          <w:lang w:eastAsia="zh-CN"/>
        </w:rPr>
        <w:t>。</w:t>
      </w:r>
    </w:p>
    <w:p w14:paraId="64F3630A">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384308277"/>
      <w:bookmarkStart w:id="66" w:name="_Toc369531582"/>
      <w:bookmarkStart w:id="67" w:name="_Toc2907"/>
      <w:bookmarkStart w:id="68" w:name="_Toc152042380"/>
      <w:bookmarkStart w:id="69" w:name="_Toc144974570"/>
      <w:bookmarkStart w:id="70" w:name="_Toc247527628"/>
      <w:bookmarkStart w:id="71" w:name="_Toc361508651"/>
      <w:bookmarkStart w:id="72" w:name="_Toc247514027"/>
      <w:bookmarkStart w:id="73" w:name="_Toc352691538"/>
      <w:bookmarkStart w:id="74" w:name="_Toc152045603"/>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13563"/>
      <w:bookmarkStart w:id="78" w:name="_Toc16955"/>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795836"/>
      <w:bookmarkStart w:id="82" w:name="_Toc336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09111A8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33795807"/>
      <w:bookmarkStart w:id="85" w:name="_Toc9481"/>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16094"/>
      <w:bookmarkStart w:id="89" w:name="_Toc21093"/>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9079"/>
      <w:bookmarkStart w:id="93" w:name="_Toc10372"/>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247513985"/>
      <w:bookmarkStart w:id="96" w:name="_Toc152042337"/>
      <w:bookmarkStart w:id="97" w:name="_Toc247527586"/>
      <w:bookmarkStart w:id="98" w:name="_Toc152045561"/>
      <w:bookmarkStart w:id="99" w:name="_Toc144974529"/>
      <w:bookmarkStart w:id="100" w:name="_Toc369531549"/>
      <w:bookmarkStart w:id="101" w:name="_Toc300834982"/>
      <w:bookmarkStart w:id="102" w:name="_Toc384308243"/>
      <w:bookmarkStart w:id="103" w:name="_Toc361508618"/>
      <w:bookmarkStart w:id="104" w:name="_Toc30095"/>
      <w:bookmarkStart w:id="105" w:name="_Toc352691505"/>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1648"/>
      <w:bookmarkStart w:id="108" w:name="_Toc25590"/>
      <w:bookmarkStart w:id="109" w:name="_Toc2875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33795812"/>
      <w:bookmarkStart w:id="116" w:name="_Toc6928"/>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5668"/>
      <w:bookmarkStart w:id="119" w:name="_Toc300834983"/>
      <w:bookmarkStart w:id="120" w:name="_Toc369531550"/>
      <w:bookmarkStart w:id="121" w:name="_Toc361508619"/>
      <w:bookmarkStart w:id="122" w:name="_Toc384308244"/>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30705"/>
      <w:bookmarkStart w:id="125" w:name="_Toc4342"/>
      <w:bookmarkStart w:id="126" w:name="_Toc33795813"/>
      <w:bookmarkStart w:id="127"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11183"/>
      <w:bookmarkStart w:id="129" w:name="_Toc3671"/>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52042340"/>
      <w:bookmarkStart w:id="133" w:name="_Toc247513988"/>
      <w:bookmarkStart w:id="134" w:name="_Toc152045564"/>
      <w:bookmarkStart w:id="135" w:name="_Toc369531553"/>
      <w:bookmarkStart w:id="136" w:name="_Toc247527589"/>
      <w:bookmarkStart w:id="137" w:name="_Toc4656"/>
      <w:bookmarkStart w:id="138" w:name="_Toc361508622"/>
      <w:bookmarkStart w:id="139" w:name="_Toc144974532"/>
      <w:bookmarkStart w:id="140" w:name="_Toc384308247"/>
      <w:bookmarkStart w:id="141" w:name="_Toc300834986"/>
      <w:bookmarkStart w:id="142" w:name="_Toc35269150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84308248"/>
      <w:bookmarkStart w:id="144" w:name="_Toc144974533"/>
      <w:bookmarkStart w:id="145" w:name="_Toc247513989"/>
      <w:bookmarkStart w:id="146" w:name="_Toc352691510"/>
      <w:bookmarkStart w:id="147" w:name="_Toc361508623"/>
      <w:bookmarkStart w:id="148" w:name="_Toc152045565"/>
      <w:bookmarkStart w:id="149" w:name="_Toc300834987"/>
      <w:bookmarkStart w:id="150" w:name="_Toc247527590"/>
      <w:bookmarkStart w:id="151" w:name="_Toc369531554"/>
      <w:bookmarkStart w:id="152" w:name="_Toc152042341"/>
      <w:bookmarkStart w:id="153" w:name="_Toc18247"/>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300834991"/>
      <w:bookmarkStart w:id="158" w:name="_Toc247513992"/>
      <w:bookmarkStart w:id="159" w:name="_Toc144974536"/>
      <w:bookmarkStart w:id="160" w:name="_Toc152042344"/>
      <w:bookmarkStart w:id="161" w:name="_Toc247527593"/>
      <w:bookmarkStart w:id="162" w:name="_Toc152045568"/>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33795815"/>
      <w:bookmarkStart w:id="164" w:name="_Toc25347"/>
      <w:bookmarkStart w:id="165" w:name="_Toc14752"/>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52691515"/>
      <w:bookmarkStart w:id="167" w:name="_Toc369531559"/>
      <w:bookmarkStart w:id="168" w:name="_Toc361508628"/>
      <w:bookmarkStart w:id="169" w:name="_Toc384308253"/>
      <w:bookmarkStart w:id="170" w:name="_Toc13644"/>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33795820"/>
      <w:bookmarkStart w:id="172" w:name="_Toc18070"/>
      <w:bookmarkStart w:id="173" w:name="_Toc24957"/>
      <w:bookmarkStart w:id="174" w:name="_Toc22294"/>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p>
    <w:p w14:paraId="156AD1D0">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2ACEAA7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2026年2月06日</w:t>
      </w:r>
    </w:p>
    <w:p w14:paraId="09DD35AC">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13F3D523">
      <w:pPr>
        <w:keepNext w:val="0"/>
        <w:keepLines w:val="0"/>
        <w:pageBreakBefore w:val="0"/>
        <w:widowControl w:val="0"/>
        <w:suppressLineNumbers w:val="0"/>
        <w:kinsoku/>
        <w:wordWrap/>
        <w:overflowPunct/>
        <w:topLinePunct w:val="0"/>
        <w:autoSpaceDE/>
        <w:autoSpaceDN/>
        <w:bidi w:val="0"/>
        <w:adjustRightInd/>
        <w:snapToGrid/>
        <w:spacing w:line="490" w:lineRule="exact"/>
        <w:ind w:left="0" w:firstLine="640" w:firstLineChars="200"/>
        <w:jc w:val="both"/>
        <w:rPr>
          <w:rFonts w:hint="eastAsia" w:ascii="仿宋" w:hAnsi="仿宋" w:eastAsia="仿宋" w:cs="仿宋"/>
          <w:color w:val="auto"/>
          <w:kern w:val="0"/>
          <w:sz w:val="32"/>
          <w:szCs w:val="32"/>
          <w:lang w:val="en-US" w:eastAsia="zh-CN" w:bidi="ar"/>
        </w:rPr>
      </w:pPr>
    </w:p>
    <w:p w14:paraId="64019CA0">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339B00B">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9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overflowPunct/>
        <w:topLinePunct w:val="0"/>
        <w:autoSpaceDE/>
        <w:autoSpaceDN/>
        <w:bidi w:val="0"/>
        <w:snapToGrid/>
        <w:spacing w:line="49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2026年2月份焦粒询</w:t>
      </w:r>
      <w:r>
        <w:rPr>
          <w:rStyle w:val="11"/>
          <w:rFonts w:hint="eastAsia" w:ascii="方正粗黑宋简体" w:hAnsi="方正粗黑宋简体" w:eastAsia="方正粗黑宋简体" w:cs="方正粗黑宋简体"/>
          <w:i w:val="0"/>
          <w:iCs w:val="0"/>
          <w:caps w:val="0"/>
          <w:color w:val="000000"/>
          <w:spacing w:val="0"/>
          <w:sz w:val="36"/>
          <w:szCs w:val="36"/>
        </w:rPr>
        <w:t>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15573"/>
      <w:bookmarkStart w:id="186" w:name="_Toc144974858"/>
      <w:bookmarkStart w:id="187" w:name="_Toc384308377"/>
      <w:bookmarkStart w:id="188" w:name="_Toc152042578"/>
      <w:bookmarkStart w:id="189" w:name="_Toc300835211"/>
      <w:bookmarkStart w:id="190" w:name="_Toc247527829"/>
      <w:bookmarkStart w:id="191" w:name="_Toc369531699"/>
      <w:bookmarkStart w:id="192" w:name="_Toc361508754"/>
      <w:bookmarkStart w:id="193" w:name="_Toc247514248"/>
      <w:bookmarkStart w:id="194" w:name="_Toc15204578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C5C77D5">
      <w:pPr>
        <w:pStyle w:val="2"/>
        <w:pageBreakBefore w:val="0"/>
        <w:numPr>
          <w:ilvl w:val="0"/>
          <w:numId w:val="0"/>
        </w:numPr>
        <w:kinsoku/>
        <w:wordWrap/>
        <w:overflowPunct/>
        <w:topLinePunct w:val="0"/>
        <w:autoSpaceDE/>
        <w:autoSpaceDN/>
        <w:bidi w:val="0"/>
        <w:adjustRightInd/>
        <w:snapToGrid/>
        <w:spacing w:line="320" w:lineRule="exact"/>
        <w:ind w:left="0" w:leftChars="0" w:firstLine="883" w:firstLineChars="200"/>
        <w:jc w:val="left"/>
        <w:rPr>
          <w:rFonts w:hint="eastAsia" w:ascii="Times New Roman" w:hAnsi="Times New Roman" w:eastAsia="宋体" w:cs="Times New Roman"/>
          <w:b/>
          <w:bCs/>
          <w:color w:val="auto"/>
          <w:kern w:val="2"/>
          <w:sz w:val="44"/>
          <w:szCs w:val="44"/>
          <w:lang w:val="en-US" w:eastAsia="zh-CN" w:bidi="ar-SA"/>
        </w:rPr>
      </w:pPr>
      <w:bookmarkStart w:id="200" w:name="_Toc1755"/>
      <w:bookmarkStart w:id="201" w:name="_Toc504488775"/>
    </w:p>
    <w:p w14:paraId="0BFC4821">
      <w:pPr>
        <w:rPr>
          <w:rFonts w:hint="eastAsia"/>
          <w:lang w:val="en-US" w:eastAsia="zh-CN"/>
        </w:rPr>
      </w:pPr>
    </w:p>
    <w:p w14:paraId="3B4012CF">
      <w:pPr>
        <w:pStyle w:val="2"/>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447" w:tblpY="4159"/>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367"/>
        <w:gridCol w:w="2815"/>
        <w:gridCol w:w="1356"/>
        <w:gridCol w:w="1464"/>
        <w:gridCol w:w="1596"/>
      </w:tblGrid>
      <w:tr w14:paraId="180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E337C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14:paraId="74FA5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281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6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4B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  （吨）</w:t>
            </w:r>
          </w:p>
        </w:tc>
        <w:tc>
          <w:tcPr>
            <w:tcW w:w="14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0127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报价   （元/吨）  </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03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金额（元）</w:t>
            </w:r>
          </w:p>
        </w:tc>
      </w:tr>
      <w:tr w14:paraId="7A3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14:paraId="68E0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B58F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焦粒</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19612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sz w:val="28"/>
                <w:szCs w:val="28"/>
              </w:rPr>
              <w:t>C≥80.0%，挥发份≤</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.0%，灰分≤1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.0%，S≤1.0%,水分≤</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%，粒度</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15mm</w:t>
            </w:r>
            <w:r>
              <w:rPr>
                <w:rFonts w:hint="eastAsia" w:ascii="仿宋" w:hAnsi="仿宋" w:eastAsia="仿宋" w:cs="仿宋"/>
                <w:b w:val="0"/>
                <w:bCs w:val="0"/>
                <w:sz w:val="28"/>
                <w:szCs w:val="28"/>
              </w:rPr>
              <w:t>，粒度＜8mm筛下超过5%d的粒（沫）。</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1EC8F68">
            <w:pPr>
              <w:keepNext w:val="0"/>
              <w:keepLines w:val="0"/>
              <w:pageBreakBefore w:val="0"/>
              <w:kinsoku/>
              <w:wordWrap/>
              <w:overflowPunct/>
              <w:topLinePunct w:val="0"/>
              <w:autoSpaceDE/>
              <w:autoSpaceDN/>
              <w:bidi w:val="0"/>
              <w:adjustRightInd/>
              <w:snapToGrid/>
              <w:spacing w:line="40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300</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C63E2F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F10BE7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r w14:paraId="3A07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0768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2815" w:type="dxa"/>
            <w:tcBorders>
              <w:top w:val="single" w:color="auto" w:sz="4" w:space="0"/>
              <w:left w:val="single" w:color="auto" w:sz="4" w:space="0"/>
              <w:bottom w:val="single" w:color="auto" w:sz="4" w:space="0"/>
              <w:right w:val="single" w:color="auto" w:sz="4" w:space="0"/>
            </w:tcBorders>
            <w:shd w:val="clear" w:color="auto" w:fill="auto"/>
            <w:vAlign w:val="center"/>
          </w:tcPr>
          <w:p w14:paraId="6AA3A5F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sz w:val="28"/>
                <w:szCs w:val="28"/>
                <w:lang w:val="en-US" w:eastAsia="zh-CN"/>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BA6C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AD8739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E32B47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olor w:val="000000"/>
                <w:sz w:val="28"/>
                <w:szCs w:val="28"/>
                <w:u w:val="none"/>
              </w:rPr>
            </w:pPr>
          </w:p>
        </w:tc>
      </w:tr>
    </w:tbl>
    <w:p w14:paraId="42E38A2E">
      <w:pPr>
        <w:pStyle w:val="2"/>
        <w:pageBreakBefore w:val="0"/>
        <w:kinsoku/>
        <w:wordWrap/>
        <w:overflowPunct/>
        <w:topLinePunct w:val="0"/>
        <w:autoSpaceDE/>
        <w:autoSpaceDN/>
        <w:bidi w:val="0"/>
        <w:adjustRightInd/>
        <w:snapToGrid/>
        <w:spacing w:after="0" w:line="320" w:lineRule="exact"/>
        <w:jc w:val="both"/>
        <w:rPr>
          <w:rFonts w:hint="eastAsia" w:ascii="Times New Roman" w:hAnsi="Times New Roman"/>
          <w:color w:val="auto"/>
          <w:kern w:val="0"/>
        </w:rPr>
      </w:pPr>
    </w:p>
    <w:p w14:paraId="5ECE2942">
      <w:pPr>
        <w:bidi w:val="0"/>
        <w:rPr>
          <w:rFonts w:hint="eastAsia" w:ascii="Times New Roman" w:hAnsi="Times New Roman"/>
          <w:color w:val="auto"/>
          <w:kern w:val="0"/>
        </w:rPr>
      </w:pPr>
    </w:p>
    <w:p w14:paraId="7A0616C3">
      <w:pPr>
        <w:bidi w:val="0"/>
        <w:rPr>
          <w:rFonts w:hint="eastAsia" w:ascii="Times New Roman" w:hAnsi="Times New Roman"/>
          <w:color w:val="auto"/>
          <w:kern w:val="0"/>
        </w:rPr>
      </w:pPr>
    </w:p>
    <w:p w14:paraId="10CD09B8">
      <w:pPr>
        <w:bidi w:val="0"/>
        <w:rPr>
          <w:rFonts w:hint="eastAsia" w:ascii="Times New Roman" w:hAnsi="Times New Roman"/>
          <w:color w:val="auto"/>
          <w:kern w:val="0"/>
        </w:rPr>
      </w:pPr>
    </w:p>
    <w:p w14:paraId="1C4B9D0F">
      <w:pPr>
        <w:bidi w:val="0"/>
        <w:rPr>
          <w:rFonts w:hint="eastAsia" w:ascii="Times New Roman" w:hAnsi="Times New Roman"/>
          <w:color w:val="auto"/>
          <w:kern w:val="0"/>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66B7EC20">
      <w:pPr>
        <w:bidi w:val="0"/>
        <w:jc w:val="left"/>
        <w:rPr>
          <w:rFonts w:hint="eastAsia" w:ascii="Times New Roman" w:hAnsi="Times New Roman"/>
          <w:b w:val="0"/>
          <w:bCs/>
          <w:color w:val="auto"/>
          <w:kern w:val="0"/>
          <w:sz w:val="30"/>
          <w:szCs w:val="30"/>
          <w:u w:val="single"/>
          <w:lang w:val="en-US" w:eastAsia="zh-CN"/>
        </w:rPr>
      </w:pPr>
    </w:p>
    <w:p w14:paraId="0C4F7D97">
      <w:pPr>
        <w:bidi w:val="0"/>
        <w:ind w:firstLine="4800" w:firstLineChars="1600"/>
        <w:jc w:val="left"/>
        <w:rPr>
          <w:rFonts w:ascii="Times New Roman" w:hAnsi="Times New Roman"/>
          <w:color w:val="auto"/>
          <w:sz w:val="36"/>
          <w:szCs w:val="36"/>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 xml:space="preserve"> </w:t>
      </w:r>
      <w:r>
        <w:rPr>
          <w:rFonts w:hint="eastAsia" w:ascii="Times New Roman" w:hAnsi="Times New Roman"/>
          <w:color w:val="auto"/>
          <w:kern w:val="0"/>
          <w:sz w:val="36"/>
          <w:szCs w:val="36"/>
          <w:lang w:val="en-US" w:eastAsia="zh-CN"/>
        </w:rPr>
        <w:t>六</w:t>
      </w:r>
      <w:r>
        <w:rPr>
          <w:rFonts w:hint="eastAsia" w:ascii="Times New Roman" w:hAnsi="Times New Roman"/>
          <w:color w:val="auto"/>
          <w:sz w:val="36"/>
          <w:szCs w:val="36"/>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4DE9AF10">
      <w:pPr>
        <w:spacing w:line="440" w:lineRule="exact"/>
        <w:jc w:val="center"/>
        <w:rPr>
          <w:rFonts w:hint="eastAsia" w:ascii="黑体" w:hAnsi="黑体" w:eastAsia="黑体" w:cs="黑体"/>
          <w:b/>
          <w:color w:val="auto"/>
          <w:sz w:val="36"/>
          <w:szCs w:val="36"/>
        </w:rPr>
      </w:pP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21E99124"/>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069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FD3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FD3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8D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7397E"/>
    <w:rsid w:val="0E965B61"/>
    <w:rsid w:val="0F096012"/>
    <w:rsid w:val="131C7CED"/>
    <w:rsid w:val="17AF695E"/>
    <w:rsid w:val="1DC7397E"/>
    <w:rsid w:val="20B83AE6"/>
    <w:rsid w:val="30056570"/>
    <w:rsid w:val="32C56EDB"/>
    <w:rsid w:val="359039C0"/>
    <w:rsid w:val="57AA06DF"/>
    <w:rsid w:val="5AEC7E52"/>
    <w:rsid w:val="5CD35F43"/>
    <w:rsid w:val="5D0D0741"/>
    <w:rsid w:val="63DE4859"/>
    <w:rsid w:val="6B3F5C01"/>
    <w:rsid w:val="6C245771"/>
    <w:rsid w:val="6FEA6F0B"/>
    <w:rsid w:val="710C78FB"/>
    <w:rsid w:val="73D579E8"/>
    <w:rsid w:val="776C1FBF"/>
    <w:rsid w:val="7C4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8076</Words>
  <Characters>8367</Characters>
  <Lines>0</Lines>
  <Paragraphs>0</Paragraphs>
  <TotalTime>19</TotalTime>
  <ScaleCrop>false</ScaleCrop>
  <LinksUpToDate>false</LinksUpToDate>
  <CharactersWithSpaces>8777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2025-03-10T06:10:00Z</dcterms:created>
  <dc:creator>瞬间无语</dc:creator>
  <cp:lastModifiedBy>瞬间无语</cp:lastModifiedBy>
  <cp:lastPrinted>2026-02-06T02:50:52Z</cp:lastPrinted>
  <dcterms:modified xsi:type="dcterms:W3CDTF">2026-02-06T02:55:07Z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8A5AC784EA744448BA87F0CF579F7F82_11</vt:lpwstr>
  </property>
  <property fmtid="{D5CDD505-2E9C-101B-9397-08002B2CF9AE}" pid="4" name="KSOTemplateDocerSaveRecord">
    <vt:lpwstr>eyJoZGlkIjoiY2IxODczYmMzOTcyYmM0NzgyNTU5ODFiNzc0MzFlMTQiLCJ1c2VySWQiOiI1MjE0ODc1ODYifQ==</vt:lpwstr>
  </property>
</Properties>
</file>