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陕西锌业有限公司</w:t>
      </w:r>
    </w:p>
    <w:p>
      <w:pPr>
        <w:spacing w:line="560" w:lineRule="exact"/>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36"/>
          <w:szCs w:val="36"/>
        </w:rPr>
        <w:t>硫酸车间小系统二期DCS、仪表盘柜、PLC系统及电缆迁移实施项目询比采购邀请函</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ascii="仿宋" w:hAnsi="仿宋" w:eastAsia="仿宋" w:cs="仿宋"/>
          <w:sz w:val="30"/>
          <w:szCs w:val="30"/>
        </w:rPr>
      </w:pPr>
      <w:r>
        <w:rPr>
          <w:rFonts w:ascii="仿宋" w:hAnsi="仿宋" w:eastAsia="仿宋" w:cs="仿宋"/>
          <w:sz w:val="30"/>
          <w:szCs w:val="30"/>
        </w:rPr>
        <w:t>陕西锌业有限公司</w:t>
      </w:r>
      <w:r>
        <w:rPr>
          <w:rFonts w:hint="eastAsia" w:ascii="仿宋" w:hAnsi="仿宋" w:eastAsia="仿宋" w:cs="仿宋"/>
          <w:sz w:val="30"/>
          <w:szCs w:val="30"/>
          <w:lang w:val="en-US" w:eastAsia="zh-CN"/>
        </w:rPr>
        <w:t>因生产需要，</w:t>
      </w:r>
      <w:r>
        <w:rPr>
          <w:rFonts w:ascii="仿宋" w:hAnsi="仿宋" w:eastAsia="仿宋" w:cs="仿宋"/>
          <w:sz w:val="30"/>
          <w:szCs w:val="30"/>
        </w:rPr>
        <w:t>拟</w:t>
      </w:r>
      <w:r>
        <w:rPr>
          <w:rFonts w:hint="eastAsia" w:ascii="仿宋" w:hAnsi="仿宋" w:eastAsia="仿宋" w:cs="仿宋"/>
          <w:sz w:val="30"/>
          <w:szCs w:val="30"/>
        </w:rPr>
        <w:t>完成</w:t>
      </w:r>
      <w:r>
        <w:rPr>
          <w:rFonts w:hint="eastAsia" w:ascii="仿宋" w:hAnsi="仿宋" w:eastAsia="仿宋" w:cs="仿宋"/>
          <w:b/>
          <w:bCs/>
          <w:sz w:val="30"/>
          <w:szCs w:val="30"/>
        </w:rPr>
        <w:t>硫酸车间小系统二期DCS、仪表盘柜、PLC系统及电缆迁移实施</w:t>
      </w:r>
      <w:r>
        <w:rPr>
          <w:rFonts w:hint="eastAsia" w:ascii="仿宋" w:hAnsi="仿宋" w:eastAsia="仿宋" w:cs="仿宋"/>
          <w:b w:val="0"/>
          <w:bCs w:val="0"/>
          <w:sz w:val="30"/>
          <w:szCs w:val="30"/>
          <w:lang w:val="en-US" w:eastAsia="zh-CN"/>
        </w:rPr>
        <w:t>工作</w:t>
      </w:r>
      <w:r>
        <w:rPr>
          <w:rFonts w:hint="eastAsia" w:ascii="仿宋" w:hAnsi="仿宋" w:eastAsia="仿宋" w:cs="仿宋"/>
          <w:sz w:val="30"/>
          <w:szCs w:val="30"/>
          <w:lang w:eastAsia="zh-CN"/>
        </w:rPr>
        <w:t>，</w:t>
      </w:r>
      <w:r>
        <w:rPr>
          <w:rFonts w:hint="eastAsia" w:ascii="仿宋" w:hAnsi="仿宋" w:eastAsia="仿宋" w:cs="仿宋"/>
          <w:sz w:val="30"/>
          <w:szCs w:val="30"/>
        </w:rPr>
        <w:t>按照公司有关规定，拟通过询比方式确定供应商，欢迎具备相应资质及能力的单位参与该项目询比采购，具体内容如下</w:t>
      </w:r>
      <w:r>
        <w:rPr>
          <w:rFonts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spacing w:line="480" w:lineRule="exact"/>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一、采购项目基本要求</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rPr>
        <w:t>（一）采购人：陕西锌业有限公司</w:t>
      </w:r>
      <w:r>
        <w:rPr>
          <w:rFonts w:hint="eastAsia" w:ascii="仿宋" w:hAnsi="仿宋" w:eastAsia="仿宋" w:cs="仿宋"/>
          <w:sz w:val="30"/>
          <w:szCs w:val="30"/>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b/>
          <w:bCs/>
          <w:sz w:val="30"/>
          <w:szCs w:val="30"/>
          <w:lang w:eastAsia="zh-CN"/>
        </w:rPr>
      </w:pPr>
      <w:r>
        <w:rPr>
          <w:rFonts w:hint="eastAsia" w:ascii="仿宋" w:hAnsi="仿宋" w:eastAsia="仿宋" w:cs="仿宋"/>
          <w:sz w:val="30"/>
          <w:szCs w:val="30"/>
        </w:rPr>
        <w:t>（二）采购项目名称：陕西锌业有限公司</w:t>
      </w:r>
      <w:r>
        <w:rPr>
          <w:rFonts w:hint="eastAsia" w:ascii="仿宋" w:hAnsi="仿宋" w:eastAsia="仿宋" w:cs="仿宋"/>
          <w:b/>
          <w:bCs/>
          <w:sz w:val="30"/>
          <w:szCs w:val="30"/>
        </w:rPr>
        <w:t>硫酸车间小系统二期DCS、仪表盘柜、PLC系统及电缆迁移实施项目</w:t>
      </w:r>
      <w:r>
        <w:rPr>
          <w:rFonts w:hint="eastAsia" w:ascii="仿宋" w:hAnsi="仿宋" w:eastAsia="仿宋" w:cs="仿宋"/>
          <w:b/>
          <w:bCs/>
          <w:sz w:val="30"/>
          <w:szCs w:val="30"/>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三</w:t>
      </w:r>
      <w:r>
        <w:rPr>
          <w:rFonts w:hint="eastAsia" w:ascii="仿宋" w:hAnsi="仿宋" w:eastAsia="仿宋" w:cs="仿宋"/>
          <w:sz w:val="30"/>
          <w:szCs w:val="30"/>
        </w:rPr>
        <w:t>）</w:t>
      </w:r>
      <w:r>
        <w:rPr>
          <w:rFonts w:hint="eastAsia" w:ascii="仿宋" w:hAnsi="仿宋" w:eastAsia="仿宋" w:cs="仿宋"/>
          <w:sz w:val="30"/>
          <w:szCs w:val="30"/>
          <w:lang w:val="en-US" w:eastAsia="zh-CN"/>
        </w:rPr>
        <w:t>完工</w:t>
      </w:r>
      <w:r>
        <w:rPr>
          <w:rFonts w:hint="eastAsia" w:ascii="仿宋" w:hAnsi="仿宋" w:eastAsia="仿宋" w:cs="仿宋"/>
          <w:sz w:val="30"/>
          <w:szCs w:val="30"/>
        </w:rPr>
        <w:t>时间：合同签订后</w:t>
      </w:r>
      <w:r>
        <w:rPr>
          <w:rFonts w:hint="eastAsia" w:ascii="仿宋" w:hAnsi="仿宋" w:eastAsia="仿宋" w:cs="仿宋"/>
          <w:sz w:val="30"/>
          <w:szCs w:val="30"/>
          <w:highlight w:val="none"/>
          <w:lang w:val="en-US" w:eastAsia="zh-CN"/>
        </w:rPr>
        <w:t>20</w:t>
      </w:r>
      <w:r>
        <w:rPr>
          <w:rFonts w:hint="eastAsia" w:ascii="仿宋" w:hAnsi="仿宋" w:eastAsia="仿宋" w:cs="仿宋"/>
          <w:sz w:val="30"/>
          <w:szCs w:val="30"/>
        </w:rPr>
        <w:t>个日历天交付，供方完成硫酸车间小系统二期DCS、仪表盘柜、PLC系统及电缆</w:t>
      </w:r>
      <w:r>
        <w:rPr>
          <w:rFonts w:hint="eastAsia" w:ascii="仿宋" w:hAnsi="仿宋" w:eastAsia="仿宋" w:cs="仿宋"/>
          <w:sz w:val="30"/>
          <w:szCs w:val="30"/>
          <w:lang w:val="en-US" w:eastAsia="zh-CN"/>
        </w:rPr>
        <w:t>的</w:t>
      </w:r>
      <w:r>
        <w:rPr>
          <w:rFonts w:hint="eastAsia" w:ascii="仿宋" w:hAnsi="仿宋" w:eastAsia="仿宋" w:cs="仿宋"/>
          <w:sz w:val="30"/>
          <w:szCs w:val="30"/>
        </w:rPr>
        <w:t>迁移实施</w:t>
      </w:r>
      <w:r>
        <w:rPr>
          <w:rFonts w:hint="eastAsia" w:ascii="仿宋" w:hAnsi="仿宋" w:eastAsia="仿宋" w:cs="仿宋"/>
          <w:sz w:val="30"/>
          <w:szCs w:val="30"/>
          <w:lang w:val="en-US" w:eastAsia="zh-CN"/>
        </w:rPr>
        <w:t>及调试</w:t>
      </w:r>
      <w:r>
        <w:rPr>
          <w:rFonts w:hint="eastAsia" w:ascii="仿宋" w:hAnsi="仿宋" w:eastAsia="仿宋" w:cs="仿宋"/>
          <w:sz w:val="30"/>
          <w:szCs w:val="30"/>
        </w:rPr>
        <w:t>工作</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具体内容及要求见附件2</w:t>
      </w:r>
      <w:r>
        <w:rPr>
          <w:rFonts w:hint="eastAsia" w:ascii="仿宋" w:hAnsi="仿宋" w:eastAsia="仿宋" w:cs="仿宋"/>
          <w:sz w:val="30"/>
          <w:szCs w:val="30"/>
          <w:lang w:eastAsia="zh-CN"/>
        </w:rPr>
        <w:t>）。</w:t>
      </w:r>
      <w:r>
        <w:rPr>
          <w:rFonts w:hint="eastAsia" w:ascii="仿宋" w:hAnsi="仿宋" w:eastAsia="仿宋" w:cs="仿宋"/>
          <w:sz w:val="30"/>
          <w:szCs w:val="30"/>
        </w:rPr>
        <w:t>不能按期</w:t>
      </w:r>
      <w:r>
        <w:rPr>
          <w:rFonts w:hint="eastAsia" w:ascii="仿宋" w:hAnsi="仿宋" w:eastAsia="仿宋" w:cs="仿宋"/>
          <w:sz w:val="30"/>
          <w:szCs w:val="30"/>
          <w:lang w:val="en-US" w:eastAsia="zh-CN"/>
        </w:rPr>
        <w:t>完工</w:t>
      </w:r>
      <w:r>
        <w:rPr>
          <w:rFonts w:hint="eastAsia" w:ascii="仿宋" w:hAnsi="仿宋" w:eastAsia="仿宋" w:cs="仿宋"/>
          <w:sz w:val="30"/>
          <w:szCs w:val="30"/>
        </w:rPr>
        <w:t>的，否决其响应文件。</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四</w:t>
      </w:r>
      <w:r>
        <w:rPr>
          <w:rFonts w:hint="eastAsia" w:ascii="仿宋" w:hAnsi="仿宋" w:eastAsia="仿宋" w:cs="仿宋"/>
          <w:sz w:val="30"/>
          <w:szCs w:val="30"/>
        </w:rPr>
        <w:t>）交货地点：采购方指定地点。</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五</w:t>
      </w:r>
      <w:r>
        <w:rPr>
          <w:rFonts w:hint="eastAsia" w:ascii="仿宋" w:hAnsi="仿宋" w:eastAsia="仿宋" w:cs="仿宋"/>
          <w:sz w:val="30"/>
          <w:szCs w:val="30"/>
        </w:rPr>
        <w:t>）</w:t>
      </w:r>
      <w:r>
        <w:rPr>
          <w:rFonts w:hint="eastAsia" w:ascii="仿宋" w:hAnsi="仿宋" w:eastAsia="仿宋" w:cs="仿宋"/>
          <w:i w:val="0"/>
          <w:iCs w:val="0"/>
          <w:caps w:val="0"/>
          <w:color w:val="000000"/>
          <w:spacing w:val="0"/>
          <w:sz w:val="31"/>
          <w:szCs w:val="31"/>
          <w:lang w:val="en-US" w:eastAsia="zh-CN"/>
        </w:rPr>
        <w:t>迁移项目</w:t>
      </w:r>
      <w:r>
        <w:rPr>
          <w:rFonts w:ascii="仿宋" w:hAnsi="仿宋" w:eastAsia="仿宋" w:cs="仿宋"/>
          <w:i w:val="0"/>
          <w:iCs w:val="0"/>
          <w:caps w:val="0"/>
          <w:color w:val="000000"/>
          <w:spacing w:val="0"/>
          <w:sz w:val="31"/>
          <w:szCs w:val="31"/>
        </w:rPr>
        <w:t>一览表</w:t>
      </w:r>
      <w:r>
        <w:rPr>
          <w:rFonts w:hint="eastAsia" w:ascii="仿宋" w:hAnsi="仿宋" w:eastAsia="仿宋" w:cs="仿宋"/>
          <w:sz w:val="30"/>
          <w:szCs w:val="30"/>
        </w:rPr>
        <w:t>：详见</w:t>
      </w:r>
      <w:r>
        <w:rPr>
          <w:rFonts w:hint="eastAsia" w:ascii="仿宋" w:hAnsi="仿宋" w:eastAsia="仿宋" w:cs="仿宋"/>
          <w:sz w:val="30"/>
          <w:szCs w:val="30"/>
          <w:lang w:val="en-US" w:eastAsia="zh-CN"/>
        </w:rPr>
        <w:t>附件1</w:t>
      </w:r>
      <w:r>
        <w:rPr>
          <w:rFonts w:hint="eastAsia" w:ascii="仿宋" w:hAnsi="仿宋" w:eastAsia="仿宋" w:cs="仿宋"/>
          <w:sz w:val="30"/>
          <w:szCs w:val="30"/>
        </w:rPr>
        <w:t>响应文件格式</w:t>
      </w:r>
      <w:r>
        <w:rPr>
          <w:rFonts w:hint="eastAsia" w:ascii="仿宋" w:hAnsi="仿宋" w:eastAsia="仿宋" w:cs="仿宋"/>
          <w:sz w:val="30"/>
          <w:szCs w:val="30"/>
          <w:lang w:eastAsia="zh-CN"/>
        </w:rPr>
        <w:t>（</w:t>
      </w:r>
      <w:r>
        <w:rPr>
          <w:rFonts w:hint="eastAsia" w:ascii="仿宋" w:hAnsi="仿宋" w:eastAsia="仿宋" w:cs="仿宋"/>
          <w:sz w:val="30"/>
          <w:szCs w:val="30"/>
          <w:highlight w:val="none"/>
          <w:lang w:val="en-US" w:eastAsia="zh-CN"/>
        </w:rPr>
        <w:t>第五</w:t>
      </w:r>
      <w:bookmarkStart w:id="0" w:name="_GoBack"/>
      <w:bookmarkEnd w:id="0"/>
      <w:r>
        <w:rPr>
          <w:rFonts w:hint="eastAsia" w:ascii="仿宋" w:hAnsi="仿宋" w:eastAsia="仿宋" w:cs="仿宋"/>
          <w:sz w:val="30"/>
          <w:szCs w:val="30"/>
          <w:highlight w:val="none"/>
          <w:lang w:val="en-US" w:eastAsia="zh-CN"/>
        </w:rPr>
        <w:t>条分项报价表</w:t>
      </w:r>
      <w:r>
        <w:rPr>
          <w:rFonts w:hint="eastAsia" w:ascii="仿宋" w:hAnsi="仿宋" w:eastAsia="仿宋" w:cs="仿宋"/>
          <w:sz w:val="30"/>
          <w:szCs w:val="30"/>
          <w:lang w:eastAsia="zh-CN"/>
        </w:rPr>
        <w:t>）</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六</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质量要求：</w:t>
      </w:r>
    </w:p>
    <w:p>
      <w:pPr>
        <w:spacing w:line="480" w:lineRule="exact"/>
        <w:ind w:firstLine="600" w:firstLineChars="200"/>
        <w:rPr>
          <w:rFonts w:hint="default" w:ascii="仿宋" w:hAnsi="仿宋" w:eastAsia="仿宋" w:cs="仿宋"/>
          <w:b w:val="0"/>
          <w:bCs w:val="0"/>
          <w:sz w:val="30"/>
          <w:szCs w:val="30"/>
          <w:lang w:val="en-US" w:eastAsia="zh-CN"/>
        </w:rPr>
      </w:pPr>
      <w:r>
        <w:rPr>
          <w:rFonts w:hint="eastAsia" w:ascii="仿宋" w:hAnsi="仿宋" w:eastAsia="仿宋" w:cs="仿宋"/>
          <w:sz w:val="30"/>
          <w:szCs w:val="30"/>
          <w:lang w:val="en-US" w:eastAsia="zh-CN"/>
        </w:rPr>
        <w:t>1.产品的设计及制造必须严格按照最新行业标准执行，质量符合国标要求。桥架、角铁等辅材</w:t>
      </w:r>
      <w:r>
        <w:rPr>
          <w:rFonts w:hint="eastAsia" w:ascii="仿宋" w:hAnsi="仿宋" w:eastAsia="仿宋" w:cs="仿宋"/>
          <w:b w:val="0"/>
          <w:bCs w:val="0"/>
          <w:sz w:val="30"/>
          <w:szCs w:val="30"/>
          <w:lang w:val="en-US" w:eastAsia="zh-CN"/>
        </w:rPr>
        <w:t>均选用耐腐蚀型工业级材料，满足硫酸车间特殊环境要求。</w:t>
      </w:r>
    </w:p>
    <w:p>
      <w:pPr>
        <w:spacing w:line="48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2.所供产品必须有合格证、使用说明书、出厂质量检验报告单等，且产品铭牌标识完整清晰，否则按不合格品对待</w:t>
      </w:r>
      <w:r>
        <w:rPr>
          <w:rFonts w:hint="eastAsia" w:ascii="仿宋" w:hAnsi="仿宋" w:eastAsia="仿宋" w:cs="仿宋"/>
          <w:sz w:val="30"/>
          <w:szCs w:val="30"/>
          <w:highlight w:val="none"/>
          <w:lang w:val="en-US" w:eastAsia="zh-CN"/>
        </w:rPr>
        <w:t>。</w:t>
      </w:r>
    </w:p>
    <w:p>
      <w:pPr>
        <w:spacing w:line="48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3.质量保证期：质保期壹年，在质保期内出现货物质量问题供方无条件退换，如因货物质量问题给采购人造成损失的，供货方应承担相应的赔偿责任。</w:t>
      </w:r>
    </w:p>
    <w:p>
      <w:pPr>
        <w:spacing w:line="480" w:lineRule="exact"/>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七</w:t>
      </w:r>
      <w:r>
        <w:rPr>
          <w:rFonts w:hint="eastAsia" w:ascii="仿宋" w:hAnsi="仿宋" w:eastAsia="仿宋" w:cs="仿宋"/>
          <w:sz w:val="30"/>
          <w:szCs w:val="30"/>
          <w:lang w:eastAsia="zh-CN"/>
        </w:rPr>
        <w:t>）验收标准、方法：</w:t>
      </w:r>
    </w:p>
    <w:p>
      <w:pPr>
        <w:spacing w:line="480" w:lineRule="exact"/>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eastAsia="zh-CN"/>
        </w:rPr>
        <w:t>1.入库初验：物资到达</w:t>
      </w:r>
      <w:r>
        <w:rPr>
          <w:rFonts w:hint="eastAsia" w:ascii="仿宋" w:hAnsi="仿宋" w:eastAsia="仿宋" w:cs="仿宋"/>
          <w:sz w:val="30"/>
          <w:szCs w:val="30"/>
        </w:rPr>
        <w:t>采购人</w:t>
      </w:r>
      <w:r>
        <w:rPr>
          <w:rFonts w:hint="eastAsia" w:ascii="仿宋" w:hAnsi="仿宋" w:eastAsia="仿宋" w:cs="仿宋"/>
          <w:sz w:val="30"/>
          <w:szCs w:val="30"/>
          <w:lang w:eastAsia="zh-CN"/>
        </w:rPr>
        <w:t>现场后，根据询比采购邀请函及合同供货清单内物资的规格型号、数量、厂家品牌进行入库初步验收。</w:t>
      </w:r>
    </w:p>
    <w:p>
      <w:pPr>
        <w:spacing w:line="48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2.施工验收依据：</w:t>
      </w:r>
    </w:p>
    <w:p>
      <w:pPr>
        <w:spacing w:line="48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《自动化仪表工程施工及质量验收标准》（GB 50093-2013）；</w:t>
      </w:r>
    </w:p>
    <w:p>
      <w:pPr>
        <w:spacing w:line="48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《电气装置安装工程电缆线路施工及验收规范》；</w:t>
      </w:r>
    </w:p>
    <w:p>
      <w:pPr>
        <w:spacing w:line="480" w:lineRule="exact"/>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《电气装置安装工程盘、柜及二次回路接线施工及验收规范》；</w:t>
      </w:r>
    </w:p>
    <w:p>
      <w:pPr>
        <w:spacing w:line="480" w:lineRule="exact"/>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eastAsia="zh-CN"/>
        </w:rPr>
        <w:t>《安全防范工程技术标准》（GB 50348-2018）；</w:t>
      </w:r>
    </w:p>
    <w:p>
      <w:pPr>
        <w:spacing w:line="480" w:lineRule="exact"/>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eastAsia="zh-CN"/>
        </w:rPr>
        <w:t>《电力安全工作规程》（DL/T 408-2018）；</w:t>
      </w:r>
    </w:p>
    <w:p>
      <w:pPr>
        <w:spacing w:line="480" w:lineRule="exact"/>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3</w:t>
      </w:r>
      <w:r>
        <w:rPr>
          <w:rFonts w:hint="eastAsia" w:ascii="仿宋" w:hAnsi="仿宋" w:eastAsia="仿宋" w:cs="仿宋"/>
          <w:sz w:val="30"/>
          <w:szCs w:val="30"/>
          <w:lang w:eastAsia="zh-CN"/>
        </w:rPr>
        <w:t>.整体验收：</w:t>
      </w:r>
      <w:r>
        <w:rPr>
          <w:rFonts w:hint="eastAsia" w:ascii="仿宋" w:hAnsi="仿宋" w:eastAsia="仿宋" w:cs="仿宋"/>
          <w:sz w:val="30"/>
          <w:szCs w:val="30"/>
          <w:lang w:val="en-US" w:eastAsia="zh-CN"/>
        </w:rPr>
        <w:t>迁移及</w:t>
      </w:r>
      <w:r>
        <w:rPr>
          <w:rFonts w:hint="eastAsia" w:ascii="仿宋" w:hAnsi="仿宋" w:eastAsia="仿宋" w:cs="仿宋"/>
          <w:sz w:val="30"/>
          <w:szCs w:val="30"/>
          <w:lang w:eastAsia="zh-CN"/>
        </w:rPr>
        <w:t>调试完毕，通电运行后，根据</w:t>
      </w:r>
      <w:r>
        <w:rPr>
          <w:rFonts w:hint="eastAsia" w:ascii="仿宋" w:hAnsi="仿宋" w:eastAsia="仿宋" w:cs="仿宋"/>
          <w:sz w:val="30"/>
          <w:szCs w:val="30"/>
          <w:lang w:val="en-US" w:eastAsia="zh-CN"/>
        </w:rPr>
        <w:t>运行效果</w:t>
      </w:r>
      <w:r>
        <w:rPr>
          <w:rFonts w:hint="eastAsia" w:ascii="仿宋" w:hAnsi="仿宋" w:eastAsia="仿宋" w:cs="仿宋"/>
          <w:sz w:val="30"/>
          <w:szCs w:val="30"/>
          <w:lang w:eastAsia="zh-CN"/>
        </w:rPr>
        <w:t>能否满足</w:t>
      </w:r>
      <w:r>
        <w:rPr>
          <w:rFonts w:hint="eastAsia" w:ascii="仿宋" w:hAnsi="仿宋" w:eastAsia="仿宋" w:cs="仿宋"/>
          <w:sz w:val="30"/>
          <w:szCs w:val="30"/>
          <w:lang w:val="en-US" w:eastAsia="zh-CN"/>
        </w:rPr>
        <w:t>工作</w:t>
      </w:r>
      <w:r>
        <w:rPr>
          <w:rFonts w:hint="eastAsia" w:ascii="仿宋" w:hAnsi="仿宋" w:eastAsia="仿宋" w:cs="仿宋"/>
          <w:sz w:val="30"/>
          <w:szCs w:val="30"/>
          <w:lang w:eastAsia="zh-CN"/>
        </w:rPr>
        <w:t>需求进行整体验收。</w:t>
      </w:r>
      <w:r>
        <w:rPr>
          <w:rFonts w:hint="eastAsia" w:ascii="仿宋" w:hAnsi="仿宋" w:eastAsia="仿宋" w:cs="仿宋"/>
          <w:sz w:val="30"/>
          <w:szCs w:val="30"/>
          <w:lang w:val="en-US" w:eastAsia="zh-CN"/>
        </w:rPr>
        <w:t>附件2“迁移实施方案”作为验收的标准之一。</w:t>
      </w:r>
    </w:p>
    <w:p>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八</w:t>
      </w:r>
      <w:r>
        <w:rPr>
          <w:rFonts w:hint="eastAsia" w:ascii="仿宋" w:hAnsi="仿宋" w:eastAsia="仿宋" w:cs="仿宋"/>
          <w:sz w:val="30"/>
          <w:szCs w:val="30"/>
          <w:lang w:eastAsia="zh-CN"/>
        </w:rPr>
        <w:t>）</w:t>
      </w:r>
      <w:r>
        <w:rPr>
          <w:rFonts w:ascii="仿宋" w:hAnsi="仿宋" w:eastAsia="仿宋" w:cs="仿宋"/>
          <w:sz w:val="30"/>
          <w:szCs w:val="30"/>
        </w:rPr>
        <w:t>付款方式：</w:t>
      </w:r>
      <w:r>
        <w:rPr>
          <w:rFonts w:hint="eastAsia" w:ascii="仿宋" w:hAnsi="仿宋" w:eastAsia="仿宋" w:cs="仿宋"/>
          <w:sz w:val="30"/>
          <w:szCs w:val="30"/>
        </w:rPr>
        <w:t>合同签订</w:t>
      </w:r>
      <w:r>
        <w:rPr>
          <w:rFonts w:hint="eastAsia" w:ascii="仿宋" w:hAnsi="仿宋" w:eastAsia="仿宋" w:cs="仿宋"/>
          <w:sz w:val="30"/>
          <w:szCs w:val="30"/>
          <w:lang w:val="en-US" w:eastAsia="zh-CN"/>
        </w:rPr>
        <w:t>材料</w:t>
      </w:r>
      <w:r>
        <w:rPr>
          <w:rFonts w:hint="eastAsia" w:ascii="仿宋" w:hAnsi="仿宋" w:eastAsia="仿宋" w:cs="仿宋"/>
          <w:sz w:val="30"/>
          <w:szCs w:val="30"/>
        </w:rPr>
        <w:t>全部到货，初验合格</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迁移调试正常</w:t>
      </w:r>
      <w:r>
        <w:rPr>
          <w:rFonts w:hint="eastAsia" w:ascii="仿宋" w:hAnsi="仿宋" w:eastAsia="仿宋" w:cs="仿宋"/>
          <w:sz w:val="30"/>
          <w:szCs w:val="30"/>
        </w:rPr>
        <w:t>后付合同总价款的</w:t>
      </w:r>
      <w:r>
        <w:rPr>
          <w:rFonts w:hint="eastAsia" w:ascii="仿宋" w:hAnsi="仿宋" w:eastAsia="仿宋" w:cs="仿宋"/>
          <w:sz w:val="30"/>
          <w:szCs w:val="30"/>
          <w:lang w:val="en-US" w:eastAsia="zh-CN"/>
        </w:rPr>
        <w:t>6</w:t>
      </w:r>
      <w:r>
        <w:rPr>
          <w:rFonts w:hint="eastAsia" w:ascii="仿宋" w:hAnsi="仿宋" w:eastAsia="仿宋" w:cs="仿宋"/>
          <w:sz w:val="30"/>
          <w:szCs w:val="30"/>
        </w:rPr>
        <w:t>0%；完成合同约定的全部条款，通电运行一个月内无问题，验收合格后付3</w:t>
      </w:r>
      <w:r>
        <w:rPr>
          <w:rFonts w:hint="eastAsia" w:ascii="仿宋" w:hAnsi="仿宋" w:eastAsia="仿宋" w:cs="仿宋"/>
          <w:sz w:val="30"/>
          <w:szCs w:val="30"/>
          <w:lang w:val="en-US" w:eastAsia="zh-CN"/>
        </w:rPr>
        <w:t>0</w:t>
      </w:r>
      <w:r>
        <w:rPr>
          <w:rFonts w:hint="eastAsia" w:ascii="仿宋" w:hAnsi="仿宋" w:eastAsia="仿宋" w:cs="仿宋"/>
          <w:sz w:val="30"/>
          <w:szCs w:val="30"/>
        </w:rPr>
        <w:t>%；留</w:t>
      </w:r>
      <w:r>
        <w:rPr>
          <w:rFonts w:hint="eastAsia" w:ascii="仿宋" w:hAnsi="仿宋" w:eastAsia="仿宋" w:cs="仿宋"/>
          <w:sz w:val="30"/>
          <w:szCs w:val="30"/>
          <w:lang w:val="en-US" w:eastAsia="zh-CN"/>
        </w:rPr>
        <w:t>10</w:t>
      </w:r>
      <w:r>
        <w:rPr>
          <w:rFonts w:hint="eastAsia" w:ascii="仿宋" w:hAnsi="仿宋" w:eastAsia="仿宋" w:cs="仿宋"/>
          <w:sz w:val="30"/>
          <w:szCs w:val="30"/>
        </w:rPr>
        <w:t>%质保金使用一年后无质量问题一次付清。</w:t>
      </w:r>
    </w:p>
    <w:p>
      <w:pPr>
        <w:spacing w:line="480" w:lineRule="exact"/>
        <w:ind w:firstLine="600" w:firstLineChars="200"/>
        <w:rPr>
          <w:rFonts w:ascii="仿宋" w:hAnsi="仿宋" w:eastAsia="仿宋" w:cs="仿宋"/>
          <w:sz w:val="30"/>
          <w:szCs w:val="30"/>
        </w:rPr>
      </w:pPr>
      <w:r>
        <w:rPr>
          <w:rFonts w:ascii="仿宋" w:hAnsi="仿宋" w:eastAsia="仿宋" w:cs="仿宋"/>
          <w:sz w:val="30"/>
          <w:szCs w:val="30"/>
        </w:rPr>
        <w:t>备注：付款前必须提供相应增值税发票（也可一次性开具合同全额税票）。</w:t>
      </w:r>
    </w:p>
    <w:p>
      <w:pPr>
        <w:spacing w:line="48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（九）供应商资格和履约能力要求：</w:t>
      </w:r>
    </w:p>
    <w:p>
      <w:pPr>
        <w:spacing w:line="480" w:lineRule="exact"/>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1.资质要求：</w:t>
      </w:r>
    </w:p>
    <w:p>
      <w:pPr>
        <w:spacing w:line="480" w:lineRule="exact"/>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1</w:t>
      </w:r>
      <w:r>
        <w:rPr>
          <w:rFonts w:hint="eastAsia" w:ascii="仿宋" w:hAnsi="仿宋" w:eastAsia="仿宋" w:cs="仿宋"/>
          <w:sz w:val="30"/>
          <w:szCs w:val="30"/>
          <w:lang w:eastAsia="zh-CN"/>
        </w:rPr>
        <w:t>）供应商须为中华人民共和国境内依法注册的法人或者其他组织，有能力完成本项目的厂家或经销商，具备合法的营业执照</w:t>
      </w:r>
      <w:r>
        <w:rPr>
          <w:rFonts w:hint="eastAsia" w:ascii="仿宋" w:hAnsi="仿宋" w:eastAsia="仿宋" w:cs="仿宋"/>
          <w:sz w:val="30"/>
          <w:szCs w:val="30"/>
          <w:highlight w:val="none"/>
          <w:lang w:val="en-US" w:eastAsia="zh-CN"/>
        </w:rPr>
        <w:t>；</w:t>
      </w:r>
    </w:p>
    <w:p>
      <w:pPr>
        <w:spacing w:line="480" w:lineRule="exact"/>
        <w:ind w:firstLine="620" w:firstLineChars="200"/>
        <w:rPr>
          <w:rFonts w:hint="eastAsia" w:ascii="仿宋" w:hAnsi="仿宋" w:eastAsia="仿宋" w:cs="仿宋"/>
          <w:sz w:val="30"/>
          <w:szCs w:val="30"/>
          <w:highlight w:val="yellow"/>
          <w:lang w:eastAsia="zh-CN"/>
        </w:rPr>
      </w:pPr>
      <w:r>
        <w:rPr>
          <w:rFonts w:hint="eastAsia" w:ascii="仿宋" w:hAnsi="仿宋" w:eastAsia="仿宋" w:cs="仿宋"/>
          <w:i w:val="0"/>
          <w:iCs w:val="0"/>
          <w:caps w:val="0"/>
          <w:color w:val="000000"/>
          <w:spacing w:val="0"/>
          <w:sz w:val="31"/>
          <w:szCs w:val="31"/>
          <w:lang w:eastAsia="zh-CN"/>
        </w:rPr>
        <w:t>（</w:t>
      </w:r>
      <w:r>
        <w:rPr>
          <w:rFonts w:hint="eastAsia" w:ascii="仿宋" w:hAnsi="仿宋" w:eastAsia="仿宋" w:cs="仿宋"/>
          <w:i w:val="0"/>
          <w:iCs w:val="0"/>
          <w:caps w:val="0"/>
          <w:color w:val="000000"/>
          <w:spacing w:val="0"/>
          <w:sz w:val="31"/>
          <w:szCs w:val="31"/>
          <w:lang w:val="en-US" w:eastAsia="zh-CN"/>
        </w:rPr>
        <w:t>2</w:t>
      </w:r>
      <w:r>
        <w:rPr>
          <w:rFonts w:hint="eastAsia" w:ascii="仿宋" w:hAnsi="仿宋" w:eastAsia="仿宋" w:cs="仿宋"/>
          <w:i w:val="0"/>
          <w:iCs w:val="0"/>
          <w:caps w:val="0"/>
          <w:color w:val="000000"/>
          <w:spacing w:val="0"/>
          <w:sz w:val="31"/>
          <w:szCs w:val="31"/>
          <w:lang w:eastAsia="zh-CN"/>
        </w:rPr>
        <w:t>）</w:t>
      </w:r>
      <w:r>
        <w:rPr>
          <w:rFonts w:ascii="仿宋" w:hAnsi="仿宋" w:eastAsia="仿宋" w:cs="仿宋"/>
          <w:i w:val="0"/>
          <w:iCs w:val="0"/>
          <w:caps w:val="0"/>
          <w:color w:val="000000"/>
          <w:spacing w:val="0"/>
          <w:sz w:val="31"/>
          <w:szCs w:val="31"/>
        </w:rPr>
        <w:t>供应商</w:t>
      </w:r>
      <w:r>
        <w:rPr>
          <w:rFonts w:ascii="仿宋" w:hAnsi="仿宋" w:eastAsia="仿宋" w:cs="仿宋"/>
          <w:sz w:val="30"/>
          <w:szCs w:val="30"/>
        </w:rPr>
        <w:t>须具有履行合同所必需的设备和专业技术能力；</w:t>
      </w:r>
    </w:p>
    <w:p>
      <w:pPr>
        <w:spacing w:line="480" w:lineRule="exact"/>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lang w:eastAsia="zh-CN"/>
        </w:rPr>
        <w:t>）人员要求：</w:t>
      </w:r>
      <w:r>
        <w:rPr>
          <w:rFonts w:hint="eastAsia" w:ascii="仿宋" w:hAnsi="仿宋" w:eastAsia="仿宋" w:cs="仿宋"/>
          <w:sz w:val="30"/>
          <w:szCs w:val="30"/>
          <w:lang w:eastAsia="zh-CN"/>
        </w:rPr>
        <w:t>工程师须持应急管理部</w:t>
      </w:r>
      <w:r>
        <w:rPr>
          <w:rFonts w:hint="eastAsia" w:ascii="仿宋" w:hAnsi="仿宋" w:eastAsia="仿宋" w:cs="仿宋"/>
          <w:sz w:val="30"/>
          <w:szCs w:val="30"/>
          <w:lang w:val="en-US" w:eastAsia="zh-CN"/>
        </w:rPr>
        <w:t>门（非第三方公司）</w:t>
      </w:r>
      <w:r>
        <w:rPr>
          <w:rFonts w:hint="eastAsia" w:ascii="仿宋" w:hAnsi="仿宋" w:eastAsia="仿宋" w:cs="仿宋"/>
          <w:sz w:val="30"/>
          <w:szCs w:val="30"/>
          <w:lang w:eastAsia="zh-CN"/>
        </w:rPr>
        <w:t>颁发的特</w:t>
      </w:r>
      <w:r>
        <w:rPr>
          <w:rFonts w:hint="eastAsia" w:ascii="仿宋" w:hAnsi="仿宋" w:eastAsia="仿宋" w:cs="仿宋"/>
          <w:sz w:val="30"/>
          <w:szCs w:val="30"/>
          <w:lang w:val="en-US" w:eastAsia="zh-CN"/>
        </w:rPr>
        <w:t>种</w:t>
      </w:r>
      <w:r>
        <w:rPr>
          <w:rFonts w:hint="eastAsia" w:ascii="仿宋" w:hAnsi="仿宋" w:eastAsia="仿宋" w:cs="仿宋"/>
          <w:sz w:val="30"/>
          <w:szCs w:val="30"/>
          <w:lang w:eastAsia="zh-CN"/>
        </w:rPr>
        <w:t>作业操作证，包含低压电工证和自动化控制仪表</w:t>
      </w:r>
      <w:r>
        <w:rPr>
          <w:rFonts w:hint="eastAsia" w:ascii="仿宋" w:hAnsi="仿宋" w:eastAsia="仿宋" w:cs="仿宋"/>
          <w:sz w:val="30"/>
          <w:szCs w:val="30"/>
          <w:lang w:val="en-US" w:eastAsia="zh-CN"/>
        </w:rPr>
        <w:t>类</w:t>
      </w:r>
      <w:r>
        <w:rPr>
          <w:rFonts w:hint="eastAsia" w:ascii="仿宋" w:hAnsi="仿宋" w:eastAsia="仿宋" w:cs="仿宋"/>
          <w:sz w:val="30"/>
          <w:szCs w:val="30"/>
          <w:lang w:eastAsia="zh-CN"/>
        </w:rPr>
        <w:t>作业证；施工人员</w:t>
      </w:r>
      <w:r>
        <w:rPr>
          <w:rFonts w:hint="eastAsia" w:ascii="仿宋" w:hAnsi="仿宋" w:eastAsia="仿宋" w:cs="仿宋"/>
          <w:sz w:val="30"/>
          <w:szCs w:val="30"/>
          <w:lang w:val="en-US" w:eastAsia="zh-CN"/>
        </w:rPr>
        <w:t>须有</w:t>
      </w:r>
      <w:r>
        <w:rPr>
          <w:rFonts w:hint="eastAsia" w:ascii="仿宋" w:hAnsi="仿宋" w:eastAsia="仿宋" w:cs="仿宋"/>
          <w:sz w:val="30"/>
          <w:szCs w:val="30"/>
          <w:lang w:eastAsia="zh-CN"/>
        </w:rPr>
        <w:t>低压电工证、登高作业证等；</w:t>
      </w:r>
    </w:p>
    <w:p>
      <w:pPr>
        <w:spacing w:line="480" w:lineRule="exact"/>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4</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保险：全体施工人员须有意外保险，每人不低于60万元。</w:t>
      </w:r>
    </w:p>
    <w:p>
      <w:pPr>
        <w:spacing w:line="480" w:lineRule="exact"/>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eastAsia="zh-CN"/>
        </w:rPr>
        <w:t>2.信用要求：</w:t>
      </w:r>
    </w:p>
    <w:p>
      <w:pPr>
        <w:spacing w:line="480" w:lineRule="exact"/>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eastAsia="zh-CN"/>
        </w:rPr>
        <w:t>（1）供应商具有良好的银行资信和商业信誉，没有处于被责令停业、财产被接管、冻结、破产状态（附承诺书）</w:t>
      </w:r>
      <w:r>
        <w:rPr>
          <w:rFonts w:hint="eastAsia" w:ascii="仿宋" w:hAnsi="仿宋" w:eastAsia="仿宋" w:cs="仿宋"/>
          <w:sz w:val="30"/>
          <w:szCs w:val="30"/>
          <w:lang w:val="en-US" w:eastAsia="zh-CN"/>
        </w:rPr>
        <w:t>；</w:t>
      </w:r>
    </w:p>
    <w:p>
      <w:pPr>
        <w:spacing w:line="480" w:lineRule="exact"/>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eastAsia="zh-CN"/>
        </w:rPr>
        <w:t>（2）供应商不得在“信用中国-中国执行信息公开网”被列为失信被执行人；</w:t>
      </w:r>
    </w:p>
    <w:p>
      <w:pPr>
        <w:spacing w:line="480" w:lineRule="exact"/>
        <w:ind w:firstLine="600" w:firstLineChars="200"/>
        <w:rPr>
          <w:rFonts w:hint="default" w:ascii="仿宋" w:hAnsi="仿宋" w:eastAsia="仿宋" w:cs="仿宋"/>
          <w:sz w:val="30"/>
          <w:szCs w:val="30"/>
          <w:highlight w:val="green"/>
          <w:lang w:val="en-US" w:eastAsia="zh-CN"/>
        </w:rPr>
      </w:pPr>
      <w:r>
        <w:rPr>
          <w:rFonts w:hint="eastAsia" w:ascii="仿宋" w:hAnsi="仿宋" w:eastAsia="仿宋" w:cs="仿宋"/>
          <w:sz w:val="30"/>
          <w:szCs w:val="30"/>
          <w:highlight w:val="none"/>
          <w:lang w:eastAsia="zh-CN"/>
        </w:rPr>
        <w:t>3.业绩要求：</w:t>
      </w:r>
      <w:r>
        <w:rPr>
          <w:rFonts w:hint="eastAsia" w:ascii="仿宋" w:hAnsi="仿宋" w:eastAsia="仿宋" w:cs="仿宋"/>
          <w:sz w:val="30"/>
          <w:szCs w:val="30"/>
          <w:lang w:eastAsia="zh-CN"/>
        </w:rPr>
        <w:t>供应商202</w:t>
      </w:r>
      <w:r>
        <w:rPr>
          <w:rFonts w:hint="eastAsia" w:ascii="仿宋" w:hAnsi="仿宋" w:eastAsia="仿宋" w:cs="仿宋"/>
          <w:sz w:val="30"/>
          <w:szCs w:val="30"/>
          <w:lang w:val="en-US" w:eastAsia="zh-CN"/>
        </w:rPr>
        <w:t>3</w:t>
      </w:r>
      <w:r>
        <w:rPr>
          <w:rFonts w:hint="eastAsia" w:ascii="仿宋" w:hAnsi="仿宋" w:eastAsia="仿宋" w:cs="仿宋"/>
          <w:sz w:val="30"/>
          <w:szCs w:val="30"/>
          <w:lang w:eastAsia="zh-CN"/>
        </w:rPr>
        <w:t>年</w:t>
      </w:r>
      <w:r>
        <w:rPr>
          <w:rFonts w:hint="eastAsia" w:ascii="仿宋" w:hAnsi="仿宋" w:eastAsia="仿宋" w:cs="仿宋"/>
          <w:sz w:val="30"/>
          <w:szCs w:val="30"/>
          <w:lang w:val="en-US" w:eastAsia="zh-CN"/>
        </w:rPr>
        <w:t>1</w:t>
      </w:r>
      <w:r>
        <w:rPr>
          <w:rFonts w:hint="eastAsia" w:ascii="仿宋" w:hAnsi="仿宋" w:eastAsia="仿宋" w:cs="仿宋"/>
          <w:sz w:val="30"/>
          <w:szCs w:val="30"/>
          <w:lang w:eastAsia="zh-CN"/>
        </w:rPr>
        <w:t>月至今具有类似业绩（提供合同复印件，时间以合同签订时间为准），</w:t>
      </w:r>
      <w:r>
        <w:rPr>
          <w:rFonts w:hint="eastAsia" w:ascii="仿宋" w:hAnsi="仿宋" w:eastAsia="仿宋" w:cs="仿宋"/>
          <w:color w:val="auto"/>
          <w:sz w:val="30"/>
          <w:szCs w:val="30"/>
          <w:highlight w:val="none"/>
          <w:lang w:val="en-US" w:eastAsia="zh-CN"/>
        </w:rPr>
        <w:t>无业绩否决其响应文件。</w:t>
      </w:r>
    </w:p>
    <w:p>
      <w:pPr>
        <w:spacing w:line="480" w:lineRule="exact"/>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highlight w:val="none"/>
          <w:lang w:eastAsia="zh-CN"/>
        </w:rPr>
        <w:t>类似业绩</w:t>
      </w:r>
      <w:r>
        <w:rPr>
          <w:rFonts w:hint="eastAsia" w:ascii="仿宋" w:hAnsi="仿宋" w:eastAsia="仿宋" w:cs="仿宋"/>
          <w:sz w:val="30"/>
          <w:szCs w:val="30"/>
          <w:lang w:val="en-US" w:eastAsia="zh-CN"/>
        </w:rPr>
        <w:t>指的是</w:t>
      </w:r>
      <w:r>
        <w:rPr>
          <w:rFonts w:hint="eastAsia" w:ascii="仿宋" w:hAnsi="仿宋" w:eastAsia="仿宋" w:cs="仿宋"/>
          <w:color w:val="auto"/>
          <w:sz w:val="30"/>
          <w:szCs w:val="30"/>
          <w:highlight w:val="none"/>
          <w:lang w:val="en-US" w:eastAsia="zh-CN"/>
        </w:rPr>
        <w:t>主导完成自动控制系统新建、迁移、改造项目，涉及控制系统电气电路、网络的施工及调试。</w:t>
      </w:r>
    </w:p>
    <w:p>
      <w:pPr>
        <w:spacing w:line="480" w:lineRule="exact"/>
        <w:ind w:firstLine="600" w:firstLineChars="20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4.施工方案：编制完整的施工及调试方案，无施工方案否决其响应文件。方案应附工程师及施工人员对应证件扫描件，且与实际下厂人员保持“人证一致”。人员到厂后，现场审查资料包含但不限于以下内容项：</w:t>
      </w:r>
    </w:p>
    <w:tbl>
      <w:tblPr>
        <w:tblStyle w:val="8"/>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
        <w:gridCol w:w="830"/>
        <w:gridCol w:w="3738"/>
        <w:gridCol w:w="3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35" w:type="dxa"/>
            <w:noWrap w:val="0"/>
            <w:vAlign w:val="center"/>
          </w:tcPr>
          <w:p>
            <w:pPr>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序号</w:t>
            </w:r>
          </w:p>
        </w:tc>
        <w:tc>
          <w:tcPr>
            <w:tcW w:w="830" w:type="dxa"/>
            <w:noWrap w:val="0"/>
            <w:vAlign w:val="center"/>
          </w:tcPr>
          <w:p>
            <w:pPr>
              <w:jc w:val="center"/>
              <w:rPr>
                <w:rFonts w:hint="eastAsia"/>
                <w:b w:val="0"/>
                <w:bCs w:val="0"/>
                <w:sz w:val="24"/>
                <w:szCs w:val="24"/>
                <w:vertAlign w:val="baseline"/>
                <w:lang w:val="en-US" w:eastAsia="zh-CN"/>
              </w:rPr>
            </w:pPr>
            <w:r>
              <w:rPr>
                <w:rFonts w:hint="eastAsia"/>
                <w:b w:val="0"/>
                <w:bCs w:val="0"/>
                <w:sz w:val="24"/>
                <w:szCs w:val="24"/>
                <w:vertAlign w:val="baseline"/>
                <w:lang w:val="en-US" w:eastAsia="zh-CN"/>
              </w:rPr>
              <w:t>资质</w:t>
            </w:r>
          </w:p>
        </w:tc>
        <w:tc>
          <w:tcPr>
            <w:tcW w:w="3738" w:type="dxa"/>
            <w:noWrap w:val="0"/>
            <w:vAlign w:val="center"/>
          </w:tcPr>
          <w:p>
            <w:pPr>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项目</w:t>
            </w:r>
          </w:p>
        </w:tc>
        <w:tc>
          <w:tcPr>
            <w:tcW w:w="3317" w:type="dxa"/>
            <w:noWrap w:val="0"/>
            <w:vAlign w:val="center"/>
          </w:tcPr>
          <w:p>
            <w:pPr>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5" w:type="dxa"/>
            <w:noWrap w:val="0"/>
            <w:vAlign w:val="center"/>
          </w:tcPr>
          <w:p>
            <w:pPr>
              <w:jc w:val="center"/>
              <w:rPr>
                <w:rFonts w:hint="default" w:ascii="Calibri" w:hAnsi="Calibri" w:eastAsia="宋体" w:cs="Times New Roman"/>
                <w:b w:val="0"/>
                <w:bCs w:val="0"/>
                <w:kern w:val="2"/>
                <w:sz w:val="24"/>
                <w:szCs w:val="24"/>
                <w:vertAlign w:val="baseline"/>
                <w:lang w:val="en-US" w:eastAsia="zh-CN" w:bidi="ar-SA"/>
              </w:rPr>
            </w:pPr>
            <w:r>
              <w:rPr>
                <w:rFonts w:hint="eastAsia" w:cs="Times New Roman"/>
                <w:b w:val="0"/>
                <w:bCs w:val="0"/>
                <w:kern w:val="2"/>
                <w:sz w:val="24"/>
                <w:szCs w:val="24"/>
                <w:vertAlign w:val="baseline"/>
                <w:lang w:val="en-US" w:eastAsia="zh-CN" w:bidi="ar-SA"/>
              </w:rPr>
              <w:t>1</w:t>
            </w:r>
          </w:p>
        </w:tc>
        <w:tc>
          <w:tcPr>
            <w:tcW w:w="830" w:type="dxa"/>
            <w:vMerge w:val="restart"/>
            <w:noWrap w:val="0"/>
            <w:vAlign w:val="center"/>
          </w:tcPr>
          <w:p>
            <w:pPr>
              <w:jc w:val="center"/>
              <w:rPr>
                <w:rFonts w:hint="eastAsia"/>
                <w:b w:val="0"/>
                <w:bCs w:val="0"/>
                <w:sz w:val="24"/>
                <w:szCs w:val="24"/>
                <w:vertAlign w:val="baseline"/>
                <w:lang w:val="en-US" w:eastAsia="zh-CN"/>
              </w:rPr>
            </w:pPr>
            <w:r>
              <w:rPr>
                <w:rFonts w:hint="eastAsia"/>
                <w:b w:val="0"/>
                <w:bCs w:val="0"/>
                <w:sz w:val="24"/>
                <w:szCs w:val="24"/>
                <w:vertAlign w:val="baseline"/>
                <w:lang w:val="en-US" w:eastAsia="zh-CN"/>
              </w:rPr>
              <w:t>人员</w:t>
            </w:r>
          </w:p>
          <w:p>
            <w:pPr>
              <w:jc w:val="center"/>
              <w:rPr>
                <w:rFonts w:hint="eastAsia"/>
                <w:b w:val="0"/>
                <w:bCs w:val="0"/>
                <w:sz w:val="24"/>
                <w:szCs w:val="24"/>
                <w:vertAlign w:val="baseline"/>
                <w:lang w:val="en-US" w:eastAsia="zh-CN"/>
              </w:rPr>
            </w:pPr>
            <w:r>
              <w:rPr>
                <w:rFonts w:hint="eastAsia"/>
                <w:b w:val="0"/>
                <w:bCs w:val="0"/>
                <w:sz w:val="24"/>
                <w:szCs w:val="24"/>
                <w:vertAlign w:val="baseline"/>
                <w:lang w:val="en-US" w:eastAsia="zh-CN"/>
              </w:rPr>
              <w:t>资质</w:t>
            </w:r>
          </w:p>
        </w:tc>
        <w:tc>
          <w:tcPr>
            <w:tcW w:w="3738" w:type="dxa"/>
            <w:noWrap w:val="0"/>
            <w:vAlign w:val="center"/>
          </w:tcPr>
          <w:p>
            <w:pPr>
              <w:tabs>
                <w:tab w:val="center" w:pos="2057"/>
                <w:tab w:val="right" w:pos="3994"/>
              </w:tabs>
              <w:jc w:val="center"/>
              <w:rPr>
                <w:rFonts w:hint="eastAsia"/>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人员清单</w:t>
            </w:r>
          </w:p>
        </w:tc>
        <w:tc>
          <w:tcPr>
            <w:tcW w:w="331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alibri" w:hAnsi="Calibri" w:eastAsia="宋体" w:cs="Times New Roman"/>
                <w:b w:val="0"/>
                <w:bCs w:val="0"/>
                <w:kern w:val="2"/>
                <w:sz w:val="18"/>
                <w:szCs w:val="18"/>
                <w:highlight w:val="none"/>
                <w:vertAlign w:val="baseline"/>
                <w:lang w:val="en-US" w:eastAsia="zh-CN" w:bidi="ar-SA"/>
              </w:rPr>
            </w:pPr>
            <w:r>
              <w:rPr>
                <w:rFonts w:hint="eastAsia" w:cs="Times New Roman"/>
                <w:b w:val="0"/>
                <w:bCs w:val="0"/>
                <w:kern w:val="2"/>
                <w:sz w:val="18"/>
                <w:szCs w:val="18"/>
                <w:highlight w:val="none"/>
                <w:vertAlign w:val="baseline"/>
                <w:lang w:val="en-US" w:eastAsia="zh-CN" w:bidi="ar-SA"/>
              </w:rPr>
              <w:t>姓名、电话，身份证，工种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5" w:type="dxa"/>
            <w:noWrap w:val="0"/>
            <w:vAlign w:val="center"/>
          </w:tcPr>
          <w:p>
            <w:pPr>
              <w:jc w:val="center"/>
              <w:rPr>
                <w:rFonts w:hint="default" w:ascii="Calibri" w:hAnsi="Calibri" w:eastAsia="宋体" w:cs="Times New Roman"/>
                <w:b w:val="0"/>
                <w:bCs w:val="0"/>
                <w:kern w:val="2"/>
                <w:sz w:val="24"/>
                <w:szCs w:val="24"/>
                <w:vertAlign w:val="baseline"/>
                <w:lang w:val="en-US" w:eastAsia="zh-CN" w:bidi="ar-SA"/>
              </w:rPr>
            </w:pPr>
            <w:r>
              <w:rPr>
                <w:rFonts w:hint="eastAsia" w:cs="Times New Roman"/>
                <w:b w:val="0"/>
                <w:bCs w:val="0"/>
                <w:kern w:val="2"/>
                <w:sz w:val="24"/>
                <w:szCs w:val="24"/>
                <w:vertAlign w:val="baseline"/>
                <w:lang w:val="en-US" w:eastAsia="zh-CN" w:bidi="ar-SA"/>
              </w:rPr>
              <w:t>2</w:t>
            </w:r>
          </w:p>
        </w:tc>
        <w:tc>
          <w:tcPr>
            <w:tcW w:w="830" w:type="dxa"/>
            <w:vMerge w:val="continue"/>
            <w:noWrap w:val="0"/>
            <w:vAlign w:val="center"/>
          </w:tcPr>
          <w:p>
            <w:pPr>
              <w:jc w:val="center"/>
              <w:rPr>
                <w:rFonts w:hint="eastAsia"/>
                <w:b w:val="0"/>
                <w:bCs w:val="0"/>
                <w:sz w:val="24"/>
                <w:szCs w:val="24"/>
                <w:vertAlign w:val="baseline"/>
                <w:lang w:val="en-US" w:eastAsia="zh-CN"/>
              </w:rPr>
            </w:pPr>
          </w:p>
        </w:tc>
        <w:tc>
          <w:tcPr>
            <w:tcW w:w="3738" w:type="dxa"/>
            <w:noWrap w:val="0"/>
            <w:vAlign w:val="center"/>
          </w:tcPr>
          <w:p>
            <w:pPr>
              <w:jc w:val="center"/>
              <w:rPr>
                <w:rFonts w:hint="default" w:ascii="Calibri" w:hAnsi="Calibri" w:eastAsia="宋体" w:cs="Times New Roman"/>
                <w:b w:val="0"/>
                <w:bCs w:val="0"/>
                <w:kern w:val="2"/>
                <w:sz w:val="24"/>
                <w:szCs w:val="24"/>
                <w:highlight w:val="none"/>
                <w:vertAlign w:val="baseline"/>
                <w:lang w:val="en-US" w:eastAsia="zh-CN" w:bidi="ar-SA"/>
              </w:rPr>
            </w:pPr>
            <w:r>
              <w:rPr>
                <w:rFonts w:hint="eastAsia"/>
                <w:b w:val="0"/>
                <w:bCs w:val="0"/>
                <w:sz w:val="24"/>
                <w:szCs w:val="24"/>
                <w:highlight w:val="none"/>
                <w:vertAlign w:val="baseline"/>
                <w:lang w:val="en-US" w:eastAsia="zh-CN"/>
              </w:rPr>
              <w:t>施工人员身份证复印件</w:t>
            </w:r>
          </w:p>
        </w:tc>
        <w:tc>
          <w:tcPr>
            <w:tcW w:w="331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b w:val="0"/>
                <w:bCs w:val="0"/>
                <w:sz w:val="18"/>
                <w:szCs w:val="18"/>
                <w:highlight w:val="none"/>
                <w:vertAlign w:val="baseline"/>
                <w:lang w:val="en-US" w:eastAsia="zh-CN"/>
              </w:rPr>
            </w:pPr>
            <w:r>
              <w:rPr>
                <w:rFonts w:hint="eastAsia"/>
                <w:b w:val="0"/>
                <w:bCs w:val="0"/>
                <w:sz w:val="18"/>
                <w:szCs w:val="18"/>
                <w:highlight w:val="none"/>
                <w:vertAlign w:val="baseline"/>
                <w:lang w:val="en-US" w:eastAsia="zh-CN"/>
              </w:rPr>
              <w:t>正反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5" w:type="dxa"/>
            <w:noWrap w:val="0"/>
            <w:vAlign w:val="center"/>
          </w:tcPr>
          <w:p>
            <w:pPr>
              <w:jc w:val="center"/>
              <w:rPr>
                <w:rFonts w:hint="default" w:ascii="Calibri" w:hAnsi="Calibri" w:eastAsia="宋体" w:cs="Times New Roman"/>
                <w:b w:val="0"/>
                <w:bCs w:val="0"/>
                <w:kern w:val="2"/>
                <w:sz w:val="24"/>
                <w:szCs w:val="24"/>
                <w:vertAlign w:val="baseline"/>
                <w:lang w:val="en-US" w:eastAsia="zh-CN" w:bidi="ar-SA"/>
              </w:rPr>
            </w:pPr>
            <w:r>
              <w:rPr>
                <w:rFonts w:hint="eastAsia" w:cs="Times New Roman"/>
                <w:b w:val="0"/>
                <w:bCs w:val="0"/>
                <w:kern w:val="2"/>
                <w:sz w:val="24"/>
                <w:szCs w:val="24"/>
                <w:vertAlign w:val="baseline"/>
                <w:lang w:val="en-US" w:eastAsia="zh-CN" w:bidi="ar-SA"/>
              </w:rPr>
              <w:t>3</w:t>
            </w:r>
          </w:p>
        </w:tc>
        <w:tc>
          <w:tcPr>
            <w:tcW w:w="830" w:type="dxa"/>
            <w:vMerge w:val="continue"/>
            <w:noWrap w:val="0"/>
            <w:vAlign w:val="center"/>
          </w:tcPr>
          <w:p>
            <w:pPr>
              <w:jc w:val="center"/>
              <w:rPr>
                <w:rFonts w:hint="eastAsia"/>
                <w:b w:val="0"/>
                <w:bCs w:val="0"/>
                <w:sz w:val="24"/>
                <w:szCs w:val="24"/>
                <w:vertAlign w:val="baseline"/>
                <w:lang w:val="en-US" w:eastAsia="zh-CN"/>
              </w:rPr>
            </w:pPr>
          </w:p>
        </w:tc>
        <w:tc>
          <w:tcPr>
            <w:tcW w:w="3738" w:type="dxa"/>
            <w:noWrap w:val="0"/>
            <w:vAlign w:val="center"/>
          </w:tcPr>
          <w:p>
            <w:pPr>
              <w:jc w:val="center"/>
              <w:rPr>
                <w:rFonts w:hint="eastAsia" w:ascii="Calibri" w:hAnsi="Calibri" w:eastAsia="宋体" w:cs="Times New Roman"/>
                <w:b w:val="0"/>
                <w:bCs w:val="0"/>
                <w:kern w:val="2"/>
                <w:sz w:val="24"/>
                <w:szCs w:val="24"/>
                <w:highlight w:val="none"/>
                <w:vertAlign w:val="baseline"/>
                <w:lang w:val="en-US" w:eastAsia="zh-CN" w:bidi="ar-SA"/>
              </w:rPr>
            </w:pPr>
            <w:r>
              <w:rPr>
                <w:rFonts w:hint="eastAsia"/>
                <w:b w:val="0"/>
                <w:bCs w:val="0"/>
                <w:sz w:val="24"/>
                <w:szCs w:val="24"/>
                <w:highlight w:val="none"/>
                <w:vertAlign w:val="baseline"/>
                <w:lang w:val="en-US" w:eastAsia="zh-CN"/>
              </w:rPr>
              <w:t>特种（设备）作业操作证</w:t>
            </w:r>
          </w:p>
        </w:tc>
        <w:tc>
          <w:tcPr>
            <w:tcW w:w="3317" w:type="dxa"/>
            <w:noWrap w:val="0"/>
            <w:vAlign w:val="center"/>
          </w:tcPr>
          <w:p>
            <w:pPr>
              <w:jc w:val="center"/>
              <w:rPr>
                <w:rFonts w:hint="default"/>
                <w:b w:val="0"/>
                <w:bCs w:val="0"/>
                <w:sz w:val="18"/>
                <w:szCs w:val="18"/>
                <w:highlight w:val="none"/>
                <w:vertAlign w:val="baseline"/>
                <w:lang w:val="en-US" w:eastAsia="zh-CN"/>
              </w:rPr>
            </w:pPr>
            <w:r>
              <w:rPr>
                <w:rFonts w:hint="eastAsia"/>
                <w:b w:val="0"/>
                <w:bCs w:val="0"/>
                <w:sz w:val="18"/>
                <w:szCs w:val="18"/>
                <w:highlight w:val="none"/>
                <w:vertAlign w:val="baseline"/>
                <w:lang w:val="en-US" w:eastAsia="zh-CN"/>
              </w:rPr>
              <w:t>在有效期，且为应急管理部门发证从事登高作业的登高证、电工证等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5" w:type="dxa"/>
            <w:noWrap w:val="0"/>
            <w:vAlign w:val="center"/>
          </w:tcPr>
          <w:p>
            <w:pPr>
              <w:jc w:val="center"/>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4</w:t>
            </w:r>
          </w:p>
        </w:tc>
        <w:tc>
          <w:tcPr>
            <w:tcW w:w="830" w:type="dxa"/>
            <w:vMerge w:val="continue"/>
            <w:noWrap w:val="0"/>
            <w:vAlign w:val="center"/>
          </w:tcPr>
          <w:p>
            <w:pPr>
              <w:jc w:val="center"/>
              <w:rPr>
                <w:rFonts w:hint="eastAsia"/>
                <w:b w:val="0"/>
                <w:bCs w:val="0"/>
                <w:sz w:val="24"/>
                <w:szCs w:val="24"/>
                <w:vertAlign w:val="baseline"/>
                <w:lang w:val="en-US" w:eastAsia="zh-CN"/>
              </w:rPr>
            </w:pPr>
          </w:p>
        </w:tc>
        <w:tc>
          <w:tcPr>
            <w:tcW w:w="3738" w:type="dxa"/>
            <w:noWrap w:val="0"/>
            <w:vAlign w:val="center"/>
          </w:tcPr>
          <w:p>
            <w:pPr>
              <w:jc w:val="center"/>
              <w:rPr>
                <w:rFonts w:hint="eastAsia" w:ascii="Calibri" w:hAnsi="Calibri" w:eastAsia="宋体" w:cs="Times New Roman"/>
                <w:b w:val="0"/>
                <w:bCs w:val="0"/>
                <w:kern w:val="2"/>
                <w:sz w:val="24"/>
                <w:szCs w:val="24"/>
                <w:highlight w:val="none"/>
                <w:vertAlign w:val="baseline"/>
                <w:lang w:val="en-US" w:eastAsia="zh-CN" w:bidi="ar-SA"/>
              </w:rPr>
            </w:pPr>
            <w:r>
              <w:rPr>
                <w:rFonts w:hint="eastAsia"/>
                <w:b w:val="0"/>
                <w:bCs w:val="0"/>
                <w:sz w:val="24"/>
                <w:szCs w:val="24"/>
                <w:highlight w:val="none"/>
                <w:vertAlign w:val="baseline"/>
                <w:lang w:val="en-US" w:eastAsia="zh-CN"/>
              </w:rPr>
              <w:t>劳动合同复印件</w:t>
            </w:r>
          </w:p>
        </w:tc>
        <w:tc>
          <w:tcPr>
            <w:tcW w:w="3317" w:type="dxa"/>
            <w:noWrap w:val="0"/>
            <w:vAlign w:val="center"/>
          </w:tcPr>
          <w:p>
            <w:pPr>
              <w:jc w:val="center"/>
              <w:rPr>
                <w:rFonts w:hint="default"/>
                <w:b w:val="0"/>
                <w:bCs w:val="0"/>
                <w:sz w:val="18"/>
                <w:szCs w:val="18"/>
                <w:highlight w:val="none"/>
                <w:vertAlign w:val="baseline"/>
                <w:lang w:val="en-US" w:eastAsia="zh-CN"/>
              </w:rPr>
            </w:pPr>
            <w:r>
              <w:rPr>
                <w:rFonts w:hint="eastAsia"/>
                <w:b w:val="0"/>
                <w:bCs w:val="0"/>
                <w:sz w:val="18"/>
                <w:szCs w:val="18"/>
                <w:highlight w:val="none"/>
                <w:vertAlign w:val="baseline"/>
                <w:lang w:val="en-US" w:eastAsia="zh-CN"/>
              </w:rPr>
              <w:t>雇佣期满足施工期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5" w:type="dxa"/>
            <w:noWrap w:val="0"/>
            <w:vAlign w:val="center"/>
          </w:tcPr>
          <w:p>
            <w:pPr>
              <w:jc w:val="center"/>
              <w:rPr>
                <w:rFonts w:hint="default" w:ascii="Calibri" w:hAnsi="Calibri" w:eastAsia="宋体" w:cs="Times New Roman"/>
                <w:b w:val="0"/>
                <w:bCs w:val="0"/>
                <w:kern w:val="2"/>
                <w:sz w:val="24"/>
                <w:szCs w:val="24"/>
                <w:vertAlign w:val="baseline"/>
                <w:lang w:val="en-US" w:eastAsia="zh-CN" w:bidi="ar-SA"/>
              </w:rPr>
            </w:pPr>
            <w:r>
              <w:rPr>
                <w:rFonts w:hint="eastAsia" w:cs="Times New Roman"/>
                <w:b w:val="0"/>
                <w:bCs w:val="0"/>
                <w:kern w:val="2"/>
                <w:sz w:val="24"/>
                <w:szCs w:val="24"/>
                <w:vertAlign w:val="baseline"/>
                <w:lang w:val="en-US" w:eastAsia="zh-CN" w:bidi="ar-SA"/>
              </w:rPr>
              <w:t>5</w:t>
            </w:r>
          </w:p>
        </w:tc>
        <w:tc>
          <w:tcPr>
            <w:tcW w:w="830" w:type="dxa"/>
            <w:vMerge w:val="continue"/>
            <w:noWrap w:val="0"/>
            <w:vAlign w:val="center"/>
          </w:tcPr>
          <w:p>
            <w:pPr>
              <w:jc w:val="center"/>
              <w:rPr>
                <w:rFonts w:hint="eastAsia"/>
                <w:b w:val="0"/>
                <w:bCs w:val="0"/>
                <w:sz w:val="24"/>
                <w:szCs w:val="24"/>
                <w:vertAlign w:val="baseline"/>
                <w:lang w:val="en-US" w:eastAsia="zh-CN"/>
              </w:rPr>
            </w:pPr>
          </w:p>
        </w:tc>
        <w:tc>
          <w:tcPr>
            <w:tcW w:w="3738" w:type="dxa"/>
            <w:noWrap w:val="0"/>
            <w:vAlign w:val="center"/>
          </w:tcPr>
          <w:p>
            <w:pPr>
              <w:jc w:val="center"/>
              <w:rPr>
                <w:rFonts w:hint="default" w:ascii="Calibri" w:hAnsi="Calibri" w:eastAsia="宋体" w:cs="Times New Roman"/>
                <w:b w:val="0"/>
                <w:bCs w:val="0"/>
                <w:kern w:val="2"/>
                <w:sz w:val="24"/>
                <w:szCs w:val="24"/>
                <w:vertAlign w:val="baseline"/>
                <w:lang w:val="en-US" w:eastAsia="zh-CN" w:bidi="ar-SA"/>
              </w:rPr>
            </w:pPr>
            <w:r>
              <w:rPr>
                <w:rFonts w:hint="eastAsia"/>
                <w:b w:val="0"/>
                <w:bCs w:val="0"/>
                <w:sz w:val="24"/>
                <w:szCs w:val="24"/>
                <w:vertAlign w:val="baseline"/>
                <w:lang w:val="en-US" w:eastAsia="zh-CN"/>
              </w:rPr>
              <w:t>施工人员职业健康体检合格证明</w:t>
            </w:r>
          </w:p>
        </w:tc>
        <w:tc>
          <w:tcPr>
            <w:tcW w:w="331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b w:val="0"/>
                <w:bCs w:val="0"/>
                <w:sz w:val="18"/>
                <w:szCs w:val="18"/>
                <w:vertAlign w:val="baseline"/>
                <w:lang w:val="en-US" w:eastAsia="zh-CN"/>
              </w:rPr>
            </w:pPr>
            <w:r>
              <w:rPr>
                <w:rFonts w:hint="eastAsia"/>
                <w:b w:val="0"/>
                <w:bCs w:val="0"/>
                <w:sz w:val="18"/>
                <w:szCs w:val="18"/>
                <w:vertAlign w:val="baseline"/>
                <w:lang w:val="en-US" w:eastAsia="zh-CN"/>
              </w:rPr>
              <w:t>上岗前职业健康体检原件</w:t>
            </w:r>
          </w:p>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b w:val="0"/>
                <w:bCs w:val="0"/>
                <w:sz w:val="18"/>
                <w:szCs w:val="18"/>
                <w:vertAlign w:val="baseline"/>
                <w:lang w:val="en-US" w:eastAsia="zh-CN"/>
              </w:rPr>
            </w:pPr>
            <w:r>
              <w:rPr>
                <w:rFonts w:hint="eastAsia"/>
                <w:b w:val="0"/>
                <w:bCs w:val="0"/>
                <w:sz w:val="18"/>
                <w:szCs w:val="18"/>
                <w:vertAlign w:val="baseline"/>
                <w:lang w:val="en-US" w:eastAsia="zh-CN"/>
              </w:rPr>
              <w:t>（6月内）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5" w:type="dxa"/>
            <w:noWrap w:val="0"/>
            <w:vAlign w:val="center"/>
          </w:tcPr>
          <w:p>
            <w:pPr>
              <w:jc w:val="center"/>
              <w:rPr>
                <w:rFonts w:hint="default" w:ascii="Calibri" w:hAnsi="Calibri" w:eastAsia="宋体" w:cs="Times New Roman"/>
                <w:b w:val="0"/>
                <w:bCs w:val="0"/>
                <w:kern w:val="2"/>
                <w:sz w:val="24"/>
                <w:szCs w:val="24"/>
                <w:vertAlign w:val="baseline"/>
                <w:lang w:val="en-US" w:eastAsia="zh-CN" w:bidi="ar-SA"/>
              </w:rPr>
            </w:pPr>
            <w:r>
              <w:rPr>
                <w:rFonts w:hint="eastAsia" w:cs="Times New Roman"/>
                <w:b w:val="0"/>
                <w:bCs w:val="0"/>
                <w:kern w:val="2"/>
                <w:sz w:val="24"/>
                <w:szCs w:val="24"/>
                <w:vertAlign w:val="baseline"/>
                <w:lang w:val="en-US" w:eastAsia="zh-CN" w:bidi="ar-SA"/>
              </w:rPr>
              <w:t>6</w:t>
            </w:r>
          </w:p>
        </w:tc>
        <w:tc>
          <w:tcPr>
            <w:tcW w:w="830" w:type="dxa"/>
            <w:vMerge w:val="continue"/>
            <w:noWrap w:val="0"/>
            <w:vAlign w:val="center"/>
          </w:tcPr>
          <w:p>
            <w:pPr>
              <w:jc w:val="center"/>
              <w:rPr>
                <w:rFonts w:hint="eastAsia"/>
                <w:b w:val="0"/>
                <w:bCs w:val="0"/>
                <w:sz w:val="24"/>
                <w:szCs w:val="24"/>
                <w:vertAlign w:val="baseline"/>
                <w:lang w:val="en-US" w:eastAsia="zh-CN"/>
              </w:rPr>
            </w:pPr>
          </w:p>
        </w:tc>
        <w:tc>
          <w:tcPr>
            <w:tcW w:w="3738" w:type="dxa"/>
            <w:noWrap w:val="0"/>
            <w:vAlign w:val="center"/>
          </w:tcPr>
          <w:p>
            <w:pPr>
              <w:jc w:val="center"/>
              <w:rPr>
                <w:rFonts w:hint="default" w:ascii="Calibri" w:hAnsi="Calibri" w:eastAsia="宋体" w:cs="Times New Roman"/>
                <w:b w:val="0"/>
                <w:bCs w:val="0"/>
                <w:kern w:val="2"/>
                <w:sz w:val="24"/>
                <w:szCs w:val="24"/>
                <w:highlight w:val="none"/>
                <w:vertAlign w:val="baseline"/>
                <w:lang w:val="en-US" w:eastAsia="zh-CN" w:bidi="ar-SA"/>
              </w:rPr>
            </w:pPr>
            <w:r>
              <w:rPr>
                <w:rFonts w:hint="eastAsia"/>
                <w:b w:val="0"/>
                <w:bCs w:val="0"/>
                <w:sz w:val="24"/>
                <w:szCs w:val="24"/>
                <w:highlight w:val="none"/>
                <w:vertAlign w:val="baseline"/>
                <w:lang w:val="en-US" w:eastAsia="zh-CN"/>
              </w:rPr>
              <w:t>保险缴费证明</w:t>
            </w:r>
          </w:p>
        </w:tc>
        <w:tc>
          <w:tcPr>
            <w:tcW w:w="331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b w:val="0"/>
                <w:bCs w:val="0"/>
                <w:sz w:val="18"/>
                <w:szCs w:val="18"/>
                <w:highlight w:val="none"/>
                <w:vertAlign w:val="baseline"/>
                <w:lang w:val="en-US" w:eastAsia="zh-CN"/>
              </w:rPr>
            </w:pPr>
            <w:r>
              <w:rPr>
                <w:rFonts w:hint="eastAsia"/>
                <w:b w:val="0"/>
                <w:bCs w:val="0"/>
                <w:sz w:val="18"/>
                <w:szCs w:val="18"/>
                <w:highlight w:val="none"/>
                <w:vertAlign w:val="baseline"/>
                <w:lang w:val="en-US" w:eastAsia="zh-CN"/>
              </w:rPr>
              <w:t>须购买保险，且危险性较大的作业根据实际情况购买意外险</w:t>
            </w:r>
          </w:p>
        </w:tc>
      </w:tr>
    </w:tbl>
    <w:p>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5.</w:t>
      </w:r>
      <w:r>
        <w:rPr>
          <w:rFonts w:hint="eastAsia" w:ascii="仿宋" w:hAnsi="仿宋" w:eastAsia="仿宋" w:cs="仿宋"/>
          <w:sz w:val="30"/>
          <w:szCs w:val="30"/>
        </w:rPr>
        <w:t>联合体响应：</w:t>
      </w:r>
      <w:r>
        <w:rPr>
          <w:rFonts w:ascii="仿宋" w:hAnsi="仿宋" w:eastAsia="仿宋" w:cs="仿宋"/>
          <w:sz w:val="30"/>
          <w:szCs w:val="30"/>
        </w:rPr>
        <w:t>本项目不接受联合体投标。</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6</w:t>
      </w:r>
      <w:r>
        <w:rPr>
          <w:rFonts w:hint="eastAsia" w:ascii="仿宋" w:hAnsi="仿宋" w:eastAsia="仿宋" w:cs="仿宋"/>
          <w:sz w:val="30"/>
          <w:szCs w:val="30"/>
        </w:rPr>
        <w:t>.其他要求：</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供应商不得存在下列情形之一：</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（1）与采购人存在利害关系可能影响询比采购公正性；</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（2）法定代表人（单位负责人）为同一人或者存在控股、管理关系的不同法人或其他组织同时参加询比采购；</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（3）被依法暂停或者取消询比采购资格；</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（4）被责令停产停业、暂扣或者吊销许可证、暂扣或者吊销执照；</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（5）进入清算程序，或被宣告破产，或其他丧失履约能力的情形；</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（6）在最近三年内发生重大产品质量问题；</w:t>
      </w:r>
    </w:p>
    <w:p>
      <w:pPr>
        <w:spacing w:line="480" w:lineRule="exact"/>
        <w:ind w:firstLine="600" w:firstLineChars="200"/>
        <w:rPr>
          <w:rFonts w:hint="eastAsia" w:ascii="仿宋" w:hAnsi="仿宋" w:eastAsia="仿宋" w:cs="仿宋"/>
          <w:sz w:val="30"/>
          <w:szCs w:val="30"/>
          <w:lang w:eastAsia="zh-CN"/>
        </w:rPr>
      </w:pPr>
      <w:r>
        <w:rPr>
          <w:rFonts w:hint="eastAsia" w:ascii="仿宋" w:hAnsi="仿宋" w:eastAsia="仿宋" w:cs="仿宋"/>
          <w:sz w:val="30"/>
          <w:szCs w:val="30"/>
        </w:rPr>
        <w:t>（7）法律法规规定的其他情形</w:t>
      </w:r>
      <w:r>
        <w:rPr>
          <w:rFonts w:hint="eastAsia" w:ascii="仿宋" w:hAnsi="仿宋" w:eastAsia="仿宋" w:cs="仿宋"/>
          <w:sz w:val="30"/>
          <w:szCs w:val="30"/>
          <w:lang w:eastAsia="zh-CN"/>
        </w:rPr>
        <w:t>。</w:t>
      </w:r>
    </w:p>
    <w:p>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十</w:t>
      </w:r>
      <w:r>
        <w:rPr>
          <w:rFonts w:hint="eastAsia" w:ascii="仿宋" w:hAnsi="仿宋" w:eastAsia="仿宋" w:cs="仿宋"/>
          <w:sz w:val="30"/>
          <w:szCs w:val="30"/>
        </w:rPr>
        <w:t>）项目预算</w:t>
      </w:r>
      <w:r>
        <w:rPr>
          <w:rFonts w:hint="eastAsia" w:ascii="仿宋" w:hAnsi="仿宋" w:eastAsia="仿宋" w:cs="仿宋"/>
          <w:sz w:val="30"/>
          <w:szCs w:val="30"/>
          <w:lang w:eastAsia="zh-CN"/>
        </w:rPr>
        <w:t>：</w:t>
      </w:r>
      <w:r>
        <w:rPr>
          <w:rFonts w:hint="eastAsia" w:ascii="仿宋" w:hAnsi="仿宋" w:eastAsia="仿宋" w:cs="仿宋"/>
          <w:sz w:val="30"/>
          <w:szCs w:val="30"/>
        </w:rPr>
        <w:t>不超过</w:t>
      </w:r>
      <w:r>
        <w:rPr>
          <w:rFonts w:hint="eastAsia" w:ascii="仿宋" w:hAnsi="仿宋" w:eastAsia="仿宋" w:cs="仿宋"/>
          <w:sz w:val="30"/>
          <w:szCs w:val="30"/>
          <w:highlight w:val="none"/>
          <w:lang w:val="en-US" w:eastAsia="zh-CN"/>
        </w:rPr>
        <w:t>15.5</w:t>
      </w:r>
      <w:r>
        <w:rPr>
          <w:rFonts w:hint="eastAsia" w:ascii="仿宋" w:hAnsi="仿宋" w:eastAsia="仿宋" w:cs="仿宋"/>
          <w:sz w:val="30"/>
          <w:szCs w:val="30"/>
        </w:rPr>
        <w:t>万元。</w:t>
      </w:r>
    </w:p>
    <w:p>
      <w:pPr>
        <w:spacing w:line="480" w:lineRule="exact"/>
        <w:ind w:firstLine="602" w:firstLineChars="200"/>
        <w:rPr>
          <w:rFonts w:hint="eastAsia" w:ascii="仿宋" w:hAnsi="仿宋" w:eastAsia="仿宋" w:cs="仿宋"/>
          <w:b/>
          <w:bCs/>
          <w:color w:val="auto"/>
          <w:sz w:val="30"/>
          <w:szCs w:val="30"/>
        </w:rPr>
      </w:pPr>
      <w:r>
        <w:rPr>
          <w:rFonts w:hint="eastAsia" w:ascii="仿宋" w:hAnsi="仿宋" w:eastAsia="仿宋" w:cs="仿宋"/>
          <w:b/>
          <w:bCs/>
          <w:color w:val="auto"/>
          <w:sz w:val="30"/>
          <w:szCs w:val="30"/>
        </w:rPr>
        <w:t>二、询比采购文件的获取</w:t>
      </w:r>
    </w:p>
    <w:p>
      <w:pPr>
        <w:spacing w:line="48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询比采购文件在陕西锌业有限公司网络询比采购平台（www.sxxyjjpt.com）发布，符合条件的供应商可自行下载采购文件。</w:t>
      </w:r>
    </w:p>
    <w:p>
      <w:pPr>
        <w:spacing w:line="480" w:lineRule="exact"/>
        <w:ind w:firstLine="602" w:firstLineChars="200"/>
        <w:rPr>
          <w:rFonts w:hint="eastAsia" w:ascii="仿宋" w:hAnsi="仿宋" w:eastAsia="仿宋" w:cs="仿宋"/>
          <w:b/>
          <w:bCs/>
          <w:sz w:val="30"/>
          <w:szCs w:val="30"/>
        </w:rPr>
      </w:pPr>
      <w:r>
        <w:rPr>
          <w:rFonts w:hint="eastAsia" w:ascii="仿宋" w:hAnsi="仿宋" w:eastAsia="仿宋" w:cs="仿宋"/>
          <w:b/>
          <w:bCs/>
          <w:sz w:val="30"/>
          <w:szCs w:val="30"/>
        </w:rPr>
        <w:t>三、供应商响应</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（一）响应报价</w:t>
      </w:r>
    </w:p>
    <w:p>
      <w:pPr>
        <w:spacing w:line="480" w:lineRule="exact"/>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rPr>
        <w:t>1.供应商应按“响应文件格式”要求在响应函中进行报价并填写响应文件的分项报价表</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该项目报价总额的最高限价为15.5万元，超出则视为无效报价。</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2.报价包括设备费、材料费、</w:t>
      </w:r>
      <w:r>
        <w:rPr>
          <w:rFonts w:hint="eastAsia" w:ascii="仿宋" w:hAnsi="仿宋" w:eastAsia="仿宋" w:cs="仿宋"/>
          <w:sz w:val="30"/>
          <w:szCs w:val="30"/>
          <w:lang w:val="en-US" w:eastAsia="zh-CN"/>
        </w:rPr>
        <w:t>软件费、安装调试费、</w:t>
      </w:r>
      <w:r>
        <w:rPr>
          <w:rFonts w:hint="eastAsia" w:ascii="仿宋" w:hAnsi="仿宋" w:eastAsia="仿宋" w:cs="仿宋"/>
          <w:sz w:val="30"/>
          <w:szCs w:val="30"/>
        </w:rPr>
        <w:t>税费（其中设备硬件</w:t>
      </w:r>
      <w:r>
        <w:rPr>
          <w:rFonts w:hint="eastAsia" w:ascii="仿宋" w:hAnsi="仿宋" w:eastAsia="仿宋" w:cs="仿宋"/>
          <w:sz w:val="30"/>
          <w:szCs w:val="30"/>
          <w:lang w:val="en-US" w:eastAsia="zh-CN"/>
        </w:rPr>
        <w:t>及材料</w:t>
      </w:r>
      <w:r>
        <w:rPr>
          <w:rFonts w:hint="eastAsia" w:ascii="仿宋" w:hAnsi="仿宋" w:eastAsia="仿宋" w:cs="仿宋"/>
          <w:sz w:val="30"/>
          <w:szCs w:val="30"/>
        </w:rPr>
        <w:t>部分开13%全额增值税专用发票、软件开发及</w:t>
      </w:r>
      <w:r>
        <w:rPr>
          <w:rFonts w:hint="eastAsia" w:ascii="仿宋" w:hAnsi="仿宋" w:eastAsia="仿宋" w:cs="仿宋"/>
          <w:sz w:val="30"/>
          <w:szCs w:val="30"/>
          <w:highlight w:val="none"/>
          <w:lang w:val="en-US" w:eastAsia="zh-CN"/>
        </w:rPr>
        <w:t>施工</w:t>
      </w:r>
      <w:r>
        <w:rPr>
          <w:rFonts w:hint="eastAsia" w:ascii="仿宋" w:hAnsi="仿宋" w:eastAsia="仿宋" w:cs="仿宋"/>
          <w:sz w:val="30"/>
          <w:szCs w:val="30"/>
          <w:highlight w:val="none"/>
        </w:rPr>
        <w:t>部分</w:t>
      </w:r>
      <w:r>
        <w:rPr>
          <w:rFonts w:hint="eastAsia" w:ascii="仿宋" w:hAnsi="仿宋" w:eastAsia="仿宋" w:cs="仿宋"/>
          <w:sz w:val="30"/>
          <w:szCs w:val="30"/>
        </w:rPr>
        <w:t>开</w:t>
      </w:r>
      <w:r>
        <w:rPr>
          <w:rFonts w:hint="eastAsia" w:ascii="仿宋" w:hAnsi="仿宋" w:eastAsia="仿宋" w:cs="仿宋"/>
          <w:color w:val="auto"/>
          <w:sz w:val="30"/>
          <w:szCs w:val="30"/>
          <w:highlight w:val="none"/>
        </w:rPr>
        <w:t>6%</w:t>
      </w:r>
      <w:r>
        <w:rPr>
          <w:rFonts w:hint="eastAsia" w:ascii="仿宋" w:hAnsi="仿宋" w:eastAsia="仿宋" w:cs="仿宋"/>
          <w:sz w:val="30"/>
          <w:szCs w:val="30"/>
        </w:rPr>
        <w:t>全额增值税专用发票）、运输费等因开展本项目所涉及的一切相关费用在内。该价款不因原料、材料、劳务、能源等市场价格的变动而变动。</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3.供应商在响应文件递交截止时间前修改响应函中的响应报价总额，应同时修改响应文件“分项报价表”中的相应报价。</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4.响应报价为各分项报价金额之和，响应报价与分项报价的合价不一致的，应以各分项合价累计数为准，修正响应报价。</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5.成交供应商的响应报价是成交、签订合同及合同执行过程中的依据，不得进行实质性变动。</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（二）响应有效期</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.响应有效期从提交响</w:t>
      </w:r>
      <w:r>
        <w:rPr>
          <w:rFonts w:hint="eastAsia" w:ascii="仿宋" w:hAnsi="仿宋" w:eastAsia="仿宋" w:cs="仿宋"/>
          <w:sz w:val="30"/>
          <w:szCs w:val="30"/>
        </w:rPr>
        <w:t>应文件截止之日起算60天。</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2.在响应有效期内，供应商撤销响应文件的，应承担询比采购文件和法律规定的责任。</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（三）响应保证金</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1.供应商在递交响应文件的同时，应按规定的响应保证金格式递交响应保证金</w:t>
      </w:r>
      <w:r>
        <w:rPr>
          <w:rFonts w:hint="eastAsia" w:ascii="仿宋" w:hAnsi="仿宋" w:eastAsia="仿宋" w:cs="仿宋"/>
          <w:sz w:val="30"/>
          <w:szCs w:val="30"/>
          <w:lang w:val="en-US" w:eastAsia="zh-CN"/>
        </w:rPr>
        <w:t>3000</w:t>
      </w:r>
      <w:r>
        <w:rPr>
          <w:rFonts w:hint="eastAsia" w:ascii="仿宋" w:hAnsi="仿宋" w:eastAsia="仿宋" w:cs="仿宋"/>
          <w:sz w:val="30"/>
          <w:szCs w:val="30"/>
        </w:rPr>
        <w:t>元，并作为其响应文件的组成部分。</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保证金支付账户如下：</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收款人：陕西锌业有限公司</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账号：26805701040010332</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开户行：中国农业银行商洛商州区支行</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2.响应保证金的形式：转账、支票、与采购人签订保证金协议等任何一种。供应商以转账或者支票形式提交的响应保证金，应当由供应商账户转出。</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3.响应保证金必须在响应文件递交截止时间前到达指定帐户。</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4.响应保证金有效期与响应有效期一致。</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5.供应商不按前述要求提交响应保证金的，评审小组将否决其响应文件。</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6.采购人最迟应当在与成交人签订合同后7日内，向未成交的供应商无息退还响应保</w:t>
      </w:r>
      <w:r>
        <w:rPr>
          <w:rFonts w:hint="eastAsia" w:ascii="仿宋" w:hAnsi="仿宋" w:eastAsia="仿宋" w:cs="仿宋"/>
          <w:sz w:val="30"/>
          <w:szCs w:val="30"/>
          <w:highlight w:val="none"/>
        </w:rPr>
        <w:t>证金。</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7.有下列情形之一的，响应保证金将不予退还：</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（1）供应商在响应有效期内撤销响应文件；</w:t>
      </w:r>
    </w:p>
    <w:p>
      <w:pPr>
        <w:spacing w:line="480" w:lineRule="exact"/>
        <w:ind w:firstLine="600" w:firstLineChars="200"/>
        <w:rPr>
          <w:rFonts w:hint="eastAsia" w:ascii="仿宋" w:hAnsi="仿宋" w:eastAsia="仿宋" w:cs="仿宋"/>
          <w:sz w:val="30"/>
          <w:szCs w:val="30"/>
          <w:lang w:eastAsia="zh-CN"/>
        </w:rPr>
      </w:pPr>
      <w:r>
        <w:rPr>
          <w:rFonts w:hint="eastAsia" w:ascii="仿宋" w:hAnsi="仿宋" w:eastAsia="仿宋" w:cs="仿宋"/>
          <w:sz w:val="30"/>
          <w:szCs w:val="30"/>
        </w:rPr>
        <w:t>（2）成交人在收到成交通知书后，成交人放弃成交项目的，无正当理由不与采购人订立合同的，在签订合同时向采购人提出附加条件或者更改合同实质性内容的，或者拒不按照询比采购文件要求提交履约担保的</w:t>
      </w:r>
      <w:r>
        <w:rPr>
          <w:rFonts w:hint="eastAsia" w:ascii="仿宋" w:hAnsi="仿宋" w:eastAsia="仿宋" w:cs="仿宋"/>
          <w:sz w:val="30"/>
          <w:szCs w:val="30"/>
          <w:lang w:eastAsia="zh-CN"/>
        </w:rPr>
        <w:t>。</w:t>
      </w:r>
    </w:p>
    <w:p>
      <w:pPr>
        <w:pStyle w:val="5"/>
        <w:keepNext w:val="0"/>
        <w:keepLines w:val="0"/>
        <w:widowControl/>
        <w:suppressLineNumbers w:val="0"/>
        <w:spacing w:before="0" w:beforeAutospacing="0" w:after="0" w:afterAutospacing="0" w:line="555" w:lineRule="atLeast"/>
        <w:ind w:firstLine="620" w:firstLineChars="200"/>
        <w:jc w:val="both"/>
        <w:rPr>
          <w:rFonts w:ascii="微软雅黑" w:hAnsi="微软雅黑" w:eastAsia="微软雅黑" w:cs="微软雅黑"/>
          <w:b w:val="0"/>
          <w:bCs w:val="0"/>
          <w:i w:val="0"/>
          <w:iCs w:val="0"/>
          <w:caps w:val="0"/>
          <w:color w:val="000000"/>
          <w:spacing w:val="0"/>
        </w:rPr>
      </w:pPr>
      <w:r>
        <w:rPr>
          <w:rFonts w:ascii="仿宋" w:hAnsi="仿宋" w:eastAsia="仿宋" w:cs="仿宋"/>
          <w:b w:val="0"/>
          <w:bCs w:val="0"/>
          <w:i w:val="0"/>
          <w:iCs w:val="0"/>
          <w:caps w:val="0"/>
          <w:color w:val="000000"/>
          <w:spacing w:val="0"/>
          <w:sz w:val="31"/>
          <w:szCs w:val="31"/>
        </w:rPr>
        <w:t>（</w:t>
      </w:r>
      <w:r>
        <w:rPr>
          <w:rFonts w:hint="eastAsia" w:ascii="仿宋" w:hAnsi="仿宋" w:eastAsia="仿宋" w:cs="仿宋"/>
          <w:b w:val="0"/>
          <w:bCs w:val="0"/>
          <w:i w:val="0"/>
          <w:iCs w:val="0"/>
          <w:caps w:val="0"/>
          <w:color w:val="000000"/>
          <w:spacing w:val="0"/>
          <w:sz w:val="31"/>
          <w:szCs w:val="31"/>
          <w:lang w:val="en-US" w:eastAsia="zh-CN"/>
        </w:rPr>
        <w:t>四</w:t>
      </w:r>
      <w:r>
        <w:rPr>
          <w:rFonts w:hint="eastAsia" w:ascii="仿宋" w:hAnsi="仿宋" w:eastAsia="仿宋" w:cs="仿宋"/>
          <w:b w:val="0"/>
          <w:bCs w:val="0"/>
          <w:i w:val="0"/>
          <w:iCs w:val="0"/>
          <w:caps w:val="0"/>
          <w:color w:val="000000"/>
          <w:spacing w:val="0"/>
          <w:sz w:val="31"/>
          <w:szCs w:val="31"/>
        </w:rPr>
        <w:t>）资格审查资料</w:t>
      </w:r>
    </w:p>
    <w:p>
      <w:pPr>
        <w:spacing w:line="480" w:lineRule="exact"/>
        <w:ind w:firstLine="602" w:firstLineChars="200"/>
        <w:rPr>
          <w:rFonts w:hint="eastAsia" w:ascii="仿宋" w:hAnsi="仿宋" w:eastAsia="仿宋" w:cs="仿宋"/>
          <w:sz w:val="30"/>
          <w:szCs w:val="30"/>
        </w:rPr>
      </w:pPr>
      <w:r>
        <w:rPr>
          <w:rFonts w:hint="eastAsia" w:ascii="仿宋" w:hAnsi="仿宋" w:eastAsia="仿宋" w:cs="仿宋"/>
          <w:b/>
          <w:bCs/>
          <w:sz w:val="30"/>
          <w:szCs w:val="30"/>
        </w:rPr>
        <w:t>供应商应按下列规定提供相关的证明材料，以证明其满足资质、财务、业绩、信誉要求。</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1.“供应商基本情况表”应附供应商资格或者资质证书副本等材料的复印件，供应商为企业的，应提交营业执照复印件；供应商为依法允许经营的事业单位的，应提交事业单位法人证书和组织机构代码证的复印件。</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2.“近三年完成的类似项目情况表”应附从202</w:t>
      </w:r>
      <w:r>
        <w:rPr>
          <w:rFonts w:hint="eastAsia" w:ascii="仿宋" w:hAnsi="仿宋" w:eastAsia="仿宋" w:cs="仿宋"/>
          <w:sz w:val="30"/>
          <w:szCs w:val="30"/>
          <w:lang w:val="en-US" w:eastAsia="zh-CN"/>
        </w:rPr>
        <w:t>3</w:t>
      </w:r>
      <w:r>
        <w:rPr>
          <w:rFonts w:hint="eastAsia" w:ascii="仿宋" w:hAnsi="仿宋" w:eastAsia="仿宋" w:cs="仿宋"/>
          <w:sz w:val="30"/>
          <w:szCs w:val="30"/>
        </w:rPr>
        <w:t>年</w:t>
      </w:r>
      <w:r>
        <w:rPr>
          <w:rFonts w:hint="eastAsia" w:ascii="仿宋" w:hAnsi="仿宋" w:eastAsia="仿宋" w:cs="仿宋"/>
          <w:sz w:val="30"/>
          <w:szCs w:val="30"/>
          <w:lang w:val="en-US" w:eastAsia="zh-CN"/>
        </w:rPr>
        <w:t>1</w:t>
      </w:r>
      <w:r>
        <w:rPr>
          <w:rFonts w:hint="eastAsia" w:ascii="仿宋" w:hAnsi="仿宋" w:eastAsia="仿宋" w:cs="仿宋"/>
          <w:sz w:val="30"/>
          <w:szCs w:val="30"/>
        </w:rPr>
        <w:t>月至今的合同复印件。</w:t>
      </w:r>
    </w:p>
    <w:p>
      <w:pPr>
        <w:spacing w:line="480" w:lineRule="exact"/>
        <w:ind w:firstLine="600" w:firstLineChars="20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sz w:val="30"/>
          <w:szCs w:val="30"/>
        </w:rPr>
        <w:t>3.“近年发生的诉讼及仲裁情况”应说明相关情况。</w:t>
      </w:r>
    </w:p>
    <w:p>
      <w:pPr>
        <w:spacing w:line="48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4.人员要求：工程师须持应急管理部门（非第三方公司）颁发的特种作业操作证，包含低压电工证和自动化控制仪表类作业证；施工人员须有低压电工证、登高作业证等。</w:t>
      </w:r>
    </w:p>
    <w:p>
      <w:pPr>
        <w:spacing w:line="480" w:lineRule="exact"/>
        <w:ind w:firstLine="600" w:firstLineChars="200"/>
        <w:rPr>
          <w:rFonts w:hint="eastAsia" w:ascii="仿宋" w:hAnsi="仿宋" w:eastAsia="仿宋" w:cs="仿宋"/>
          <w:sz w:val="30"/>
          <w:szCs w:val="30"/>
          <w:lang w:eastAsia="zh-CN"/>
        </w:rPr>
      </w:pPr>
      <w:r>
        <w:rPr>
          <w:rFonts w:hint="eastAsia" w:ascii="仿宋" w:hAnsi="仿宋" w:eastAsia="仿宋" w:cs="仿宋"/>
          <w:color w:val="auto"/>
          <w:sz w:val="30"/>
          <w:szCs w:val="30"/>
          <w:highlight w:val="none"/>
          <w:lang w:val="en-US" w:eastAsia="zh-CN"/>
        </w:rPr>
        <w:t>5.保险：全体施工人员须有意外保险，每人不低于60万元。</w:t>
      </w:r>
    </w:p>
    <w:p>
      <w:pPr>
        <w:spacing w:line="480" w:lineRule="exact"/>
        <w:ind w:firstLine="602" w:firstLineChars="200"/>
        <w:rPr>
          <w:rFonts w:hint="eastAsia" w:ascii="仿宋" w:hAnsi="仿宋" w:eastAsia="仿宋" w:cs="仿宋"/>
          <w:b/>
          <w:bCs/>
          <w:sz w:val="30"/>
          <w:szCs w:val="30"/>
        </w:rPr>
      </w:pPr>
      <w:r>
        <w:rPr>
          <w:rFonts w:hint="eastAsia" w:ascii="仿宋" w:hAnsi="仿宋" w:eastAsia="仿宋" w:cs="仿宋"/>
          <w:b/>
          <w:bCs/>
          <w:sz w:val="30"/>
          <w:szCs w:val="30"/>
        </w:rPr>
        <w:t>四、响应文件的提交</w:t>
      </w:r>
    </w:p>
    <w:p>
      <w:pPr>
        <w:spacing w:line="480" w:lineRule="exact"/>
        <w:ind w:firstLine="600" w:firstLineChars="200"/>
        <w:rPr>
          <w:rFonts w:hint="eastAsia" w:ascii="仿宋" w:hAnsi="仿宋" w:eastAsia="仿宋" w:cs="仿宋"/>
          <w:sz w:val="30"/>
          <w:szCs w:val="30"/>
          <w:lang w:eastAsia="zh-CN"/>
        </w:rPr>
      </w:pPr>
      <w:r>
        <w:rPr>
          <w:rFonts w:hint="eastAsia" w:ascii="仿宋" w:hAnsi="仿宋" w:eastAsia="仿宋" w:cs="仿宋"/>
          <w:sz w:val="30"/>
          <w:szCs w:val="30"/>
        </w:rPr>
        <w:t>（一）响应文件提交截止时间：202</w:t>
      </w:r>
      <w:r>
        <w:rPr>
          <w:rFonts w:hint="eastAsia" w:ascii="仿宋" w:hAnsi="仿宋" w:eastAsia="仿宋" w:cs="仿宋"/>
          <w:sz w:val="30"/>
          <w:szCs w:val="30"/>
          <w:lang w:val="en-US" w:eastAsia="zh-CN"/>
        </w:rPr>
        <w:t>6</w:t>
      </w:r>
      <w:r>
        <w:rPr>
          <w:rFonts w:hint="eastAsia" w:ascii="仿宋" w:hAnsi="仿宋" w:eastAsia="仿宋" w:cs="仿宋"/>
          <w:sz w:val="30"/>
          <w:szCs w:val="30"/>
        </w:rPr>
        <w:t>年</w:t>
      </w:r>
      <w:r>
        <w:rPr>
          <w:rFonts w:hint="eastAsia" w:ascii="仿宋" w:hAnsi="仿宋" w:eastAsia="仿宋" w:cs="仿宋"/>
          <w:sz w:val="30"/>
          <w:szCs w:val="30"/>
          <w:lang w:val="en-US" w:eastAsia="zh-CN"/>
        </w:rPr>
        <w:t>3</w:t>
      </w:r>
      <w:r>
        <w:rPr>
          <w:rFonts w:hint="eastAsia" w:ascii="仿宋" w:hAnsi="仿宋" w:eastAsia="仿宋" w:cs="仿宋"/>
          <w:sz w:val="30"/>
          <w:szCs w:val="30"/>
        </w:rPr>
        <w:t>月</w:t>
      </w:r>
      <w:r>
        <w:rPr>
          <w:rFonts w:hint="eastAsia" w:ascii="仿宋" w:hAnsi="仿宋" w:eastAsia="仿宋" w:cs="仿宋"/>
          <w:sz w:val="30"/>
          <w:szCs w:val="30"/>
          <w:highlight w:val="none"/>
          <w:lang w:val="en-US" w:eastAsia="zh-CN"/>
        </w:rPr>
        <w:t>10</w:t>
      </w:r>
      <w:r>
        <w:rPr>
          <w:rFonts w:hint="eastAsia" w:ascii="仿宋" w:hAnsi="仿宋" w:eastAsia="仿宋" w:cs="仿宋"/>
          <w:sz w:val="30"/>
          <w:szCs w:val="30"/>
        </w:rPr>
        <w:t>日1</w:t>
      </w:r>
      <w:r>
        <w:rPr>
          <w:rFonts w:hint="eastAsia" w:ascii="仿宋" w:hAnsi="仿宋" w:eastAsia="仿宋" w:cs="仿宋"/>
          <w:sz w:val="30"/>
          <w:szCs w:val="30"/>
          <w:lang w:val="en-US" w:eastAsia="zh-CN"/>
        </w:rPr>
        <w:t>2</w:t>
      </w:r>
      <w:r>
        <w:rPr>
          <w:rFonts w:hint="eastAsia" w:ascii="仿宋" w:hAnsi="仿宋" w:eastAsia="仿宋" w:cs="仿宋"/>
          <w:sz w:val="30"/>
          <w:szCs w:val="30"/>
        </w:rPr>
        <w:t>时（北京时间）</w:t>
      </w:r>
      <w:r>
        <w:rPr>
          <w:rFonts w:hint="eastAsia" w:ascii="仿宋" w:hAnsi="仿宋" w:eastAsia="仿宋" w:cs="仿宋"/>
          <w:sz w:val="30"/>
          <w:szCs w:val="30"/>
          <w:lang w:eastAsia="zh-CN"/>
        </w:rPr>
        <w:t>。</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（二）提交方法：将响应文件密封后直接送达或邮寄至陕西锌业有限公司办公楼</w:t>
      </w:r>
      <w:r>
        <w:rPr>
          <w:rFonts w:hint="eastAsia" w:ascii="仿宋" w:hAnsi="仿宋" w:eastAsia="仿宋" w:cs="仿宋"/>
          <w:sz w:val="30"/>
          <w:szCs w:val="30"/>
          <w:lang w:val="en-US" w:eastAsia="zh-CN"/>
        </w:rPr>
        <w:t>一</w:t>
      </w:r>
      <w:r>
        <w:rPr>
          <w:rFonts w:hint="eastAsia" w:ascii="仿宋" w:hAnsi="仿宋" w:eastAsia="仿宋" w:cs="仿宋"/>
          <w:sz w:val="30"/>
          <w:szCs w:val="30"/>
        </w:rPr>
        <w:t>楼招投标办公室。</w:t>
      </w:r>
    </w:p>
    <w:p>
      <w:pPr>
        <w:spacing w:line="48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邮递地址：商洛市商州区沙河子镇陕西锌业有限公司一楼招投标办公室  </w:t>
      </w:r>
    </w:p>
    <w:p>
      <w:pPr>
        <w:spacing w:line="48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收标联系人：白浩楠   电话：18329587208</w:t>
      </w:r>
    </w:p>
    <w:p>
      <w:pPr>
        <w:spacing w:line="480" w:lineRule="exact"/>
        <w:ind w:firstLine="600" w:firstLineChars="200"/>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技术联系人：高强强  电话：18992465815</w:t>
      </w:r>
    </w:p>
    <w:p>
      <w:pPr>
        <w:spacing w:line="480" w:lineRule="exact"/>
        <w:ind w:firstLine="600" w:firstLineChars="200"/>
        <w:rPr>
          <w:rFonts w:hint="eastAsia" w:ascii="仿宋" w:hAnsi="仿宋" w:eastAsia="仿宋" w:cs="仿宋"/>
          <w:sz w:val="30"/>
          <w:szCs w:val="30"/>
          <w:lang w:eastAsia="zh-CN"/>
        </w:rPr>
      </w:pPr>
      <w:r>
        <w:rPr>
          <w:rFonts w:hint="eastAsia" w:ascii="仿宋" w:hAnsi="仿宋" w:eastAsia="仿宋" w:cs="仿宋"/>
          <w:sz w:val="30"/>
          <w:szCs w:val="30"/>
        </w:rPr>
        <w:t>（三）逾期送达或者未送达指定地点的询比采购文件，询比采购人不予受理，报价通过密封送达或邮递的方式，未密封的报价按无效报价处理。（档案袋需要密封，并在封条上盖章，档案袋上需注明所投项目名称、报价人单位名称、报价人姓名、电话等信息，并盖章。响应文件两本，一正一副）</w:t>
      </w:r>
      <w:r>
        <w:rPr>
          <w:rFonts w:hint="eastAsia" w:ascii="仿宋" w:hAnsi="仿宋" w:eastAsia="仿宋" w:cs="仿宋"/>
          <w:sz w:val="30"/>
          <w:szCs w:val="30"/>
          <w:lang w:eastAsia="zh-CN"/>
        </w:rPr>
        <w:t>。</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（四）报价时，报价单应加盖公司公章，法人或其授权委托人应在报价单上签字确认方为有效。</w:t>
      </w:r>
    </w:p>
    <w:p>
      <w:pPr>
        <w:spacing w:line="480" w:lineRule="exact"/>
        <w:ind w:firstLine="602" w:firstLineChars="200"/>
        <w:rPr>
          <w:rFonts w:hint="eastAsia" w:ascii="仿宋" w:hAnsi="仿宋" w:eastAsia="仿宋" w:cs="仿宋"/>
          <w:b/>
          <w:bCs/>
          <w:sz w:val="30"/>
          <w:szCs w:val="30"/>
        </w:rPr>
      </w:pPr>
      <w:r>
        <w:rPr>
          <w:rFonts w:hint="eastAsia" w:ascii="仿宋" w:hAnsi="仿宋" w:eastAsia="仿宋" w:cs="仿宋"/>
          <w:b/>
          <w:bCs/>
          <w:sz w:val="30"/>
          <w:szCs w:val="30"/>
        </w:rPr>
        <w:t>五、响应文件的评审</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（一）响应文件评审办法</w:t>
      </w:r>
    </w:p>
    <w:p>
      <w:pPr>
        <w:spacing w:line="480" w:lineRule="exact"/>
        <w:ind w:firstLine="600" w:firstLineChars="200"/>
        <w:rPr>
          <w:rFonts w:hint="eastAsia" w:ascii="仿宋" w:hAnsi="仿宋" w:eastAsia="仿宋" w:cs="仿宋"/>
          <w:sz w:val="30"/>
          <w:szCs w:val="30"/>
          <w:lang w:eastAsia="zh-CN"/>
        </w:rPr>
      </w:pPr>
      <w:r>
        <w:rPr>
          <w:rFonts w:hint="eastAsia" w:ascii="仿宋" w:hAnsi="仿宋" w:eastAsia="仿宋" w:cs="仿宋"/>
          <w:sz w:val="30"/>
          <w:szCs w:val="30"/>
        </w:rPr>
        <w:t>在资质等符合要求的情况下，</w:t>
      </w:r>
      <w:r>
        <w:rPr>
          <w:rFonts w:hint="eastAsia" w:ascii="仿宋" w:hAnsi="仿宋" w:eastAsia="仿宋" w:cs="仿宋"/>
          <w:sz w:val="30"/>
          <w:szCs w:val="30"/>
          <w:lang w:val="en-US" w:eastAsia="zh-CN"/>
        </w:rPr>
        <w:t>采购人</w:t>
      </w:r>
      <w:r>
        <w:rPr>
          <w:rFonts w:hint="eastAsia" w:ascii="仿宋" w:hAnsi="仿宋" w:eastAsia="仿宋" w:cs="仿宋"/>
          <w:sz w:val="30"/>
          <w:szCs w:val="30"/>
        </w:rPr>
        <w:t>招投标办公室评审小组按照低价原则，进行排序，最终确定首位入围单位</w:t>
      </w:r>
      <w:r>
        <w:rPr>
          <w:rFonts w:hint="eastAsia" w:ascii="仿宋" w:hAnsi="仿宋" w:eastAsia="仿宋" w:cs="仿宋"/>
          <w:sz w:val="30"/>
          <w:szCs w:val="30"/>
          <w:lang w:eastAsia="zh-CN"/>
        </w:rPr>
        <w:t>。</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二</w:t>
      </w:r>
      <w:r>
        <w:rPr>
          <w:rFonts w:hint="eastAsia" w:ascii="仿宋" w:hAnsi="仿宋" w:eastAsia="仿宋" w:cs="仿宋"/>
          <w:sz w:val="30"/>
          <w:szCs w:val="30"/>
        </w:rPr>
        <w:t>）响应文件评审程序</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1.评审小组要求供应商提交第一条第</w:t>
      </w:r>
      <w:r>
        <w:rPr>
          <w:rFonts w:hint="eastAsia" w:ascii="仿宋" w:hAnsi="仿宋" w:eastAsia="仿宋" w:cs="仿宋"/>
          <w:b w:val="0"/>
          <w:bCs w:val="0"/>
          <w:sz w:val="30"/>
          <w:szCs w:val="30"/>
          <w:highlight w:val="none"/>
          <w:lang w:val="en-US" w:eastAsia="zh-CN"/>
        </w:rPr>
        <w:t>九</w:t>
      </w:r>
      <w:r>
        <w:rPr>
          <w:rFonts w:hint="eastAsia" w:ascii="仿宋" w:hAnsi="仿宋" w:eastAsia="仿宋" w:cs="仿宋"/>
          <w:sz w:val="30"/>
          <w:szCs w:val="30"/>
        </w:rPr>
        <w:t>款规定的有关证明和证件的原件</w:t>
      </w:r>
      <w:r>
        <w:rPr>
          <w:rFonts w:hint="eastAsia" w:ascii="仿宋" w:hAnsi="仿宋" w:eastAsia="仿宋" w:cs="仿宋"/>
          <w:sz w:val="30"/>
          <w:szCs w:val="30"/>
          <w:lang w:val="en-US" w:eastAsia="zh-CN"/>
        </w:rPr>
        <w:t>或复印件</w:t>
      </w:r>
      <w:r>
        <w:rPr>
          <w:rFonts w:hint="eastAsia" w:ascii="仿宋" w:hAnsi="仿宋" w:eastAsia="仿宋" w:cs="仿宋"/>
          <w:sz w:val="30"/>
          <w:szCs w:val="30"/>
        </w:rPr>
        <w:t>，评审小组对前述响应文件进行初步评审，有一项不符合评审标准的，评审小组应当否决其响应文件。</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2.供应商有以下情形之一的，评审小组应当否决其响应：</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（1）供应商未经过正常途径获取标书或供应商名称或组织结构与询比采购文件不一致且未提供有效证明的；</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（2）响应文件未经响应供应商单位盖章和单位负责人签字或盖章的；</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（3）供应商未按询比采购文件要求交纳响应保证金的；</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4</w:t>
      </w:r>
      <w:r>
        <w:rPr>
          <w:rFonts w:hint="eastAsia" w:ascii="仿宋" w:hAnsi="仿宋" w:eastAsia="仿宋" w:cs="仿宋"/>
          <w:sz w:val="30"/>
          <w:szCs w:val="30"/>
        </w:rPr>
        <w:t>）供应商不符合询比采购文件规定的资格条件的；</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5</w:t>
      </w:r>
      <w:r>
        <w:rPr>
          <w:rFonts w:hint="eastAsia" w:ascii="仿宋" w:hAnsi="仿宋" w:eastAsia="仿宋" w:cs="仿宋"/>
          <w:sz w:val="30"/>
          <w:szCs w:val="30"/>
        </w:rPr>
        <w:t>）供应商提交两份或多份内容不同的响应文件，或在同一份响应文件中有两个或多个报价，且未声明哪一个为最终报价的；</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6</w:t>
      </w:r>
      <w:r>
        <w:rPr>
          <w:rFonts w:hint="eastAsia" w:ascii="仿宋" w:hAnsi="仿宋" w:eastAsia="仿宋" w:cs="仿宋"/>
          <w:sz w:val="30"/>
          <w:szCs w:val="30"/>
        </w:rPr>
        <w:t>）报价明显低于其他响应报价，且供应商不能合理说明或者提供相关证明材料，评审小组认定该供应商以低于成本价竞标的；</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7</w:t>
      </w:r>
      <w:r>
        <w:rPr>
          <w:rFonts w:hint="eastAsia" w:ascii="仿宋" w:hAnsi="仿宋" w:eastAsia="仿宋" w:cs="仿宋"/>
          <w:sz w:val="30"/>
          <w:szCs w:val="30"/>
        </w:rPr>
        <w:t>）响应文件有效期达不到询比采购文件要求的；</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8</w:t>
      </w:r>
      <w:r>
        <w:rPr>
          <w:rFonts w:hint="eastAsia" w:ascii="仿宋" w:hAnsi="仿宋" w:eastAsia="仿宋" w:cs="仿宋"/>
          <w:sz w:val="30"/>
          <w:szCs w:val="30"/>
        </w:rPr>
        <w:t>）供应商方案出现严重漏项，已影响到该项目的实施的；</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9</w:t>
      </w:r>
      <w:r>
        <w:rPr>
          <w:rFonts w:hint="eastAsia" w:ascii="仿宋" w:hAnsi="仿宋" w:eastAsia="仿宋" w:cs="仿宋"/>
          <w:sz w:val="30"/>
          <w:szCs w:val="30"/>
        </w:rPr>
        <w:t>）供应商有串通投标、弄虚作假、行贿等违法行为的。</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3.响应报价有算术错误的，评审小组按以下原则要求供应商对响应报价进行书面澄清确认。供应商拒不澄清确认的，评审小组应当否决其响应文件：</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（1）响应文件中的大写金额与小写金额不一致的，以大写金额为准；</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（2）总价金额与单价金额不一致的，以单价金额为准，但单价金额小数点有明显错误的除外；</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（3）响应报价为各分项报价金额之和，响应报价与分项报价的合价不一致的，应以各分项合价累计数为准，修正响应报价。</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4.评审小组发现供应商的报价明显低于其他响应报价，使得其响应报价可能低于其个别成本的，应当要求该供应商作出书面说明并提供相应的证明材料。供应商不能合理说明或者不能提供相应证明材料的，评审小组应当认定该供应商以低于成本报价竞标，并否决其响应文件。</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三</w:t>
      </w:r>
      <w:r>
        <w:rPr>
          <w:rFonts w:hint="eastAsia" w:ascii="仿宋" w:hAnsi="仿宋" w:eastAsia="仿宋" w:cs="仿宋"/>
          <w:sz w:val="30"/>
          <w:szCs w:val="30"/>
        </w:rPr>
        <w:t>）响应文件的澄清</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在评审过程中，评审小组对响应文件中含义不明确、对同类问题表述不一致或者有明显文字和计算错误的内容可以书面形式要求供应商作必要的澄清、说明或补正。评审小组不接受供应商主动提出的澄清、说明或补正。</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2.澄清、说明或补正不得超出响应文件的范围且不得改变响应文件的实质性内容，并构成响应文件的组成部分。</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3.评审小组对供应商提交的澄清、说明或补正有疑问的，可要求供应商进一步澄清、说明或补正，直至满足评审小组的要求。</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四</w:t>
      </w:r>
      <w:r>
        <w:rPr>
          <w:rFonts w:hint="eastAsia" w:ascii="仿宋" w:hAnsi="仿宋" w:eastAsia="仿宋" w:cs="仿宋"/>
          <w:sz w:val="30"/>
          <w:szCs w:val="30"/>
        </w:rPr>
        <w:t>）评审结果</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评审小组根据采购文件规定的评审办法按照价格由低到高的顺序推荐成交候选人。</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val="en-US" w:eastAsia="zh-CN"/>
        </w:rPr>
        <w:t>.</w:t>
      </w:r>
      <w:r>
        <w:rPr>
          <w:rFonts w:hint="eastAsia" w:ascii="仿宋" w:hAnsi="仿宋" w:eastAsia="仿宋" w:cs="仿宋"/>
          <w:sz w:val="30"/>
          <w:szCs w:val="30"/>
        </w:rPr>
        <w:t>评审小组完成评标后，应当向招标办公室提交书面评审报告和成交候选人名单。</w:t>
      </w:r>
    </w:p>
    <w:p>
      <w:pPr>
        <w:spacing w:line="480" w:lineRule="exact"/>
        <w:ind w:firstLine="602" w:firstLineChars="200"/>
        <w:rPr>
          <w:rFonts w:hint="eastAsia" w:ascii="仿宋" w:hAnsi="仿宋" w:eastAsia="仿宋" w:cs="仿宋"/>
          <w:sz w:val="30"/>
          <w:szCs w:val="30"/>
        </w:rPr>
      </w:pPr>
      <w:r>
        <w:rPr>
          <w:rFonts w:hint="eastAsia" w:ascii="仿宋" w:hAnsi="仿宋" w:eastAsia="仿宋" w:cs="仿宋"/>
          <w:b/>
          <w:bCs/>
          <w:sz w:val="30"/>
          <w:szCs w:val="30"/>
        </w:rPr>
        <w:t>六、合同授予</w:t>
      </w:r>
    </w:p>
    <w:p>
      <w:pPr>
        <w:spacing w:line="48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（一）成交候选人公示</w:t>
      </w:r>
    </w:p>
    <w:p>
      <w:pPr>
        <w:spacing w:line="48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在陕西锌业有限公司网络采购平台www.sxxyjjpt.com公示成交候选人，公示期不少于3天。</w:t>
      </w:r>
    </w:p>
    <w:p>
      <w:pPr>
        <w:spacing w:line="48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（二）评审结果异议</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供应商或者其他利害关系人对评审结果有异议的，应当在成交候选人公示期间提出。采购人在收到异议之日起3日内对异议作出答复；作出答复前，将暂停询比采购活动。</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（三）成交候选人履约能力审查</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成交候选人的经营、财务状况发生较大变化或存在违法行为，采购人认为可能影响其履约能力的，采购人招标办公室将在发出成交通知书前提请原评审小组按照询比采购文件规定的标准和方法进行审查和确认。</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（四）确定成交人</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采购人单位履行内部审批程序，根据评审小组的评审报告及成交人候选人名单确定成交人。</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五</w:t>
      </w:r>
      <w:r>
        <w:rPr>
          <w:rFonts w:hint="eastAsia" w:ascii="仿宋" w:hAnsi="仿宋" w:eastAsia="仿宋" w:cs="仿宋"/>
          <w:sz w:val="30"/>
          <w:szCs w:val="30"/>
        </w:rPr>
        <w:t>）签订合同</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采购人和成交供应商应当在响应有效期内，且在收到成交通知之日起7日内，根据询比采购文件和成交人的响应文件订立书面合同。成交人无正当理由拒签合同，或者提出其他附加条件的，采购人有权取消其成交资格，其响应保证金不予退还；给采购人造成的损失超出响应保证金数额的，成交供应商还应当对超出部分予以赔偿。</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rPr>
        <w:t>2.发出成交通知书后，采购人无正当理由拒签合同的，或者提出其他附加条件的，采购人向成交人退还响应保证金；给成交人造成损失的，还应当赔偿损失</w:t>
      </w:r>
      <w:r>
        <w:rPr>
          <w:rFonts w:hint="eastAsia" w:ascii="仿宋" w:hAnsi="仿宋" w:eastAsia="仿宋" w:cs="仿宋"/>
          <w:sz w:val="30"/>
          <w:szCs w:val="30"/>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3.合同签订后，成交人响应保证金自动转为</w:t>
      </w:r>
      <w:r>
        <w:rPr>
          <w:rFonts w:ascii="仿宋" w:hAnsi="仿宋" w:eastAsia="仿宋" w:cs="仿宋"/>
          <w:i w:val="0"/>
          <w:iCs w:val="0"/>
          <w:caps w:val="0"/>
          <w:color w:val="000000"/>
          <w:spacing w:val="0"/>
          <w:sz w:val="28"/>
          <w:szCs w:val="28"/>
        </w:rPr>
        <w:t>履约担保</w:t>
      </w:r>
      <w:r>
        <w:rPr>
          <w:rFonts w:hint="eastAsia" w:ascii="仿宋" w:hAnsi="仿宋" w:eastAsia="仿宋" w:cs="仿宋"/>
          <w:i w:val="0"/>
          <w:iCs w:val="0"/>
          <w:caps w:val="0"/>
          <w:color w:val="000000"/>
          <w:spacing w:val="0"/>
          <w:sz w:val="28"/>
          <w:szCs w:val="28"/>
          <w:lang w:eastAsia="zh-CN"/>
        </w:rPr>
        <w:t>，</w:t>
      </w:r>
      <w:r>
        <w:rPr>
          <w:rFonts w:hint="eastAsia" w:ascii="仿宋" w:hAnsi="仿宋" w:eastAsia="仿宋" w:cs="仿宋"/>
          <w:i w:val="0"/>
          <w:iCs w:val="0"/>
          <w:caps w:val="0"/>
          <w:color w:val="000000"/>
          <w:spacing w:val="0"/>
          <w:sz w:val="28"/>
          <w:szCs w:val="28"/>
          <w:lang w:val="en-US" w:eastAsia="zh-CN"/>
        </w:rPr>
        <w:t>合同执行结束后</w:t>
      </w:r>
      <w:r>
        <w:rPr>
          <w:rFonts w:hint="eastAsia" w:ascii="仿宋" w:hAnsi="仿宋" w:eastAsia="仿宋" w:cs="仿宋"/>
          <w:sz w:val="30"/>
          <w:szCs w:val="30"/>
        </w:rPr>
        <w:t>无息退还</w:t>
      </w:r>
      <w:r>
        <w:rPr>
          <w:rFonts w:hint="eastAsia" w:ascii="仿宋" w:hAnsi="仿宋" w:eastAsia="仿宋" w:cs="仿宋"/>
          <w:sz w:val="30"/>
          <w:szCs w:val="30"/>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七、纪律和监督</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（一）供应商不得相互串通投标或者与采购人串通投标，不得向采购人或者评审小组成员行贿谋取成交，不得以他人名义投标或者以其他方式弄虚作假骗取成交；供应商不得以任何方式干扰、影响评标工作。</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评审小组成员及相关工作人员不得收受他人的财物或者其他好处，不得向他人透露对响应文件的评审和比较、成交候选人的推荐情况以及评标有关的其他情况。在评审活动中，评审小组成员应当客观、公正地履行职责，遵守职业道德，不得擅离职守，影响评审程序正常进行，不得使用“评审办法”没有规定的评审因素和标准进行评审。</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（三）异议</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1.供应商或者其他利害关系人认为采购人采购活动存在违法或违反平等自愿、公平诚信原则的，可以直接向采购人单位招标办公室提出异议。</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2.招标办收到供应商提出的异议，应当依法、依规、妥善处理异议，并在收到异议之日起三个工作日内，对异议提出人做出答复。答复前，可暂停下一程序的采购活动。</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3.对响应供应商提出的异议，如属异议提出人对相关问题理解有误的，招标办应做出解释；如经核查发现采购活动确实存在违法或违反本办法相关规定的，招标办应及时予以纠正或补救。 </w:t>
      </w:r>
    </w:p>
    <w:p>
      <w:pPr>
        <w:spacing w:line="480" w:lineRule="exact"/>
        <w:ind w:firstLine="3600" w:firstLineChars="1200"/>
        <w:rPr>
          <w:rFonts w:hint="eastAsia" w:ascii="仿宋" w:hAnsi="仿宋" w:eastAsia="仿宋" w:cs="仿宋"/>
          <w:sz w:val="30"/>
          <w:szCs w:val="30"/>
        </w:rPr>
      </w:pPr>
    </w:p>
    <w:p>
      <w:pPr>
        <w:spacing w:line="480" w:lineRule="exact"/>
        <w:ind w:firstLine="3600" w:firstLineChars="1200"/>
        <w:rPr>
          <w:rFonts w:hint="eastAsia" w:ascii="仿宋" w:hAnsi="仿宋" w:eastAsia="仿宋" w:cs="仿宋"/>
          <w:sz w:val="30"/>
          <w:szCs w:val="30"/>
        </w:rPr>
      </w:pPr>
      <w:r>
        <w:rPr>
          <w:rFonts w:hint="eastAsia" w:ascii="仿宋" w:hAnsi="仿宋" w:eastAsia="仿宋" w:cs="仿宋"/>
          <w:sz w:val="30"/>
          <w:szCs w:val="30"/>
        </w:rPr>
        <w:t>陕西锌业有限公司</w:t>
      </w:r>
    </w:p>
    <w:p>
      <w:pPr>
        <w:spacing w:line="480" w:lineRule="exact"/>
        <w:ind w:firstLine="3600" w:firstLineChars="1200"/>
        <w:rPr>
          <w:rFonts w:hint="eastAsia" w:ascii="仿宋" w:hAnsi="仿宋" w:eastAsia="仿宋" w:cs="仿宋"/>
          <w:sz w:val="30"/>
          <w:szCs w:val="30"/>
        </w:rPr>
      </w:pPr>
      <w:r>
        <w:rPr>
          <w:rFonts w:hint="eastAsia" w:ascii="仿宋" w:hAnsi="仿宋" w:eastAsia="仿宋" w:cs="仿宋"/>
          <w:sz w:val="30"/>
          <w:szCs w:val="30"/>
        </w:rPr>
        <w:t>202</w:t>
      </w:r>
      <w:r>
        <w:rPr>
          <w:rFonts w:hint="eastAsia" w:ascii="仿宋" w:hAnsi="仿宋" w:eastAsia="仿宋" w:cs="仿宋"/>
          <w:sz w:val="30"/>
          <w:szCs w:val="30"/>
          <w:lang w:val="en-US" w:eastAsia="zh-CN"/>
        </w:rPr>
        <w:t>6</w:t>
      </w:r>
      <w:r>
        <w:rPr>
          <w:rFonts w:hint="eastAsia" w:ascii="仿宋" w:hAnsi="仿宋" w:eastAsia="仿宋" w:cs="仿宋"/>
          <w:sz w:val="30"/>
          <w:szCs w:val="30"/>
        </w:rPr>
        <w:t>年</w:t>
      </w:r>
      <w:r>
        <w:rPr>
          <w:rFonts w:hint="eastAsia" w:ascii="仿宋" w:hAnsi="仿宋" w:eastAsia="仿宋" w:cs="仿宋"/>
          <w:sz w:val="30"/>
          <w:szCs w:val="30"/>
          <w:lang w:val="en-US" w:eastAsia="zh-CN"/>
        </w:rPr>
        <w:t>3</w:t>
      </w:r>
      <w:r>
        <w:rPr>
          <w:rFonts w:hint="eastAsia" w:ascii="仿宋" w:hAnsi="仿宋" w:eastAsia="仿宋" w:cs="仿宋"/>
          <w:sz w:val="30"/>
          <w:szCs w:val="30"/>
        </w:rPr>
        <w:t>月</w:t>
      </w:r>
      <w:r>
        <w:rPr>
          <w:rFonts w:hint="eastAsia" w:ascii="仿宋" w:hAnsi="仿宋" w:eastAsia="仿宋" w:cs="仿宋"/>
          <w:sz w:val="30"/>
          <w:szCs w:val="30"/>
          <w:lang w:val="en-US" w:eastAsia="zh-CN"/>
        </w:rPr>
        <w:t>4</w:t>
      </w:r>
      <w:r>
        <w:rPr>
          <w:rFonts w:hint="eastAsia" w:ascii="仿宋" w:hAnsi="仿宋" w:eastAsia="仿宋" w:cs="仿宋"/>
          <w:sz w:val="30"/>
          <w:szCs w:val="30"/>
        </w:rPr>
        <w:t>日</w:t>
      </w:r>
    </w:p>
    <w:sectPr>
      <w:pgSz w:w="11906" w:h="16838"/>
      <w:pgMar w:top="1440" w:right="1746" w:bottom="1383" w:left="174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B97"/>
    <w:rsid w:val="00003148"/>
    <w:rsid w:val="00166B27"/>
    <w:rsid w:val="00303B97"/>
    <w:rsid w:val="00346571"/>
    <w:rsid w:val="004505B1"/>
    <w:rsid w:val="004D448E"/>
    <w:rsid w:val="009568FE"/>
    <w:rsid w:val="00AA2A0E"/>
    <w:rsid w:val="00D37EE7"/>
    <w:rsid w:val="00E903B4"/>
    <w:rsid w:val="00F93290"/>
    <w:rsid w:val="01305281"/>
    <w:rsid w:val="01DC313D"/>
    <w:rsid w:val="021467A9"/>
    <w:rsid w:val="024617F2"/>
    <w:rsid w:val="0256337A"/>
    <w:rsid w:val="02905EAB"/>
    <w:rsid w:val="02C924AA"/>
    <w:rsid w:val="02E908CF"/>
    <w:rsid w:val="03393BAE"/>
    <w:rsid w:val="033F0D78"/>
    <w:rsid w:val="037C5D7C"/>
    <w:rsid w:val="03BB78CE"/>
    <w:rsid w:val="0449694D"/>
    <w:rsid w:val="046C7840"/>
    <w:rsid w:val="049802FF"/>
    <w:rsid w:val="04F27EAB"/>
    <w:rsid w:val="054D64A7"/>
    <w:rsid w:val="05DA1197"/>
    <w:rsid w:val="05F26B29"/>
    <w:rsid w:val="05F73ACD"/>
    <w:rsid w:val="061A15B1"/>
    <w:rsid w:val="0636014D"/>
    <w:rsid w:val="068B7FCC"/>
    <w:rsid w:val="0698721F"/>
    <w:rsid w:val="07090194"/>
    <w:rsid w:val="070C0DEF"/>
    <w:rsid w:val="071C1CA7"/>
    <w:rsid w:val="071F2A3E"/>
    <w:rsid w:val="07270FC2"/>
    <w:rsid w:val="07D63EE2"/>
    <w:rsid w:val="07DD516F"/>
    <w:rsid w:val="084342C2"/>
    <w:rsid w:val="085409E1"/>
    <w:rsid w:val="0861382A"/>
    <w:rsid w:val="08E25A72"/>
    <w:rsid w:val="090F0C59"/>
    <w:rsid w:val="09AF3FF1"/>
    <w:rsid w:val="09D27F7E"/>
    <w:rsid w:val="09F163D0"/>
    <w:rsid w:val="0A31556A"/>
    <w:rsid w:val="0A721B30"/>
    <w:rsid w:val="0B5C0DCA"/>
    <w:rsid w:val="0B6F4ED0"/>
    <w:rsid w:val="0B8B6443"/>
    <w:rsid w:val="0BCC1D85"/>
    <w:rsid w:val="0BFE5C52"/>
    <w:rsid w:val="0C8A7F8F"/>
    <w:rsid w:val="0C9308B1"/>
    <w:rsid w:val="0C9D62F5"/>
    <w:rsid w:val="0CD56232"/>
    <w:rsid w:val="0CF62461"/>
    <w:rsid w:val="0D6866F1"/>
    <w:rsid w:val="0D6E4798"/>
    <w:rsid w:val="0D7444E2"/>
    <w:rsid w:val="0D8E74AA"/>
    <w:rsid w:val="0DCD29A9"/>
    <w:rsid w:val="0E7C5D36"/>
    <w:rsid w:val="0E8E0F8D"/>
    <w:rsid w:val="0E9769FD"/>
    <w:rsid w:val="0EB126E9"/>
    <w:rsid w:val="0ED4619D"/>
    <w:rsid w:val="0F0B50BC"/>
    <w:rsid w:val="0F3F5DC2"/>
    <w:rsid w:val="0FC83A31"/>
    <w:rsid w:val="100C2487"/>
    <w:rsid w:val="1024355E"/>
    <w:rsid w:val="103F5E7B"/>
    <w:rsid w:val="10B25DF3"/>
    <w:rsid w:val="11300BAA"/>
    <w:rsid w:val="118C11EC"/>
    <w:rsid w:val="11CE095F"/>
    <w:rsid w:val="12242713"/>
    <w:rsid w:val="12392B8D"/>
    <w:rsid w:val="12422D6C"/>
    <w:rsid w:val="127A0C92"/>
    <w:rsid w:val="12882DFF"/>
    <w:rsid w:val="128A0824"/>
    <w:rsid w:val="12F86343"/>
    <w:rsid w:val="13065BC9"/>
    <w:rsid w:val="138B2FE8"/>
    <w:rsid w:val="13B80D4D"/>
    <w:rsid w:val="13F11F07"/>
    <w:rsid w:val="148854BE"/>
    <w:rsid w:val="149739F1"/>
    <w:rsid w:val="14991AC0"/>
    <w:rsid w:val="14A113D2"/>
    <w:rsid w:val="15064E11"/>
    <w:rsid w:val="151B4AF5"/>
    <w:rsid w:val="15E541D9"/>
    <w:rsid w:val="1606592F"/>
    <w:rsid w:val="16166774"/>
    <w:rsid w:val="16511B6C"/>
    <w:rsid w:val="16545667"/>
    <w:rsid w:val="16734516"/>
    <w:rsid w:val="169C38A4"/>
    <w:rsid w:val="16A25956"/>
    <w:rsid w:val="16C4003D"/>
    <w:rsid w:val="171D097B"/>
    <w:rsid w:val="174052E9"/>
    <w:rsid w:val="17527900"/>
    <w:rsid w:val="175468D6"/>
    <w:rsid w:val="17BD3500"/>
    <w:rsid w:val="182F6239"/>
    <w:rsid w:val="18391F9F"/>
    <w:rsid w:val="185B7554"/>
    <w:rsid w:val="18736FCF"/>
    <w:rsid w:val="19131D2F"/>
    <w:rsid w:val="193544FE"/>
    <w:rsid w:val="194A6E65"/>
    <w:rsid w:val="19663A6F"/>
    <w:rsid w:val="19C442EE"/>
    <w:rsid w:val="19DB0CFF"/>
    <w:rsid w:val="19E05FC6"/>
    <w:rsid w:val="19E734C4"/>
    <w:rsid w:val="1A1E4E2D"/>
    <w:rsid w:val="1A295D37"/>
    <w:rsid w:val="1A3E59C6"/>
    <w:rsid w:val="1A6F38D8"/>
    <w:rsid w:val="1A711D62"/>
    <w:rsid w:val="1A711E1C"/>
    <w:rsid w:val="1A7A751F"/>
    <w:rsid w:val="1AB4513B"/>
    <w:rsid w:val="1B026FDC"/>
    <w:rsid w:val="1B106EF4"/>
    <w:rsid w:val="1B266D0E"/>
    <w:rsid w:val="1BE51C24"/>
    <w:rsid w:val="1BE9183C"/>
    <w:rsid w:val="1C660667"/>
    <w:rsid w:val="1C6A2129"/>
    <w:rsid w:val="1CB728D5"/>
    <w:rsid w:val="1CF739BD"/>
    <w:rsid w:val="1D1A36B1"/>
    <w:rsid w:val="1D964ABA"/>
    <w:rsid w:val="1DDC2DB6"/>
    <w:rsid w:val="1E144992"/>
    <w:rsid w:val="1E4E0F88"/>
    <w:rsid w:val="1E53452D"/>
    <w:rsid w:val="1ECD265E"/>
    <w:rsid w:val="1F5A0233"/>
    <w:rsid w:val="1F613F70"/>
    <w:rsid w:val="1F762255"/>
    <w:rsid w:val="1F8110BF"/>
    <w:rsid w:val="1F9C6C13"/>
    <w:rsid w:val="1FB069D9"/>
    <w:rsid w:val="1FB2188E"/>
    <w:rsid w:val="1FE22568"/>
    <w:rsid w:val="202933B5"/>
    <w:rsid w:val="203778E9"/>
    <w:rsid w:val="21001530"/>
    <w:rsid w:val="218925D5"/>
    <w:rsid w:val="219C7A82"/>
    <w:rsid w:val="21D30B38"/>
    <w:rsid w:val="222A326B"/>
    <w:rsid w:val="222F7BD7"/>
    <w:rsid w:val="225F61DD"/>
    <w:rsid w:val="22883450"/>
    <w:rsid w:val="228D0920"/>
    <w:rsid w:val="22EA67DF"/>
    <w:rsid w:val="23392584"/>
    <w:rsid w:val="239301B8"/>
    <w:rsid w:val="240D12D4"/>
    <w:rsid w:val="24154A61"/>
    <w:rsid w:val="24257FC2"/>
    <w:rsid w:val="24271A15"/>
    <w:rsid w:val="24AF2BC7"/>
    <w:rsid w:val="24B85758"/>
    <w:rsid w:val="24BB0A3D"/>
    <w:rsid w:val="24E67F8F"/>
    <w:rsid w:val="24EB6880"/>
    <w:rsid w:val="250112B2"/>
    <w:rsid w:val="25411D70"/>
    <w:rsid w:val="25624973"/>
    <w:rsid w:val="25865C88"/>
    <w:rsid w:val="25900E53"/>
    <w:rsid w:val="259B0672"/>
    <w:rsid w:val="25A636A3"/>
    <w:rsid w:val="260E28FB"/>
    <w:rsid w:val="26126108"/>
    <w:rsid w:val="2668592C"/>
    <w:rsid w:val="266A54D2"/>
    <w:rsid w:val="269F6A97"/>
    <w:rsid w:val="26D61A38"/>
    <w:rsid w:val="27085815"/>
    <w:rsid w:val="27135380"/>
    <w:rsid w:val="27654158"/>
    <w:rsid w:val="27976205"/>
    <w:rsid w:val="27D66557"/>
    <w:rsid w:val="28096E49"/>
    <w:rsid w:val="283A348C"/>
    <w:rsid w:val="283E4CCD"/>
    <w:rsid w:val="28684995"/>
    <w:rsid w:val="288F3EED"/>
    <w:rsid w:val="28C93342"/>
    <w:rsid w:val="298506EE"/>
    <w:rsid w:val="2A123246"/>
    <w:rsid w:val="2A226BAF"/>
    <w:rsid w:val="2A317754"/>
    <w:rsid w:val="2A63381A"/>
    <w:rsid w:val="2ADE0BAC"/>
    <w:rsid w:val="2B1803C1"/>
    <w:rsid w:val="2B3B28AC"/>
    <w:rsid w:val="2B4925E0"/>
    <w:rsid w:val="2B6E5373"/>
    <w:rsid w:val="2BA52826"/>
    <w:rsid w:val="2BBD24DE"/>
    <w:rsid w:val="2BC27F3E"/>
    <w:rsid w:val="2BCC4267"/>
    <w:rsid w:val="2C3C5BB3"/>
    <w:rsid w:val="2C4900D0"/>
    <w:rsid w:val="2C627C98"/>
    <w:rsid w:val="2CD02F96"/>
    <w:rsid w:val="2CF76054"/>
    <w:rsid w:val="2D3A4BC3"/>
    <w:rsid w:val="2D6F37D0"/>
    <w:rsid w:val="2DDE505D"/>
    <w:rsid w:val="2DE042FA"/>
    <w:rsid w:val="2DFB2B80"/>
    <w:rsid w:val="2EAC3D21"/>
    <w:rsid w:val="2EBF1B6D"/>
    <w:rsid w:val="2ED448AD"/>
    <w:rsid w:val="2F0C7B16"/>
    <w:rsid w:val="2F906803"/>
    <w:rsid w:val="300B7316"/>
    <w:rsid w:val="30105051"/>
    <w:rsid w:val="306D02BD"/>
    <w:rsid w:val="30AD0B0B"/>
    <w:rsid w:val="30B60B19"/>
    <w:rsid w:val="30D94E27"/>
    <w:rsid w:val="312D34E7"/>
    <w:rsid w:val="31713BF6"/>
    <w:rsid w:val="31EF13AD"/>
    <w:rsid w:val="322E2C6A"/>
    <w:rsid w:val="32820E21"/>
    <w:rsid w:val="32F455C5"/>
    <w:rsid w:val="33016A38"/>
    <w:rsid w:val="3364747B"/>
    <w:rsid w:val="33F65C71"/>
    <w:rsid w:val="340B5C84"/>
    <w:rsid w:val="34160775"/>
    <w:rsid w:val="3437693D"/>
    <w:rsid w:val="346E0C1D"/>
    <w:rsid w:val="34791A15"/>
    <w:rsid w:val="34853B4C"/>
    <w:rsid w:val="34A35960"/>
    <w:rsid w:val="34A57A56"/>
    <w:rsid w:val="35401F9A"/>
    <w:rsid w:val="355902E0"/>
    <w:rsid w:val="35F12B6A"/>
    <w:rsid w:val="35F868B7"/>
    <w:rsid w:val="35FF5902"/>
    <w:rsid w:val="360E55BB"/>
    <w:rsid w:val="36163147"/>
    <w:rsid w:val="36C73F0A"/>
    <w:rsid w:val="370074CC"/>
    <w:rsid w:val="373222B4"/>
    <w:rsid w:val="381A6292"/>
    <w:rsid w:val="38845FC5"/>
    <w:rsid w:val="38A209F9"/>
    <w:rsid w:val="38D65DCF"/>
    <w:rsid w:val="38DC4574"/>
    <w:rsid w:val="38F0143A"/>
    <w:rsid w:val="390D4114"/>
    <w:rsid w:val="396E0480"/>
    <w:rsid w:val="39AA15A9"/>
    <w:rsid w:val="39CC60DB"/>
    <w:rsid w:val="3ABD4121"/>
    <w:rsid w:val="3AC764AA"/>
    <w:rsid w:val="3B093A44"/>
    <w:rsid w:val="3B134335"/>
    <w:rsid w:val="3B742AB0"/>
    <w:rsid w:val="3B772808"/>
    <w:rsid w:val="3BF0761E"/>
    <w:rsid w:val="3C7C75E3"/>
    <w:rsid w:val="3C84495E"/>
    <w:rsid w:val="3CAC6C8F"/>
    <w:rsid w:val="3CDF1048"/>
    <w:rsid w:val="3CEE26B8"/>
    <w:rsid w:val="3D107535"/>
    <w:rsid w:val="3D182492"/>
    <w:rsid w:val="3D1F3CA9"/>
    <w:rsid w:val="3D5A3DC8"/>
    <w:rsid w:val="3D5E0B00"/>
    <w:rsid w:val="3D935145"/>
    <w:rsid w:val="3E29379B"/>
    <w:rsid w:val="3E6842C3"/>
    <w:rsid w:val="3E9418DD"/>
    <w:rsid w:val="3E9606B2"/>
    <w:rsid w:val="3ECE4075"/>
    <w:rsid w:val="3EF45BDE"/>
    <w:rsid w:val="3F3A2CAC"/>
    <w:rsid w:val="3F583C95"/>
    <w:rsid w:val="3F6D0FE1"/>
    <w:rsid w:val="3F896BDA"/>
    <w:rsid w:val="3FA011AF"/>
    <w:rsid w:val="3FE61B30"/>
    <w:rsid w:val="3FEC081F"/>
    <w:rsid w:val="40081729"/>
    <w:rsid w:val="401F177C"/>
    <w:rsid w:val="40434746"/>
    <w:rsid w:val="407B78CA"/>
    <w:rsid w:val="40DE726B"/>
    <w:rsid w:val="40EC27D7"/>
    <w:rsid w:val="411F1747"/>
    <w:rsid w:val="41974570"/>
    <w:rsid w:val="424305B2"/>
    <w:rsid w:val="42982A6F"/>
    <w:rsid w:val="4298644F"/>
    <w:rsid w:val="429D0102"/>
    <w:rsid w:val="42AE65B3"/>
    <w:rsid w:val="42BC777E"/>
    <w:rsid w:val="42C7316A"/>
    <w:rsid w:val="42DA5043"/>
    <w:rsid w:val="42E83A5B"/>
    <w:rsid w:val="433B4E12"/>
    <w:rsid w:val="43887FE0"/>
    <w:rsid w:val="43DF41E8"/>
    <w:rsid w:val="44096C57"/>
    <w:rsid w:val="44524D55"/>
    <w:rsid w:val="446E05D4"/>
    <w:rsid w:val="447E677D"/>
    <w:rsid w:val="449F47B6"/>
    <w:rsid w:val="454F1840"/>
    <w:rsid w:val="4570367A"/>
    <w:rsid w:val="458D26BC"/>
    <w:rsid w:val="45A7122C"/>
    <w:rsid w:val="45A715D5"/>
    <w:rsid w:val="46193713"/>
    <w:rsid w:val="461F4711"/>
    <w:rsid w:val="463E4EC1"/>
    <w:rsid w:val="463E75C2"/>
    <w:rsid w:val="468515B9"/>
    <w:rsid w:val="46C96F40"/>
    <w:rsid w:val="47613705"/>
    <w:rsid w:val="4781191F"/>
    <w:rsid w:val="47825340"/>
    <w:rsid w:val="4789756D"/>
    <w:rsid w:val="479B4556"/>
    <w:rsid w:val="47AB19BB"/>
    <w:rsid w:val="47DA2A52"/>
    <w:rsid w:val="47E845A8"/>
    <w:rsid w:val="48293FC7"/>
    <w:rsid w:val="48D24F85"/>
    <w:rsid w:val="49305CE7"/>
    <w:rsid w:val="495B7468"/>
    <w:rsid w:val="49725A83"/>
    <w:rsid w:val="499A544A"/>
    <w:rsid w:val="49C67F9A"/>
    <w:rsid w:val="4A0D18AB"/>
    <w:rsid w:val="4A13330D"/>
    <w:rsid w:val="4A133E60"/>
    <w:rsid w:val="4A995073"/>
    <w:rsid w:val="4AB4029C"/>
    <w:rsid w:val="4AE12FDA"/>
    <w:rsid w:val="4B3F5804"/>
    <w:rsid w:val="4B4E749F"/>
    <w:rsid w:val="4BA82530"/>
    <w:rsid w:val="4BBF33AD"/>
    <w:rsid w:val="4C1863C8"/>
    <w:rsid w:val="4C494F33"/>
    <w:rsid w:val="4C766F34"/>
    <w:rsid w:val="4D0E7C67"/>
    <w:rsid w:val="4D3267B3"/>
    <w:rsid w:val="4D74215B"/>
    <w:rsid w:val="4DB22E42"/>
    <w:rsid w:val="4E04765A"/>
    <w:rsid w:val="4E0769C0"/>
    <w:rsid w:val="4E260B52"/>
    <w:rsid w:val="4E3C4B9F"/>
    <w:rsid w:val="4E9B7D9D"/>
    <w:rsid w:val="4ED679CA"/>
    <w:rsid w:val="4F142CD2"/>
    <w:rsid w:val="4F2446A2"/>
    <w:rsid w:val="4F391107"/>
    <w:rsid w:val="4F400A92"/>
    <w:rsid w:val="4F5552CB"/>
    <w:rsid w:val="4F6734AD"/>
    <w:rsid w:val="4FBC2023"/>
    <w:rsid w:val="4FD81A3A"/>
    <w:rsid w:val="4FE347FA"/>
    <w:rsid w:val="4FFF360F"/>
    <w:rsid w:val="502E24AC"/>
    <w:rsid w:val="504B35D3"/>
    <w:rsid w:val="506D3FA2"/>
    <w:rsid w:val="509C0DC4"/>
    <w:rsid w:val="509D44EB"/>
    <w:rsid w:val="50A87415"/>
    <w:rsid w:val="50C555A5"/>
    <w:rsid w:val="50C96EBB"/>
    <w:rsid w:val="50CD151D"/>
    <w:rsid w:val="50DC78FC"/>
    <w:rsid w:val="51855CFC"/>
    <w:rsid w:val="51B374FB"/>
    <w:rsid w:val="51B64D1E"/>
    <w:rsid w:val="51DE36BE"/>
    <w:rsid w:val="51FA3DDF"/>
    <w:rsid w:val="5289354B"/>
    <w:rsid w:val="535E0BA7"/>
    <w:rsid w:val="535F4B55"/>
    <w:rsid w:val="536F40F5"/>
    <w:rsid w:val="53E113B9"/>
    <w:rsid w:val="53F01145"/>
    <w:rsid w:val="54244258"/>
    <w:rsid w:val="54363C94"/>
    <w:rsid w:val="545371EE"/>
    <w:rsid w:val="54653303"/>
    <w:rsid w:val="548F0560"/>
    <w:rsid w:val="54B86B0F"/>
    <w:rsid w:val="54C115A7"/>
    <w:rsid w:val="55741C75"/>
    <w:rsid w:val="55A77000"/>
    <w:rsid w:val="55F35DBB"/>
    <w:rsid w:val="560B6B33"/>
    <w:rsid w:val="56EB21FB"/>
    <w:rsid w:val="57993E96"/>
    <w:rsid w:val="57BB4CEC"/>
    <w:rsid w:val="58B96B20"/>
    <w:rsid w:val="58D31E1F"/>
    <w:rsid w:val="58FA2368"/>
    <w:rsid w:val="59281352"/>
    <w:rsid w:val="592A0CFA"/>
    <w:rsid w:val="59B66225"/>
    <w:rsid w:val="59C563EE"/>
    <w:rsid w:val="5A4056A2"/>
    <w:rsid w:val="5A8D692F"/>
    <w:rsid w:val="5AA514DE"/>
    <w:rsid w:val="5AED7B86"/>
    <w:rsid w:val="5B291D9C"/>
    <w:rsid w:val="5B4D4C0B"/>
    <w:rsid w:val="5B5309E2"/>
    <w:rsid w:val="5B6A1F1A"/>
    <w:rsid w:val="5B884084"/>
    <w:rsid w:val="5C751DBE"/>
    <w:rsid w:val="5CCA2340"/>
    <w:rsid w:val="5D1B023A"/>
    <w:rsid w:val="5D2C1C84"/>
    <w:rsid w:val="5D3101D2"/>
    <w:rsid w:val="5DA919AB"/>
    <w:rsid w:val="5DB118E9"/>
    <w:rsid w:val="5DBD5EFD"/>
    <w:rsid w:val="5DC7688B"/>
    <w:rsid w:val="5DD6174B"/>
    <w:rsid w:val="5E18068B"/>
    <w:rsid w:val="5E821890"/>
    <w:rsid w:val="5ECC5796"/>
    <w:rsid w:val="5F076912"/>
    <w:rsid w:val="5F684E7C"/>
    <w:rsid w:val="60476A0E"/>
    <w:rsid w:val="605466A0"/>
    <w:rsid w:val="60556AAD"/>
    <w:rsid w:val="60A11FAE"/>
    <w:rsid w:val="60B60A02"/>
    <w:rsid w:val="61DC2B1A"/>
    <w:rsid w:val="62183AC1"/>
    <w:rsid w:val="62CA7E20"/>
    <w:rsid w:val="631D6682"/>
    <w:rsid w:val="635048C6"/>
    <w:rsid w:val="637970C3"/>
    <w:rsid w:val="6399240A"/>
    <w:rsid w:val="63B74CE3"/>
    <w:rsid w:val="63B90A77"/>
    <w:rsid w:val="64092310"/>
    <w:rsid w:val="642D4971"/>
    <w:rsid w:val="64562351"/>
    <w:rsid w:val="64664EB6"/>
    <w:rsid w:val="647F559D"/>
    <w:rsid w:val="656C74F3"/>
    <w:rsid w:val="65A051CD"/>
    <w:rsid w:val="65D476A5"/>
    <w:rsid w:val="65D87EA7"/>
    <w:rsid w:val="65FB4000"/>
    <w:rsid w:val="65FC53A9"/>
    <w:rsid w:val="66035F06"/>
    <w:rsid w:val="66661AB5"/>
    <w:rsid w:val="66DA3D17"/>
    <w:rsid w:val="66FC17B7"/>
    <w:rsid w:val="67A44733"/>
    <w:rsid w:val="67DA535D"/>
    <w:rsid w:val="67F9748A"/>
    <w:rsid w:val="682150CB"/>
    <w:rsid w:val="683F08C3"/>
    <w:rsid w:val="68A125DD"/>
    <w:rsid w:val="68CF22B3"/>
    <w:rsid w:val="69382A2C"/>
    <w:rsid w:val="69456E2B"/>
    <w:rsid w:val="694C42CE"/>
    <w:rsid w:val="69940C52"/>
    <w:rsid w:val="69D2758C"/>
    <w:rsid w:val="6A422F85"/>
    <w:rsid w:val="6A687275"/>
    <w:rsid w:val="6A721A02"/>
    <w:rsid w:val="6AA03EED"/>
    <w:rsid w:val="6AAC1D8E"/>
    <w:rsid w:val="6B4E646B"/>
    <w:rsid w:val="6B77107A"/>
    <w:rsid w:val="6BA14120"/>
    <w:rsid w:val="6C776A96"/>
    <w:rsid w:val="6C884CCE"/>
    <w:rsid w:val="6D8A71E4"/>
    <w:rsid w:val="6DA210B8"/>
    <w:rsid w:val="6E4808C0"/>
    <w:rsid w:val="6EC417C9"/>
    <w:rsid w:val="6F173EB2"/>
    <w:rsid w:val="6F62590A"/>
    <w:rsid w:val="6F997223"/>
    <w:rsid w:val="6FF102A9"/>
    <w:rsid w:val="70AD6730"/>
    <w:rsid w:val="70AF0DC5"/>
    <w:rsid w:val="70BA036A"/>
    <w:rsid w:val="70DB179F"/>
    <w:rsid w:val="70E33D42"/>
    <w:rsid w:val="71436346"/>
    <w:rsid w:val="71681A1D"/>
    <w:rsid w:val="7185070D"/>
    <w:rsid w:val="719F5598"/>
    <w:rsid w:val="71F441B6"/>
    <w:rsid w:val="72143DD6"/>
    <w:rsid w:val="726915C0"/>
    <w:rsid w:val="731352DC"/>
    <w:rsid w:val="73327914"/>
    <w:rsid w:val="73424373"/>
    <w:rsid w:val="73506444"/>
    <w:rsid w:val="739902BF"/>
    <w:rsid w:val="74182329"/>
    <w:rsid w:val="741C7D0C"/>
    <w:rsid w:val="745A55F3"/>
    <w:rsid w:val="7474619D"/>
    <w:rsid w:val="74B1140E"/>
    <w:rsid w:val="750F26A5"/>
    <w:rsid w:val="750F3E1D"/>
    <w:rsid w:val="75543B4F"/>
    <w:rsid w:val="756C0933"/>
    <w:rsid w:val="75B17515"/>
    <w:rsid w:val="760D6E77"/>
    <w:rsid w:val="76BE139E"/>
    <w:rsid w:val="76C00348"/>
    <w:rsid w:val="76ED5DA5"/>
    <w:rsid w:val="770924FE"/>
    <w:rsid w:val="772001B6"/>
    <w:rsid w:val="772227B3"/>
    <w:rsid w:val="773E2CEC"/>
    <w:rsid w:val="77DA57B7"/>
    <w:rsid w:val="781A429B"/>
    <w:rsid w:val="781D3088"/>
    <w:rsid w:val="7843399E"/>
    <w:rsid w:val="78454B1B"/>
    <w:rsid w:val="78574B7E"/>
    <w:rsid w:val="786F7FE8"/>
    <w:rsid w:val="78734ECD"/>
    <w:rsid w:val="78755EE0"/>
    <w:rsid w:val="78784A88"/>
    <w:rsid w:val="78A0590D"/>
    <w:rsid w:val="78CC6C21"/>
    <w:rsid w:val="791F6106"/>
    <w:rsid w:val="79540685"/>
    <w:rsid w:val="795F088A"/>
    <w:rsid w:val="79B078A8"/>
    <w:rsid w:val="79CD0FF0"/>
    <w:rsid w:val="79F41474"/>
    <w:rsid w:val="7A482943"/>
    <w:rsid w:val="7A5D7F7A"/>
    <w:rsid w:val="7A7154F5"/>
    <w:rsid w:val="7A730D4F"/>
    <w:rsid w:val="7AC21775"/>
    <w:rsid w:val="7B19100F"/>
    <w:rsid w:val="7B1F00C5"/>
    <w:rsid w:val="7B57268A"/>
    <w:rsid w:val="7BC24980"/>
    <w:rsid w:val="7BC61133"/>
    <w:rsid w:val="7BC851A2"/>
    <w:rsid w:val="7BEB7099"/>
    <w:rsid w:val="7C0861C2"/>
    <w:rsid w:val="7C093D32"/>
    <w:rsid w:val="7C4431AD"/>
    <w:rsid w:val="7C7D684C"/>
    <w:rsid w:val="7CCB75CB"/>
    <w:rsid w:val="7D0263E2"/>
    <w:rsid w:val="7D1F59B2"/>
    <w:rsid w:val="7D222757"/>
    <w:rsid w:val="7D2C0851"/>
    <w:rsid w:val="7D435A31"/>
    <w:rsid w:val="7D5B6EBA"/>
    <w:rsid w:val="7D6749D4"/>
    <w:rsid w:val="7D705BAC"/>
    <w:rsid w:val="7D976E56"/>
    <w:rsid w:val="7DBA63DF"/>
    <w:rsid w:val="7DDB1269"/>
    <w:rsid w:val="7E18172E"/>
    <w:rsid w:val="7E525DBF"/>
    <w:rsid w:val="7EF77212"/>
    <w:rsid w:val="7F2A2ACE"/>
    <w:rsid w:val="7F566635"/>
    <w:rsid w:val="7F7821AA"/>
    <w:rsid w:val="7FE607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2">
    <w:name w:val="heading 4"/>
    <w:basedOn w:val="1"/>
    <w:next w:val="3"/>
    <w:qFormat/>
    <w:uiPriority w:val="0"/>
    <w:pPr>
      <w:keepNext/>
      <w:keepLines/>
      <w:tabs>
        <w:tab w:val="left" w:pos="992"/>
      </w:tabs>
      <w:adjustRightInd w:val="0"/>
      <w:spacing w:before="280" w:after="290" w:line="376" w:lineRule="atLeast"/>
      <w:ind w:left="992" w:hanging="992"/>
      <w:jc w:val="left"/>
      <w:textAlignment w:val="baseline"/>
      <w:outlineLvl w:val="3"/>
    </w:pPr>
    <w:rPr>
      <w:rFonts w:ascii="Arial" w:hAnsi="Arial" w:eastAsia="黑体"/>
      <w:b/>
      <w:sz w:val="2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basedOn w:val="9"/>
    <w:qFormat/>
    <w:uiPriority w:val="0"/>
    <w:rPr>
      <w:color w:val="0000FF"/>
      <w:u w:val="single"/>
    </w:rPr>
  </w:style>
  <w:style w:type="paragraph" w:customStyle="1" w:styleId="12">
    <w:name w:val="正文1"/>
    <w:basedOn w:val="13"/>
    <w:qFormat/>
    <w:uiPriority w:val="0"/>
    <w:pPr>
      <w:tabs>
        <w:tab w:val="left" w:pos="2160"/>
      </w:tabs>
      <w:adjustRightInd w:val="0"/>
      <w:spacing w:line="490" w:lineRule="exact"/>
      <w:jc w:val="center"/>
      <w:textAlignment w:val="baseline"/>
    </w:pPr>
    <w:rPr>
      <w:rFonts w:ascii="仿宋_GB2312" w:eastAsia="仿宋_GB2312"/>
      <w:kern w:val="0"/>
      <w:sz w:val="34"/>
    </w:rPr>
  </w:style>
  <w:style w:type="paragraph" w:customStyle="1" w:styleId="13">
    <w:name w:val="样式1"/>
    <w:basedOn w:val="1"/>
    <w:qFormat/>
    <w:uiPriority w:val="99"/>
    <w:rPr>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4581</Words>
  <Characters>4711</Characters>
  <Lines>19</Lines>
  <Paragraphs>5</Paragraphs>
  <TotalTime>121</TotalTime>
  <ScaleCrop>false</ScaleCrop>
  <LinksUpToDate>false</LinksUpToDate>
  <CharactersWithSpaces>4719</CharactersWithSpaces>
  <Application>WPS Office_11.8.6.11829_F1E327BC-269C-435d-A152-05C5408002CA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2021-06-07T01:34:00Z</dcterms:created>
  <dc:creator>123</dc:creator>
  <cp:lastModifiedBy>高强强</cp:lastModifiedBy>
  <cp:lastPrinted>2026-03-04T06:17:59Z</cp:lastPrinted>
  <dcterms:modified xsi:type="dcterms:W3CDTF">2026-03-04T07:59:09Z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2052-11.8.6.11829</vt:lpwstr>
  </property>
  <property fmtid="{D5CDD505-2E9C-101B-9397-08002B2CF9AE}" pid="3" name="ICV">
    <vt:lpwstr>BE0E89C4513B4F8BBB42F036B1B31B64</vt:lpwstr>
  </property>
  <property fmtid="{D5CDD505-2E9C-101B-9397-08002B2CF9AE}" pid="4" name="KSOTemplateDocerSaveRecord">
    <vt:lpwstr>eyJoZGlkIjoiM2ExNjY5MWQ0OWUzYjcxZjUxYWY0YjAzMjk0YjQ0NDAiLCJ1c2VySWQiOiI2Mjg3MjA1MDUifQ==</vt:lpwstr>
  </property>
</Properties>
</file>