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w:t>
      </w:r>
      <w:r>
        <w:rPr>
          <w:rFonts w:hint="eastAsia" w:ascii="Times New Roman" w:hAnsi="Times New Roman" w:eastAsia="黑体"/>
          <w:color w:val="auto"/>
          <w:sz w:val="28"/>
          <w:szCs w:val="28"/>
          <w:highlight w:val="none"/>
          <w:lang w:val="en-US" w:eastAsia="zh-CN"/>
        </w:rPr>
        <w:t>0-06</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2026年第二季度（80UFMB）泵配件采购项目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2026年第二季度（80UFMB）</w:t>
      </w:r>
      <w:r>
        <w:rPr>
          <w:rStyle w:val="12"/>
          <w:rFonts w:hint="eastAsia" w:ascii="方正小标宋_GBK" w:hAnsi="方正小标宋_GBK" w:eastAsia="方正小标宋_GBK" w:cs="方正小标宋_GBK"/>
          <w:b/>
          <w:bCs w:val="0"/>
          <w:i w:val="0"/>
          <w:iCs w:val="0"/>
          <w:caps w:val="0"/>
          <w:color w:val="000000"/>
          <w:spacing w:val="0"/>
          <w:sz w:val="36"/>
          <w:szCs w:val="36"/>
          <w:lang w:val="en-US" w:eastAsia="zh-CN"/>
        </w:rPr>
        <w:t>泵配件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（80UFMB）</w:t>
      </w:r>
      <w:r>
        <w:rPr>
          <w:rFonts w:hint="eastAsia" w:ascii="宋体" w:hAnsi="宋体" w:eastAsia="宋体" w:cs="宋体"/>
          <w:b/>
          <w:bCs/>
          <w:i w:val="0"/>
          <w:iCs w:val="0"/>
          <w:caps w:val="0"/>
          <w:color w:val="000000"/>
          <w:spacing w:val="0"/>
          <w:sz w:val="32"/>
          <w:szCs w:val="32"/>
          <w:lang w:val="en-US" w:eastAsia="zh-CN"/>
        </w:rPr>
        <w:t>泵配件一批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33795775"/>
      <w:bookmarkStart w:id="2" w:name="_Toc14440"/>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11471"/>
      <w:bookmarkStart w:id="6" w:name="_Toc7037"/>
      <w:bookmarkStart w:id="7" w:name="_Toc33795776"/>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第二季度（</w:t>
      </w:r>
      <w:r>
        <w:rPr>
          <w:rFonts w:hint="eastAsia" w:ascii="国标仿宋" w:hAnsi="国标仿宋" w:eastAsia="国标仿宋" w:cs="国标仿宋"/>
          <w:b/>
          <w:bCs/>
          <w:color w:val="auto"/>
          <w:sz w:val="32"/>
          <w:szCs w:val="32"/>
          <w:lang w:val="en-US" w:eastAsia="zh-CN"/>
        </w:rPr>
        <w:t>80UFMB</w:t>
      </w:r>
      <w:r>
        <w:rPr>
          <w:rFonts w:hint="eastAsia" w:ascii="国标仿宋" w:hAnsi="国标仿宋" w:eastAsia="国标仿宋" w:cs="国标仿宋"/>
          <w:b/>
          <w:bCs/>
          <w:color w:val="auto"/>
          <w:sz w:val="32"/>
          <w:szCs w:val="32"/>
          <w:lang w:eastAsia="zh-CN"/>
        </w:rPr>
        <w:t>）</w:t>
      </w:r>
      <w:r>
        <w:rPr>
          <w:rFonts w:hint="eastAsia" w:ascii="国标仿宋" w:hAnsi="国标仿宋" w:eastAsia="国标仿宋" w:cs="国标仿宋"/>
          <w:b/>
          <w:bCs/>
          <w:color w:val="auto"/>
          <w:sz w:val="32"/>
          <w:szCs w:val="32"/>
          <w:lang w:val="en-US" w:eastAsia="zh-CN"/>
        </w:rPr>
        <w:t>泵配件采购项目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717"/>
        <w:gridCol w:w="3450"/>
        <w:gridCol w:w="510"/>
        <w:gridCol w:w="540"/>
        <w:gridCol w:w="82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717"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45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1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4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2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1717" w:type="dxa"/>
            <w:vAlign w:val="center"/>
          </w:tcPr>
          <w:p w14:paraId="2BEAE3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泵轴</w:t>
            </w:r>
          </w:p>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（离心泵配件）</w:t>
            </w:r>
          </w:p>
        </w:tc>
        <w:tc>
          <w:tcPr>
            <w:tcW w:w="3450" w:type="dxa"/>
            <w:vAlign w:val="center"/>
          </w:tcPr>
          <w:p w14:paraId="50263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80UFMB-S-54/40-65-K </w:t>
            </w:r>
          </w:p>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材质：316L 宜兴瑞丰</w:t>
            </w:r>
          </w:p>
        </w:tc>
        <w:tc>
          <w:tcPr>
            <w:tcW w:w="510"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825"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6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DFB6C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1717" w:type="dxa"/>
            <w:vAlign w:val="center"/>
          </w:tcPr>
          <w:p w14:paraId="72BB1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泵壳</w:t>
            </w:r>
          </w:p>
        </w:tc>
        <w:tc>
          <w:tcPr>
            <w:tcW w:w="3450" w:type="dxa"/>
            <w:vAlign w:val="center"/>
          </w:tcPr>
          <w:p w14:paraId="03371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80UFMB-S-54/40-65-K 宜兴瑞丰</w:t>
            </w:r>
          </w:p>
        </w:tc>
        <w:tc>
          <w:tcPr>
            <w:tcW w:w="510" w:type="dxa"/>
            <w:vAlign w:val="center"/>
          </w:tcPr>
          <w:p w14:paraId="295EE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1805C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vAlign w:val="center"/>
          </w:tcPr>
          <w:p w14:paraId="5A5E39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24C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8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3831A5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1717" w:type="dxa"/>
            <w:vAlign w:val="center"/>
          </w:tcPr>
          <w:p w14:paraId="21951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叶轮</w:t>
            </w:r>
          </w:p>
        </w:tc>
        <w:tc>
          <w:tcPr>
            <w:tcW w:w="3450" w:type="dxa"/>
            <w:vAlign w:val="center"/>
          </w:tcPr>
          <w:p w14:paraId="4E844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80UFMB-S-54/40-65-K 宜兴瑞丰</w:t>
            </w:r>
          </w:p>
        </w:tc>
        <w:tc>
          <w:tcPr>
            <w:tcW w:w="510" w:type="dxa"/>
            <w:vAlign w:val="center"/>
          </w:tcPr>
          <w:p w14:paraId="55912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58530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vAlign w:val="center"/>
          </w:tcPr>
          <w:p w14:paraId="14BF31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BFBB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A5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1717" w:type="dxa"/>
            <w:vAlign w:val="center"/>
          </w:tcPr>
          <w:p w14:paraId="316D5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后夹板</w:t>
            </w:r>
          </w:p>
        </w:tc>
        <w:tc>
          <w:tcPr>
            <w:tcW w:w="3450" w:type="dxa"/>
            <w:vAlign w:val="center"/>
          </w:tcPr>
          <w:p w14:paraId="44810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80UFMB-S-54/40-65-K 宜兴瑞丰</w:t>
            </w:r>
          </w:p>
        </w:tc>
        <w:tc>
          <w:tcPr>
            <w:tcW w:w="510" w:type="dxa"/>
            <w:vAlign w:val="center"/>
          </w:tcPr>
          <w:p w14:paraId="23206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1FA9D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vAlign w:val="center"/>
          </w:tcPr>
          <w:p w14:paraId="71845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1786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F7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4D5B7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1717" w:type="dxa"/>
            <w:vAlign w:val="center"/>
          </w:tcPr>
          <w:p w14:paraId="5CFB39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泵轴</w:t>
            </w:r>
          </w:p>
          <w:p w14:paraId="7028A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（离心泵配件）</w:t>
            </w:r>
          </w:p>
        </w:tc>
        <w:tc>
          <w:tcPr>
            <w:tcW w:w="3450" w:type="dxa"/>
            <w:vAlign w:val="center"/>
          </w:tcPr>
          <w:p w14:paraId="3ABEC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80UFMB-S-35/40-30-CH </w:t>
            </w:r>
          </w:p>
          <w:p w14:paraId="5CD1D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材质：316L 宜兴瑞丰</w:t>
            </w:r>
          </w:p>
        </w:tc>
        <w:tc>
          <w:tcPr>
            <w:tcW w:w="510" w:type="dxa"/>
            <w:vAlign w:val="center"/>
          </w:tcPr>
          <w:p w14:paraId="24D41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51965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825" w:type="dxa"/>
            <w:vAlign w:val="center"/>
          </w:tcPr>
          <w:p w14:paraId="41A2A2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8425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853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579E6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1717" w:type="dxa"/>
            <w:vAlign w:val="center"/>
          </w:tcPr>
          <w:p w14:paraId="0E594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叶轮</w:t>
            </w:r>
          </w:p>
        </w:tc>
        <w:tc>
          <w:tcPr>
            <w:tcW w:w="3450" w:type="dxa"/>
            <w:vAlign w:val="center"/>
          </w:tcPr>
          <w:p w14:paraId="094DB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80UFMB-S-35/40-30-CH 宜兴瑞丰</w:t>
            </w:r>
          </w:p>
        </w:tc>
        <w:tc>
          <w:tcPr>
            <w:tcW w:w="510" w:type="dxa"/>
            <w:vAlign w:val="center"/>
          </w:tcPr>
          <w:p w14:paraId="29223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697AD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vAlign w:val="center"/>
          </w:tcPr>
          <w:p w14:paraId="3130A6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EF82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CE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4BC113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1717" w:type="dxa"/>
            <w:vAlign w:val="center"/>
          </w:tcPr>
          <w:p w14:paraId="14386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后夹板</w:t>
            </w:r>
          </w:p>
        </w:tc>
        <w:tc>
          <w:tcPr>
            <w:tcW w:w="3450" w:type="dxa"/>
            <w:vAlign w:val="center"/>
          </w:tcPr>
          <w:p w14:paraId="409D0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80UFMB-S-35/40-30-CH 宜兴瑞丰</w:t>
            </w:r>
          </w:p>
        </w:tc>
        <w:tc>
          <w:tcPr>
            <w:tcW w:w="510" w:type="dxa"/>
            <w:vAlign w:val="center"/>
          </w:tcPr>
          <w:p w14:paraId="0AA86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43C0B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vAlign w:val="center"/>
          </w:tcPr>
          <w:p w14:paraId="4E714A0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CC9FA9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EF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E7CB2A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1717" w:type="dxa"/>
            <w:vAlign w:val="center"/>
          </w:tcPr>
          <w:p w14:paraId="53B12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后泵盖</w:t>
            </w:r>
          </w:p>
        </w:tc>
        <w:tc>
          <w:tcPr>
            <w:tcW w:w="3450" w:type="dxa"/>
            <w:vAlign w:val="center"/>
          </w:tcPr>
          <w:p w14:paraId="043D5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80UFMB-S-35/40-30-CH 宜兴瑞丰</w:t>
            </w:r>
          </w:p>
        </w:tc>
        <w:tc>
          <w:tcPr>
            <w:tcW w:w="510" w:type="dxa"/>
            <w:vAlign w:val="center"/>
          </w:tcPr>
          <w:p w14:paraId="195168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16165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vAlign w:val="center"/>
          </w:tcPr>
          <w:p w14:paraId="1D0FC9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434BB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717"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450" w:type="dxa"/>
            <w:vAlign w:val="top"/>
          </w:tcPr>
          <w:p w14:paraId="6215BA5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10"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40"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14688"/>
      <w:bookmarkStart w:id="10" w:name="_Toc3379577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9531529"/>
      <w:bookmarkStart w:id="13" w:name="_Toc361508598"/>
      <w:bookmarkStart w:id="14" w:name="_Toc352691486"/>
      <w:bookmarkStart w:id="15" w:name="_Toc144974510"/>
      <w:bookmarkStart w:id="16" w:name="_Toc247527567"/>
      <w:bookmarkStart w:id="17" w:name="_Toc300834963"/>
      <w:bookmarkStart w:id="18" w:name="_Toc384308223"/>
      <w:bookmarkStart w:id="19" w:name="_Toc25772"/>
      <w:bookmarkStart w:id="20" w:name="_Toc152042318"/>
      <w:bookmarkStart w:id="21" w:name="_Toc152045542"/>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361508599"/>
      <w:bookmarkStart w:id="25" w:name="_Toc300834964"/>
      <w:bookmarkStart w:id="26" w:name="_Toc247513967"/>
      <w:bookmarkStart w:id="27" w:name="_Toc352691487"/>
      <w:bookmarkStart w:id="28" w:name="_Toc247527568"/>
      <w:bookmarkStart w:id="29" w:name="_Toc152045543"/>
      <w:bookmarkStart w:id="30" w:name="_Toc369531530"/>
      <w:bookmarkStart w:id="31" w:name="_Toc384308224"/>
      <w:bookmarkStart w:id="32" w:name="_Toc144974511"/>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29025"/>
      <w:bookmarkStart w:id="36" w:name="_Toc384308227"/>
      <w:bookmarkStart w:id="37" w:name="_Toc361508602"/>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361508603"/>
      <w:bookmarkStart w:id="41" w:name="_Toc352691491"/>
      <w:bookmarkStart w:id="42" w:name="_Toc152042322"/>
      <w:bookmarkStart w:id="43" w:name="_Toc300834967"/>
      <w:bookmarkStart w:id="44" w:name="_Toc384308228"/>
      <w:bookmarkStart w:id="45" w:name="_Toc14751"/>
      <w:bookmarkStart w:id="46" w:name="_Toc247527571"/>
      <w:bookmarkStart w:id="47" w:name="_Toc369531534"/>
      <w:bookmarkStart w:id="48" w:name="_Toc247513970"/>
      <w:bookmarkStart w:id="49" w:name="_Toc152045546"/>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361508604"/>
      <w:bookmarkStart w:id="52" w:name="_Toc247527572"/>
      <w:bookmarkStart w:id="53" w:name="_Toc152042323"/>
      <w:bookmarkStart w:id="54" w:name="_Toc144974515"/>
      <w:bookmarkStart w:id="55" w:name="_Toc152045547"/>
      <w:bookmarkStart w:id="56" w:name="_Toc369531535"/>
      <w:bookmarkStart w:id="57" w:name="_Toc17952"/>
      <w:bookmarkStart w:id="58" w:name="_Toc247513971"/>
      <w:bookmarkStart w:id="59" w:name="_Toc352691492"/>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widowControl/>
        <w:suppressLineNumbers w:val="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widowControl/>
        <w:suppressLineNumbers w:val="0"/>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44974570"/>
      <w:bookmarkStart w:id="66" w:name="_Toc247514027"/>
      <w:bookmarkStart w:id="67" w:name="_Toc361508651"/>
      <w:bookmarkStart w:id="68" w:name="_Toc384308277"/>
      <w:bookmarkStart w:id="69" w:name="_Toc300835013"/>
      <w:bookmarkStart w:id="70" w:name="_Toc152045603"/>
      <w:bookmarkStart w:id="71" w:name="_Toc247527628"/>
      <w:bookmarkStart w:id="72" w:name="_Toc152042380"/>
      <w:bookmarkStart w:id="73" w:name="_Toc369531582"/>
      <w:bookmarkStart w:id="74" w:name="_Toc352691538"/>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33795835"/>
      <w:bookmarkStart w:id="78" w:name="_Toc13563"/>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15253"/>
      <w:bookmarkStart w:id="82" w:name="_Toc3366"/>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907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5561"/>
      <w:bookmarkStart w:id="96" w:name="_Toc152042337"/>
      <w:bookmarkStart w:id="97" w:name="_Toc30095"/>
      <w:bookmarkStart w:id="98" w:name="_Toc300834982"/>
      <w:bookmarkStart w:id="99" w:name="_Toc361508618"/>
      <w:bookmarkStart w:id="100" w:name="_Toc144974529"/>
      <w:bookmarkStart w:id="101" w:name="_Toc369531549"/>
      <w:bookmarkStart w:id="102" w:name="_Toc247527586"/>
      <w:bookmarkStart w:id="103" w:name="_Toc384308243"/>
      <w:bookmarkStart w:id="104" w:name="_Toc247513985"/>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8756"/>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19470"/>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33795812"/>
      <w:bookmarkStart w:id="116" w:name="_Toc10813"/>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61508619"/>
      <w:bookmarkStart w:id="120" w:name="_Toc300834983"/>
      <w:bookmarkStart w:id="121" w:name="_Toc384308244"/>
      <w:bookmarkStart w:id="122" w:name="_Toc369531550"/>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1183"/>
      <w:bookmarkStart w:id="129" w:name="_Toc33795814"/>
      <w:bookmarkStart w:id="130" w:name="_Toc3671"/>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52691509"/>
      <w:bookmarkStart w:id="133" w:name="_Toc361508622"/>
      <w:bookmarkStart w:id="134" w:name="_Toc300834986"/>
      <w:bookmarkStart w:id="135" w:name="_Toc247513988"/>
      <w:bookmarkStart w:id="136" w:name="_Toc152045564"/>
      <w:bookmarkStart w:id="137" w:name="_Toc4656"/>
      <w:bookmarkStart w:id="138" w:name="_Toc247527589"/>
      <w:bookmarkStart w:id="139" w:name="_Toc144974532"/>
      <w:bookmarkStart w:id="140" w:name="_Toc152042340"/>
      <w:bookmarkStart w:id="141" w:name="_Toc369531553"/>
      <w:bookmarkStart w:id="142"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1508623"/>
      <w:bookmarkStart w:id="144" w:name="_Toc18247"/>
      <w:bookmarkStart w:id="145" w:name="_Toc144974533"/>
      <w:bookmarkStart w:id="146" w:name="_Toc369531554"/>
      <w:bookmarkStart w:id="147" w:name="_Toc384308248"/>
      <w:bookmarkStart w:id="148" w:name="_Toc152042341"/>
      <w:bookmarkStart w:id="149" w:name="_Toc152045565"/>
      <w:bookmarkStart w:id="150" w:name="_Toc247513989"/>
      <w:bookmarkStart w:id="151" w:name="_Toc300834987"/>
      <w:bookmarkStart w:id="152" w:name="_Toc352691510"/>
      <w:bookmarkStart w:id="153" w:name="_Toc24752759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247527593"/>
      <w:bookmarkStart w:id="158" w:name="_Toc300834991"/>
      <w:bookmarkStart w:id="159" w:name="_Toc247513992"/>
      <w:bookmarkStart w:id="160" w:name="_Toc152045568"/>
      <w:bookmarkStart w:id="161" w:name="_Toc152042344"/>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84308253"/>
      <w:bookmarkStart w:id="168" w:name="_Toc352691515"/>
      <w:bookmarkStart w:id="169" w:name="_Toc369531559"/>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33795820"/>
      <w:bookmarkStart w:id="173" w:name="_Toc1807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4E6BD50B">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77AE8E85">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2026年4月10日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6444C77">
      <w:pPr>
        <w:pStyle w:val="2"/>
        <w:ind w:firstLine="8312" w:firstLineChars="2300"/>
        <w:jc w:val="both"/>
        <w:rPr>
          <w:rFonts w:hint="eastAsia"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XB20260410-06</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2026年第二季度（80UFMB）</w:t>
      </w:r>
      <w:r>
        <w:rPr>
          <w:rFonts w:hint="eastAsia" w:ascii="Times New Roman" w:hAnsi="Times New Roman" w:eastAsia="黑体"/>
          <w:b/>
          <w:bCs/>
          <w:color w:val="auto"/>
          <w:sz w:val="44"/>
          <w:szCs w:val="44"/>
          <w:highlight w:val="none"/>
          <w:lang w:val="en-US" w:eastAsia="zh-CN"/>
        </w:rPr>
        <w:t>泵配件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635DD1CE">
      <w:pPr>
        <w:rPr>
          <w:rFonts w:hint="eastAsia" w:ascii="仿宋" w:hAnsi="仿宋" w:eastAsia="仿宋" w:cs="仿宋"/>
          <w:color w:val="auto"/>
          <w:sz w:val="32"/>
          <w:szCs w:val="32"/>
        </w:rPr>
      </w:pPr>
    </w:p>
    <w:p w14:paraId="49B8BAC7">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84308377"/>
      <w:bookmarkStart w:id="186" w:name="_Toc247527829"/>
      <w:bookmarkStart w:id="187" w:name="_Toc300835211"/>
      <w:bookmarkStart w:id="188" w:name="_Toc144974858"/>
      <w:bookmarkStart w:id="189" w:name="_Toc152045789"/>
      <w:bookmarkStart w:id="190" w:name="_Toc369531699"/>
      <w:bookmarkStart w:id="191" w:name="_Toc15573"/>
      <w:bookmarkStart w:id="192" w:name="_Toc152042578"/>
      <w:bookmarkStart w:id="193" w:name="_Toc361508754"/>
      <w:bookmarkStart w:id="194" w:name="_Toc247514248"/>
      <w:bookmarkStart w:id="195" w:name="_Toc35269166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2026年第二季度（80UFMB）</w:t>
      </w:r>
      <w:r>
        <w:rPr>
          <w:rFonts w:hint="eastAsia" w:ascii="Times New Roman" w:hAnsi="Times New Roman" w:eastAsia="黑体"/>
          <w:color w:val="auto"/>
          <w:sz w:val="28"/>
          <w:szCs w:val="28"/>
          <w:highlight w:val="none"/>
          <w:lang w:val="en-US" w:eastAsia="zh-CN"/>
        </w:rPr>
        <w:t>泵配件询比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717"/>
        <w:gridCol w:w="3450"/>
        <w:gridCol w:w="510"/>
        <w:gridCol w:w="540"/>
        <w:gridCol w:w="825"/>
        <w:gridCol w:w="961"/>
      </w:tblGrid>
      <w:tr w14:paraId="6C78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054998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717" w:type="dxa"/>
            <w:vAlign w:val="center"/>
          </w:tcPr>
          <w:p w14:paraId="521BF8E9">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450" w:type="dxa"/>
            <w:vAlign w:val="center"/>
          </w:tcPr>
          <w:p w14:paraId="3B1B19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510" w:type="dxa"/>
            <w:vAlign w:val="center"/>
          </w:tcPr>
          <w:p w14:paraId="625EB8A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540" w:type="dxa"/>
            <w:vAlign w:val="center"/>
          </w:tcPr>
          <w:p w14:paraId="0F48C5C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825" w:type="dxa"/>
            <w:vAlign w:val="center"/>
          </w:tcPr>
          <w:p w14:paraId="34DB4C4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6776C0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6D84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8C436A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1717" w:type="dxa"/>
            <w:vAlign w:val="center"/>
          </w:tcPr>
          <w:p w14:paraId="4F015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泵轴</w:t>
            </w:r>
          </w:p>
          <w:p w14:paraId="0F239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（离心泵配件）</w:t>
            </w:r>
          </w:p>
        </w:tc>
        <w:tc>
          <w:tcPr>
            <w:tcW w:w="3450" w:type="dxa"/>
            <w:vAlign w:val="center"/>
          </w:tcPr>
          <w:p w14:paraId="5B9F3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80UFMB-S-54/40-65-K </w:t>
            </w:r>
          </w:p>
          <w:p w14:paraId="22278D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材质：316L 宜兴瑞丰</w:t>
            </w:r>
          </w:p>
        </w:tc>
        <w:tc>
          <w:tcPr>
            <w:tcW w:w="510" w:type="dxa"/>
            <w:vAlign w:val="center"/>
          </w:tcPr>
          <w:p w14:paraId="73323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00DDA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825" w:type="dxa"/>
            <w:vAlign w:val="center"/>
          </w:tcPr>
          <w:p w14:paraId="2954EF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7BA5B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E3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3DD833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1717" w:type="dxa"/>
            <w:vAlign w:val="center"/>
          </w:tcPr>
          <w:p w14:paraId="71758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泵壳</w:t>
            </w:r>
          </w:p>
        </w:tc>
        <w:tc>
          <w:tcPr>
            <w:tcW w:w="3450" w:type="dxa"/>
            <w:vAlign w:val="center"/>
          </w:tcPr>
          <w:p w14:paraId="266AE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80UFMB-S-54/40-65-K 宜兴瑞丰</w:t>
            </w:r>
          </w:p>
        </w:tc>
        <w:tc>
          <w:tcPr>
            <w:tcW w:w="510" w:type="dxa"/>
            <w:vAlign w:val="center"/>
          </w:tcPr>
          <w:p w14:paraId="739BE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6F839D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vAlign w:val="center"/>
          </w:tcPr>
          <w:p w14:paraId="5D3A32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6D1DFD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89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1B7CF9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1717" w:type="dxa"/>
            <w:vAlign w:val="center"/>
          </w:tcPr>
          <w:p w14:paraId="35987E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叶轮</w:t>
            </w:r>
          </w:p>
        </w:tc>
        <w:tc>
          <w:tcPr>
            <w:tcW w:w="3450" w:type="dxa"/>
            <w:vAlign w:val="center"/>
          </w:tcPr>
          <w:p w14:paraId="5E8DEF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80UFMB-S-54/40-65-K 宜兴瑞丰</w:t>
            </w:r>
          </w:p>
        </w:tc>
        <w:tc>
          <w:tcPr>
            <w:tcW w:w="510" w:type="dxa"/>
            <w:vAlign w:val="center"/>
          </w:tcPr>
          <w:p w14:paraId="1E5A0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749D8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vAlign w:val="center"/>
          </w:tcPr>
          <w:p w14:paraId="2B8F7A2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B1EED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BD7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88218F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1717" w:type="dxa"/>
            <w:vAlign w:val="center"/>
          </w:tcPr>
          <w:p w14:paraId="11A1B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后夹板</w:t>
            </w:r>
          </w:p>
        </w:tc>
        <w:tc>
          <w:tcPr>
            <w:tcW w:w="3450" w:type="dxa"/>
            <w:vAlign w:val="center"/>
          </w:tcPr>
          <w:p w14:paraId="242A4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80UFMB-S-54/40-65-K 宜兴瑞丰</w:t>
            </w:r>
          </w:p>
        </w:tc>
        <w:tc>
          <w:tcPr>
            <w:tcW w:w="510" w:type="dxa"/>
            <w:vAlign w:val="center"/>
          </w:tcPr>
          <w:p w14:paraId="395A44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011F2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vAlign w:val="center"/>
          </w:tcPr>
          <w:p w14:paraId="604F162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66174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F50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8EBD47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1717" w:type="dxa"/>
            <w:vAlign w:val="center"/>
          </w:tcPr>
          <w:p w14:paraId="476349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泵轴</w:t>
            </w:r>
          </w:p>
          <w:p w14:paraId="2C29EC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（离心泵配件）</w:t>
            </w:r>
          </w:p>
        </w:tc>
        <w:tc>
          <w:tcPr>
            <w:tcW w:w="3450" w:type="dxa"/>
            <w:vAlign w:val="center"/>
          </w:tcPr>
          <w:p w14:paraId="276CD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80UFMB-S-35/40-30-CH </w:t>
            </w:r>
          </w:p>
          <w:p w14:paraId="787B3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材质：316L 宜兴瑞丰</w:t>
            </w:r>
          </w:p>
        </w:tc>
        <w:tc>
          <w:tcPr>
            <w:tcW w:w="510" w:type="dxa"/>
            <w:vAlign w:val="center"/>
          </w:tcPr>
          <w:p w14:paraId="61C90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40" w:type="dxa"/>
            <w:vAlign w:val="center"/>
          </w:tcPr>
          <w:p w14:paraId="4DBC5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825" w:type="dxa"/>
            <w:vAlign w:val="center"/>
          </w:tcPr>
          <w:p w14:paraId="676857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B02A4F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B60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F16F1B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1717" w:type="dxa"/>
            <w:vAlign w:val="center"/>
          </w:tcPr>
          <w:p w14:paraId="3FB70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叶轮</w:t>
            </w:r>
          </w:p>
        </w:tc>
        <w:tc>
          <w:tcPr>
            <w:tcW w:w="3450" w:type="dxa"/>
            <w:vAlign w:val="center"/>
          </w:tcPr>
          <w:p w14:paraId="764A6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80UFMB-S-35/40-30-CH 宜兴瑞丰</w:t>
            </w:r>
          </w:p>
        </w:tc>
        <w:tc>
          <w:tcPr>
            <w:tcW w:w="510" w:type="dxa"/>
            <w:vAlign w:val="center"/>
          </w:tcPr>
          <w:p w14:paraId="2726D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10F63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vAlign w:val="center"/>
          </w:tcPr>
          <w:p w14:paraId="38BCEE2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88FF1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5FA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9A957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1717" w:type="dxa"/>
            <w:vAlign w:val="center"/>
          </w:tcPr>
          <w:p w14:paraId="6E81A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后夹板</w:t>
            </w:r>
          </w:p>
        </w:tc>
        <w:tc>
          <w:tcPr>
            <w:tcW w:w="3450" w:type="dxa"/>
            <w:vAlign w:val="center"/>
          </w:tcPr>
          <w:p w14:paraId="3CEF6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80UFMB-S-35/40-30-CH 宜兴瑞丰</w:t>
            </w:r>
          </w:p>
        </w:tc>
        <w:tc>
          <w:tcPr>
            <w:tcW w:w="510" w:type="dxa"/>
            <w:vAlign w:val="center"/>
          </w:tcPr>
          <w:p w14:paraId="502C8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6603C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vAlign w:val="center"/>
          </w:tcPr>
          <w:p w14:paraId="2C48F3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848B26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EF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891655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1717" w:type="dxa"/>
            <w:vAlign w:val="center"/>
          </w:tcPr>
          <w:p w14:paraId="69129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后泵盖</w:t>
            </w:r>
          </w:p>
        </w:tc>
        <w:tc>
          <w:tcPr>
            <w:tcW w:w="3450" w:type="dxa"/>
            <w:vAlign w:val="center"/>
          </w:tcPr>
          <w:p w14:paraId="46D78D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80UFMB-S-35/40-30-CH 宜兴瑞丰</w:t>
            </w:r>
          </w:p>
        </w:tc>
        <w:tc>
          <w:tcPr>
            <w:tcW w:w="510" w:type="dxa"/>
            <w:vAlign w:val="center"/>
          </w:tcPr>
          <w:p w14:paraId="7E5E2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40" w:type="dxa"/>
            <w:vAlign w:val="center"/>
          </w:tcPr>
          <w:p w14:paraId="61A1C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只</w:t>
            </w:r>
          </w:p>
        </w:tc>
        <w:tc>
          <w:tcPr>
            <w:tcW w:w="825" w:type="dxa"/>
            <w:vAlign w:val="center"/>
          </w:tcPr>
          <w:p w14:paraId="08E8CD7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F4BF4A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41C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A804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717" w:type="dxa"/>
            <w:vAlign w:val="center"/>
          </w:tcPr>
          <w:p w14:paraId="42A22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450" w:type="dxa"/>
            <w:vAlign w:val="top"/>
          </w:tcPr>
          <w:p w14:paraId="068A050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10" w:type="dxa"/>
            <w:vAlign w:val="center"/>
          </w:tcPr>
          <w:p w14:paraId="1819C2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40" w:type="dxa"/>
            <w:vAlign w:val="center"/>
          </w:tcPr>
          <w:p w14:paraId="0DC945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25" w:type="dxa"/>
            <w:vAlign w:val="center"/>
          </w:tcPr>
          <w:p w14:paraId="6633BBF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DF2ACE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D79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5EC98D9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EA28FC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90F1463">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6EEE3B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5E7EE5D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8EDE71F">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FFD1371">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sz w:val="21"/>
          <w:szCs w:val="21"/>
          <w:lang w:val="en-US" w:eastAsia="zh-CN"/>
        </w:rPr>
        <w:t xml:space="preserve">  </w:t>
      </w:r>
      <w:bookmarkStart w:id="207" w:name="_GoBack"/>
      <w:bookmarkEnd w:id="207"/>
      <w:r>
        <w:rPr>
          <w:rFonts w:hint="eastAsia" w:ascii="Times New Roman" w:hAnsi="Times New Roman"/>
          <w:color w:val="auto"/>
          <w:lang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12FB8B-0238-4725-89BB-DA999074FE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F78ED143-CB7B-45A9-BA10-21032DA1EB81}"/>
  </w:font>
  <w:font w:name="方正小标宋简体">
    <w:altName w:val="方正舒体"/>
    <w:panose1 w:val="02000000000000000000"/>
    <w:charset w:val="86"/>
    <w:family w:val="auto"/>
    <w:pitch w:val="default"/>
    <w:sig w:usb0="00000000" w:usb1="00000000" w:usb2="00000012" w:usb3="00000000" w:csb0="00040001" w:csb1="00000000"/>
    <w:embedRegular r:id="rId3" w:fontKey="{7CC88621-2625-4B53-9A8A-415140A91F46}"/>
  </w:font>
  <w:font w:name="方正小标宋_GBK">
    <w:altName w:val="微软雅黑"/>
    <w:panose1 w:val="02000000000000000000"/>
    <w:charset w:val="86"/>
    <w:family w:val="auto"/>
    <w:pitch w:val="default"/>
    <w:sig w:usb0="00000000" w:usb1="00000000" w:usb2="00000000" w:usb3="00000000" w:csb0="00040000" w:csb1="00000000"/>
    <w:embedRegular r:id="rId4" w:fontKey="{908BBAB3-786C-40C2-AE74-AD8938C11A37}"/>
  </w:font>
  <w:font w:name="国标仿宋">
    <w:altName w:val="仿宋"/>
    <w:panose1 w:val="02000500000000000000"/>
    <w:charset w:val="86"/>
    <w:family w:val="auto"/>
    <w:pitch w:val="default"/>
    <w:sig w:usb0="00000000" w:usb1="00000000" w:usb2="00000016" w:usb3="00000000" w:csb0="00040000" w:csb1="00000000"/>
    <w:embedRegular r:id="rId5" w:fontKey="{6C56C5BA-DC02-4536-A777-0CC63A612951}"/>
  </w:font>
  <w:font w:name="微软雅黑">
    <w:panose1 w:val="020B0503020204020204"/>
    <w:charset w:val="86"/>
    <w:family w:val="auto"/>
    <w:pitch w:val="default"/>
    <w:sig w:usb0="80000287" w:usb1="2ACF3C50" w:usb2="00000016" w:usb3="00000000" w:csb0="0004001F" w:csb1="00000000"/>
    <w:embedRegular r:id="rId6" w:fontKey="{B86B6220-9942-4022-B58E-22BEC8307CDF}"/>
  </w:font>
  <w:font w:name="国标黑体">
    <w:altName w:val="黑体"/>
    <w:panose1 w:val="02000500000000000000"/>
    <w:charset w:val="86"/>
    <w:family w:val="auto"/>
    <w:pitch w:val="default"/>
    <w:sig w:usb0="00000000" w:usb1="00000000" w:usb2="00000000" w:usb3="00000000" w:csb0="00040000" w:csb1="00000000"/>
    <w:embedRegular r:id="rId7" w:fontKey="{883F5163-491A-4033-9933-1DF1B260B932}"/>
  </w:font>
  <w:font w:name="方正舒体">
    <w:panose1 w:val="02010601030101010101"/>
    <w:charset w:val="86"/>
    <w:family w:val="auto"/>
    <w:pitch w:val="default"/>
    <w:sig w:usb0="00000003" w:usb1="080E0000" w:usb2="00000000" w:usb3="00000000" w:csb0="00040000" w:csb1="00000000"/>
  </w:font>
  <w:font w:name="KSOFBFDA8B98">
    <w:panose1 w:val="02000000000000000000"/>
    <w:charset w:val="86"/>
    <w:family w:val="auto"/>
    <w:pitch w:val="default"/>
    <w:sig w:usb0="00000001" w:usb1="00000000" w:usb2="00000000" w:usb3="00000000" w:csb0="00040001" w:csb1="00000000"/>
  </w:font>
  <w:font w:name="KSOFE67ED05F">
    <w:panose1 w:val="02000500000000000000"/>
    <w:charset w:val="86"/>
    <w:family w:val="auto"/>
    <w:pitch w:val="default"/>
    <w:sig w:usb0="00000001" w:usb1="00000000" w:usb2="00000000" w:usb3="00000000" w:csb0="00040001" w:csb1="00000000"/>
  </w:font>
  <w:font w:name="KSOF7DF6CDC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4A5E50"/>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26A32DB"/>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6BB1AA7"/>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FCF7E26"/>
    <w:rsid w:val="D7FE4134"/>
    <w:rsid w:val="DDD76FCC"/>
    <w:rsid w:val="EE25D673"/>
    <w:rsid w:val="FF73DA40"/>
    <w:rsid w:val="FFAE5EA4"/>
    <w:rsid w:val="FFF45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5967</Words>
  <Characters>6336</Characters>
  <Lines>0</Lines>
  <Paragraphs>0</Paragraphs>
  <TotalTime>8</TotalTime>
  <ScaleCrop>false</ScaleCrop>
  <LinksUpToDate>false</LinksUpToDate>
  <CharactersWithSpaces>6605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2025-02-19T23:34:00Z</dcterms:created>
  <dc:creator>雷建军</dc:creator>
  <cp:lastModifiedBy>把风吹落</cp:lastModifiedBy>
  <dcterms:modified xsi:type="dcterms:W3CDTF">2026-04-10T08:23:33Z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