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2026年二季度减速机采购项目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bookmarkStart w:id="207" w:name="_GoBack"/>
      <w:bookmarkEnd w:id="207"/>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月十三日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2026年二季度减速机采购项目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减速机</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二季度输送设备配件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5FF8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567E7F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2092" w:type="dxa"/>
            <w:vAlign w:val="center"/>
          </w:tcPr>
          <w:p w14:paraId="5150FAA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75" w:type="dxa"/>
            <w:vAlign w:val="center"/>
          </w:tcPr>
          <w:p w14:paraId="78D8ED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30" w:type="dxa"/>
            <w:vAlign w:val="center"/>
          </w:tcPr>
          <w:p w14:paraId="10F5EE3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480" w:type="dxa"/>
            <w:vAlign w:val="center"/>
          </w:tcPr>
          <w:p w14:paraId="4D4099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65" w:type="dxa"/>
            <w:vAlign w:val="center"/>
          </w:tcPr>
          <w:p w14:paraId="0B5642B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20A5EF2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43AE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0A4F8A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w:t>
            </w:r>
          </w:p>
        </w:tc>
        <w:tc>
          <w:tcPr>
            <w:tcW w:w="2092" w:type="dxa"/>
            <w:vAlign w:val="center"/>
          </w:tcPr>
          <w:p w14:paraId="620C02F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阳极振打减速机（含电机）</w:t>
            </w:r>
          </w:p>
        </w:tc>
        <w:tc>
          <w:tcPr>
            <w:tcW w:w="3075" w:type="dxa"/>
            <w:vAlign w:val="center"/>
          </w:tcPr>
          <w:p w14:paraId="314EEF1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LD电除尘器，型号50m²-4，0.55kw    泰兴电除尘设备厂</w:t>
            </w:r>
          </w:p>
        </w:tc>
        <w:tc>
          <w:tcPr>
            <w:tcW w:w="630" w:type="dxa"/>
            <w:vAlign w:val="center"/>
          </w:tcPr>
          <w:p w14:paraId="0DDAF6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4</w:t>
            </w:r>
          </w:p>
        </w:tc>
        <w:tc>
          <w:tcPr>
            <w:tcW w:w="480" w:type="dxa"/>
            <w:vAlign w:val="center"/>
          </w:tcPr>
          <w:p w14:paraId="14A95CC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499769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0388ED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001E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1B4032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2</w:t>
            </w:r>
          </w:p>
        </w:tc>
        <w:tc>
          <w:tcPr>
            <w:tcW w:w="2092" w:type="dxa"/>
            <w:vAlign w:val="center"/>
          </w:tcPr>
          <w:p w14:paraId="1D37245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减速机</w:t>
            </w:r>
          </w:p>
        </w:tc>
        <w:tc>
          <w:tcPr>
            <w:tcW w:w="3075" w:type="dxa"/>
            <w:vAlign w:val="center"/>
          </w:tcPr>
          <w:p w14:paraId="42F7CDC1">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XWD5-35-5.5KW（带配套电机YE5-132S-4，5.5KW）</w:t>
            </w:r>
          </w:p>
        </w:tc>
        <w:tc>
          <w:tcPr>
            <w:tcW w:w="630" w:type="dxa"/>
            <w:vAlign w:val="center"/>
          </w:tcPr>
          <w:p w14:paraId="2F3AA3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1</w:t>
            </w:r>
          </w:p>
        </w:tc>
        <w:tc>
          <w:tcPr>
            <w:tcW w:w="480" w:type="dxa"/>
            <w:vAlign w:val="center"/>
          </w:tcPr>
          <w:p w14:paraId="76E0E8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0431267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B1DC46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39D2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DE9704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w:t>
            </w:r>
          </w:p>
        </w:tc>
        <w:tc>
          <w:tcPr>
            <w:tcW w:w="2092" w:type="dxa"/>
            <w:vAlign w:val="center"/>
          </w:tcPr>
          <w:p w14:paraId="335F5E4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减速机</w:t>
            </w:r>
          </w:p>
        </w:tc>
        <w:tc>
          <w:tcPr>
            <w:tcW w:w="3075" w:type="dxa"/>
            <w:vAlign w:val="center"/>
          </w:tcPr>
          <w:p w14:paraId="14780DE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BWEY3927-289-11KW 带二级针齿圈2个，带配套电机（电机能效一级)</w:t>
            </w:r>
          </w:p>
        </w:tc>
        <w:tc>
          <w:tcPr>
            <w:tcW w:w="630" w:type="dxa"/>
            <w:vAlign w:val="center"/>
          </w:tcPr>
          <w:p w14:paraId="75F5A2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1</w:t>
            </w:r>
          </w:p>
        </w:tc>
        <w:tc>
          <w:tcPr>
            <w:tcW w:w="480" w:type="dxa"/>
            <w:vAlign w:val="center"/>
          </w:tcPr>
          <w:p w14:paraId="5C7143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1F7C82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39AD43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73AD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31AA37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合计</w:t>
            </w:r>
          </w:p>
        </w:tc>
        <w:tc>
          <w:tcPr>
            <w:tcW w:w="2092" w:type="dxa"/>
            <w:vAlign w:val="center"/>
          </w:tcPr>
          <w:p w14:paraId="5001927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3075" w:type="dxa"/>
            <w:vAlign w:val="top"/>
          </w:tcPr>
          <w:p w14:paraId="73687C54">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630" w:type="dxa"/>
            <w:vAlign w:val="center"/>
          </w:tcPr>
          <w:p w14:paraId="78768B9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34E4ED33">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683B271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4E5E331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FBA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FDFAD0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所有项全部报全，否则报价无效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688"/>
      <w:bookmarkStart w:id="10" w:name="_Toc14196"/>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152042318"/>
      <w:bookmarkStart w:id="14" w:name="_Toc361508598"/>
      <w:bookmarkStart w:id="15" w:name="_Toc384308223"/>
      <w:bookmarkStart w:id="16" w:name="_Toc25772"/>
      <w:bookmarkStart w:id="17" w:name="_Toc152045542"/>
      <w:bookmarkStart w:id="18" w:name="_Toc144974510"/>
      <w:bookmarkStart w:id="19" w:name="_Toc247527567"/>
      <w:bookmarkStart w:id="20" w:name="_Toc369531529"/>
      <w:bookmarkStart w:id="21" w:name="_Toc247513966"/>
      <w:bookmarkStart w:id="22" w:name="_Toc30083496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144974511"/>
      <w:bookmarkStart w:id="25" w:name="_Toc152042319"/>
      <w:bookmarkStart w:id="26" w:name="_Toc300834964"/>
      <w:bookmarkStart w:id="27" w:name="_Toc352691487"/>
      <w:bookmarkStart w:id="28" w:name="_Toc369531530"/>
      <w:bookmarkStart w:id="29" w:name="_Toc384308224"/>
      <w:bookmarkStart w:id="30" w:name="_Toc247527568"/>
      <w:bookmarkStart w:id="31" w:name="_Toc152045543"/>
      <w:bookmarkStart w:id="32" w:name="_Toc361508599"/>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1508602"/>
      <w:bookmarkStart w:id="36" w:name="_Toc369531533"/>
      <w:bookmarkStart w:id="37" w:name="_Toc352691490"/>
      <w:bookmarkStart w:id="38" w:name="_Toc384308227"/>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361508603"/>
      <w:bookmarkStart w:id="41" w:name="_Toc384308228"/>
      <w:bookmarkStart w:id="42" w:name="_Toc152042322"/>
      <w:bookmarkStart w:id="43" w:name="_Toc369531534"/>
      <w:bookmarkStart w:id="44" w:name="_Toc352691491"/>
      <w:bookmarkStart w:id="45" w:name="_Toc300834967"/>
      <w:bookmarkStart w:id="46" w:name="_Toc247513970"/>
      <w:bookmarkStart w:id="47" w:name="_Toc152045546"/>
      <w:bookmarkStart w:id="48" w:name="_Toc144974514"/>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152042323"/>
      <w:bookmarkStart w:id="52" w:name="_Toc361508604"/>
      <w:bookmarkStart w:id="53" w:name="_Toc152045547"/>
      <w:bookmarkStart w:id="54" w:name="_Toc369531535"/>
      <w:bookmarkStart w:id="55" w:name="_Toc247513971"/>
      <w:bookmarkStart w:id="56" w:name="_Toc300834968"/>
      <w:bookmarkStart w:id="57" w:name="_Toc17952"/>
      <w:bookmarkStart w:id="58" w:name="_Toc247527572"/>
      <w:bookmarkStart w:id="59" w:name="_Toc352691492"/>
      <w:bookmarkStart w:id="60" w:name="_Toc14497451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4月17日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69531582"/>
      <w:bookmarkStart w:id="67" w:name="_Toc384308277"/>
      <w:bookmarkStart w:id="68" w:name="_Toc247514027"/>
      <w:bookmarkStart w:id="69" w:name="_Toc152042380"/>
      <w:bookmarkStart w:id="70" w:name="_Toc144974570"/>
      <w:bookmarkStart w:id="71" w:name="_Toc300835013"/>
      <w:bookmarkStart w:id="72" w:name="_Toc152045603"/>
      <w:bookmarkStart w:id="73" w:name="_Toc247527628"/>
      <w:bookmarkStart w:id="74" w:name="_Toc361508651"/>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29291"/>
      <w:bookmarkStart w:id="78" w:name="_Toc33795835"/>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15253"/>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30852"/>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7018"/>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30095"/>
      <w:bookmarkStart w:id="97" w:name="_Toc384308243"/>
      <w:bookmarkStart w:id="98" w:name="_Toc369531549"/>
      <w:bookmarkStart w:id="99" w:name="_Toc247527586"/>
      <w:bookmarkStart w:id="100" w:name="_Toc352691505"/>
      <w:bookmarkStart w:id="101" w:name="_Toc300834982"/>
      <w:bookmarkStart w:id="102" w:name="_Toc152042337"/>
      <w:bookmarkStart w:id="103" w:name="_Toc361508618"/>
      <w:bookmarkStart w:id="104" w:name="_Toc247513985"/>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191"/>
      <w:bookmarkStart w:id="112" w:name="_Toc3379581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61508619"/>
      <w:bookmarkStart w:id="120" w:name="_Toc369531550"/>
      <w:bookmarkStart w:id="121" w:name="_Toc300834983"/>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21613"/>
      <w:bookmarkStart w:id="126" w:name="_Toc4342"/>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11183"/>
      <w:bookmarkStart w:id="129" w:name="_Toc33795814"/>
      <w:bookmarkStart w:id="130" w:name="_Toc14362"/>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247513988"/>
      <w:bookmarkStart w:id="134" w:name="_Toc152042340"/>
      <w:bookmarkStart w:id="135" w:name="_Toc4656"/>
      <w:bookmarkStart w:id="136" w:name="_Toc144974532"/>
      <w:bookmarkStart w:id="137" w:name="_Toc361508622"/>
      <w:bookmarkStart w:id="138" w:name="_Toc369531553"/>
      <w:bookmarkStart w:id="139" w:name="_Toc300834986"/>
      <w:bookmarkStart w:id="140" w:name="_Toc152045564"/>
      <w:bookmarkStart w:id="141" w:name="_Toc384308247"/>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384308248"/>
      <w:bookmarkStart w:id="145" w:name="_Toc247513989"/>
      <w:bookmarkStart w:id="146" w:name="_Toc18247"/>
      <w:bookmarkStart w:id="147" w:name="_Toc361508623"/>
      <w:bookmarkStart w:id="148" w:name="_Toc352691510"/>
      <w:bookmarkStart w:id="149" w:name="_Toc369531554"/>
      <w:bookmarkStart w:id="150" w:name="_Toc152042341"/>
      <w:bookmarkStart w:id="151" w:name="_Toc152045565"/>
      <w:bookmarkStart w:id="152" w:name="_Toc144974533"/>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61508627"/>
      <w:bookmarkStart w:id="155" w:name="_Toc384308252"/>
      <w:bookmarkStart w:id="156" w:name="_Toc24067"/>
      <w:bookmarkStart w:id="157" w:name="_Toc247513992"/>
      <w:bookmarkStart w:id="158" w:name="_Toc152045568"/>
      <w:bookmarkStart w:id="159" w:name="_Toc144974536"/>
      <w:bookmarkStart w:id="160" w:name="_Toc152042344"/>
      <w:bookmarkStart w:id="161" w:name="_Toc300834991"/>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33795815"/>
      <w:bookmarkStart w:id="164" w:name="_Toc14752"/>
      <w:bookmarkStart w:id="165"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52691515"/>
      <w:bookmarkStart w:id="169" w:name="_Toc361508628"/>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2026年4月13日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34112D55">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90951A8">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5F9B036">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036925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404817E7">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A41D10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294E0660">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BF1685B">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2026年二季度减速机</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14248"/>
      <w:bookmarkStart w:id="186" w:name="_Toc369531699"/>
      <w:bookmarkStart w:id="187" w:name="_Toc352691663"/>
      <w:bookmarkStart w:id="188" w:name="_Toc361508754"/>
      <w:bookmarkStart w:id="189" w:name="_Toc300835211"/>
      <w:bookmarkStart w:id="190" w:name="_Toc152045789"/>
      <w:bookmarkStart w:id="191" w:name="_Toc152042578"/>
      <w:bookmarkStart w:id="192" w:name="_Toc384308377"/>
      <w:bookmarkStart w:id="193" w:name="_Toc247527829"/>
      <w:bookmarkStart w:id="194" w:name="_Toc15573"/>
      <w:bookmarkStart w:id="195" w:name="_Toc14497485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2026年二季度减速机</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696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92F11E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编号</w:t>
            </w:r>
          </w:p>
        </w:tc>
        <w:tc>
          <w:tcPr>
            <w:tcW w:w="2092" w:type="dxa"/>
            <w:vAlign w:val="center"/>
          </w:tcPr>
          <w:p w14:paraId="2A80D9C3">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货物</w:t>
            </w:r>
            <w:r>
              <w:rPr>
                <w:rFonts w:hint="eastAsia" w:asciiTheme="majorEastAsia" w:hAnsiTheme="majorEastAsia" w:eastAsiaTheme="majorEastAsia" w:cstheme="majorEastAsia"/>
                <w:color w:val="auto"/>
                <w:sz w:val="21"/>
                <w:szCs w:val="21"/>
                <w:highlight w:val="none"/>
              </w:rPr>
              <w:t>名称</w:t>
            </w:r>
          </w:p>
        </w:tc>
        <w:tc>
          <w:tcPr>
            <w:tcW w:w="3075" w:type="dxa"/>
            <w:vAlign w:val="center"/>
          </w:tcPr>
          <w:p w14:paraId="3A1684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规格型号</w:t>
            </w:r>
          </w:p>
        </w:tc>
        <w:tc>
          <w:tcPr>
            <w:tcW w:w="630" w:type="dxa"/>
            <w:vAlign w:val="center"/>
          </w:tcPr>
          <w:p w14:paraId="3A70304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val="en-US" w:eastAsia="zh-CN"/>
              </w:rPr>
            </w:pPr>
            <w:r>
              <w:rPr>
                <w:rFonts w:hint="eastAsia" w:asciiTheme="majorEastAsia" w:hAnsiTheme="majorEastAsia" w:eastAsiaTheme="majorEastAsia" w:cstheme="majorEastAsia"/>
                <w:color w:val="auto"/>
                <w:sz w:val="21"/>
                <w:szCs w:val="21"/>
                <w:highlight w:val="none"/>
              </w:rPr>
              <w:t>数量</w:t>
            </w:r>
          </w:p>
        </w:tc>
        <w:tc>
          <w:tcPr>
            <w:tcW w:w="480" w:type="dxa"/>
            <w:vAlign w:val="center"/>
          </w:tcPr>
          <w:p w14:paraId="0071D20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单位</w:t>
            </w:r>
          </w:p>
        </w:tc>
        <w:tc>
          <w:tcPr>
            <w:tcW w:w="765" w:type="dxa"/>
            <w:vAlign w:val="center"/>
          </w:tcPr>
          <w:p w14:paraId="4D86CF7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lang w:val="en-US" w:eastAsia="zh-CN"/>
              </w:rPr>
              <w:t>单</w:t>
            </w:r>
            <w:r>
              <w:rPr>
                <w:rFonts w:hint="eastAsia" w:asciiTheme="majorEastAsia" w:hAnsiTheme="majorEastAsia" w:eastAsiaTheme="majorEastAsia" w:cstheme="majorEastAsia"/>
                <w:color w:val="auto"/>
                <w:sz w:val="21"/>
                <w:szCs w:val="21"/>
                <w:highlight w:val="none"/>
              </w:rPr>
              <w:t>价</w:t>
            </w:r>
            <w:r>
              <w:rPr>
                <w:rFonts w:hint="eastAsia" w:asciiTheme="majorEastAsia" w:hAnsiTheme="majorEastAsia" w:eastAsiaTheme="majorEastAsia" w:cstheme="majorEastAsia"/>
                <w:color w:val="auto"/>
                <w:sz w:val="21"/>
                <w:szCs w:val="21"/>
                <w:highlight w:val="none"/>
                <w:lang w:val="en-US" w:eastAsia="zh-CN"/>
              </w:rPr>
              <w:t xml:space="preserve"> （元）</w:t>
            </w:r>
          </w:p>
        </w:tc>
        <w:tc>
          <w:tcPr>
            <w:tcW w:w="961" w:type="dxa"/>
            <w:vAlign w:val="center"/>
          </w:tcPr>
          <w:p w14:paraId="33B58D8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r>
              <w:rPr>
                <w:rFonts w:hint="eastAsia" w:asciiTheme="majorEastAsia" w:hAnsiTheme="majorEastAsia" w:eastAsiaTheme="majorEastAsia" w:cstheme="majorEastAsia"/>
                <w:color w:val="auto"/>
                <w:sz w:val="21"/>
                <w:szCs w:val="21"/>
                <w:highlight w:val="none"/>
              </w:rPr>
              <w:t>金额（元）</w:t>
            </w:r>
          </w:p>
        </w:tc>
      </w:tr>
      <w:tr w14:paraId="50D1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C1CBB0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1</w:t>
            </w:r>
          </w:p>
        </w:tc>
        <w:tc>
          <w:tcPr>
            <w:tcW w:w="2092" w:type="dxa"/>
            <w:vAlign w:val="center"/>
          </w:tcPr>
          <w:p w14:paraId="7EEF9DC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阳极振打减速机（含电机）</w:t>
            </w:r>
          </w:p>
        </w:tc>
        <w:tc>
          <w:tcPr>
            <w:tcW w:w="3075" w:type="dxa"/>
            <w:vAlign w:val="center"/>
          </w:tcPr>
          <w:p w14:paraId="5957DEF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LD电除尘器，型号50m²-4，0.55kw    泰兴电除尘设备厂</w:t>
            </w:r>
          </w:p>
        </w:tc>
        <w:tc>
          <w:tcPr>
            <w:tcW w:w="630" w:type="dxa"/>
            <w:vAlign w:val="center"/>
          </w:tcPr>
          <w:p w14:paraId="39F094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4</w:t>
            </w:r>
          </w:p>
        </w:tc>
        <w:tc>
          <w:tcPr>
            <w:tcW w:w="480" w:type="dxa"/>
            <w:vAlign w:val="center"/>
          </w:tcPr>
          <w:p w14:paraId="37FB53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4B7647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6831F94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54AA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7A7FF0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2</w:t>
            </w:r>
          </w:p>
        </w:tc>
        <w:tc>
          <w:tcPr>
            <w:tcW w:w="2092" w:type="dxa"/>
            <w:vAlign w:val="center"/>
          </w:tcPr>
          <w:p w14:paraId="103E5D1F">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减速机</w:t>
            </w:r>
          </w:p>
        </w:tc>
        <w:tc>
          <w:tcPr>
            <w:tcW w:w="3075" w:type="dxa"/>
            <w:vAlign w:val="center"/>
          </w:tcPr>
          <w:p w14:paraId="2F54339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XWD5-35-5.5KW（带配套电机YE5-132S-4，5.5KW）</w:t>
            </w:r>
          </w:p>
        </w:tc>
        <w:tc>
          <w:tcPr>
            <w:tcW w:w="630" w:type="dxa"/>
            <w:vAlign w:val="center"/>
          </w:tcPr>
          <w:p w14:paraId="7CA0AE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1</w:t>
            </w:r>
          </w:p>
        </w:tc>
        <w:tc>
          <w:tcPr>
            <w:tcW w:w="480" w:type="dxa"/>
            <w:vAlign w:val="center"/>
          </w:tcPr>
          <w:p w14:paraId="494CEE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23694C3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E13D96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6465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BC3F0B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default" w:asciiTheme="majorEastAsia" w:hAnsiTheme="majorEastAsia" w:eastAsiaTheme="majorEastAsia" w:cstheme="majorEastAsia"/>
                <w:b/>
                <w:bCs/>
                <w:i w:val="0"/>
                <w:iCs w:val="0"/>
                <w:color w:val="000000"/>
                <w:kern w:val="0"/>
                <w:sz w:val="21"/>
                <w:szCs w:val="21"/>
                <w:u w:val="none"/>
                <w:lang w:val="en-US" w:eastAsia="zh-CN" w:bidi="ar"/>
              </w:rPr>
            </w:pPr>
            <w:r>
              <w:rPr>
                <w:rFonts w:hint="eastAsia" w:asciiTheme="majorEastAsia" w:hAnsiTheme="majorEastAsia" w:eastAsiaTheme="majorEastAsia" w:cstheme="majorEastAsia"/>
                <w:b/>
                <w:bCs/>
                <w:i w:val="0"/>
                <w:iCs w:val="0"/>
                <w:color w:val="000000"/>
                <w:kern w:val="0"/>
                <w:sz w:val="21"/>
                <w:szCs w:val="21"/>
                <w:u w:val="none"/>
                <w:lang w:val="en-US" w:eastAsia="zh-CN" w:bidi="ar"/>
              </w:rPr>
              <w:t>3</w:t>
            </w:r>
          </w:p>
        </w:tc>
        <w:tc>
          <w:tcPr>
            <w:tcW w:w="2092" w:type="dxa"/>
            <w:vAlign w:val="center"/>
          </w:tcPr>
          <w:p w14:paraId="7AD9C525">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减速机</w:t>
            </w:r>
          </w:p>
        </w:tc>
        <w:tc>
          <w:tcPr>
            <w:tcW w:w="3075" w:type="dxa"/>
            <w:vAlign w:val="center"/>
          </w:tcPr>
          <w:p w14:paraId="7D5BDDE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BWEY3927-289-11KW 带二级针齿圈2个，带配套电机（电机能效一级)</w:t>
            </w:r>
          </w:p>
        </w:tc>
        <w:tc>
          <w:tcPr>
            <w:tcW w:w="630" w:type="dxa"/>
            <w:vAlign w:val="center"/>
          </w:tcPr>
          <w:p w14:paraId="35F78C2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1</w:t>
            </w:r>
          </w:p>
        </w:tc>
        <w:tc>
          <w:tcPr>
            <w:tcW w:w="480" w:type="dxa"/>
            <w:vAlign w:val="center"/>
          </w:tcPr>
          <w:p w14:paraId="51386B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default" w:ascii="仿宋" w:hAnsi="仿宋" w:eastAsia="仿宋" w:cs="仿宋"/>
                <w:i w:val="0"/>
                <w:iCs w:val="0"/>
                <w:color w:val="000000"/>
                <w:kern w:val="0"/>
                <w:sz w:val="22"/>
                <w:szCs w:val="22"/>
                <w:u w:val="none"/>
                <w:lang w:val="en-US" w:eastAsia="zh-CN" w:bidi="ar"/>
              </w:rPr>
              <w:t>台</w:t>
            </w:r>
          </w:p>
        </w:tc>
        <w:tc>
          <w:tcPr>
            <w:tcW w:w="765" w:type="dxa"/>
            <w:vAlign w:val="center"/>
          </w:tcPr>
          <w:p w14:paraId="1235808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77FAC2E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1877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6956D6ED">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合计</w:t>
            </w:r>
          </w:p>
        </w:tc>
        <w:tc>
          <w:tcPr>
            <w:tcW w:w="2092" w:type="dxa"/>
            <w:vAlign w:val="center"/>
          </w:tcPr>
          <w:p w14:paraId="09E356A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3075" w:type="dxa"/>
            <w:vAlign w:val="top"/>
          </w:tcPr>
          <w:p w14:paraId="2F7F6685">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630" w:type="dxa"/>
            <w:vAlign w:val="center"/>
          </w:tcPr>
          <w:p w14:paraId="71C3A5F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480" w:type="dxa"/>
            <w:vAlign w:val="center"/>
          </w:tcPr>
          <w:p w14:paraId="359E9956">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65" w:type="dxa"/>
            <w:vAlign w:val="center"/>
          </w:tcPr>
          <w:p w14:paraId="0383DF5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c>
          <w:tcPr>
            <w:tcW w:w="961" w:type="dxa"/>
            <w:vAlign w:val="center"/>
          </w:tcPr>
          <w:p w14:paraId="187B93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ajorEastAsia" w:hAnsiTheme="majorEastAsia" w:eastAsiaTheme="majorEastAsia" w:cstheme="majorEastAsia"/>
                <w:color w:val="auto"/>
                <w:sz w:val="21"/>
                <w:szCs w:val="21"/>
                <w:vertAlign w:val="baseline"/>
                <w:lang w:eastAsia="zh-CN"/>
              </w:rPr>
            </w:pPr>
          </w:p>
        </w:tc>
      </w:tr>
      <w:tr w14:paraId="460B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46FA37E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w:t>
            </w:r>
            <w:r>
              <w:rPr>
                <w:rFonts w:hint="eastAsia" w:asciiTheme="minorEastAsia" w:hAnsiTheme="minorEastAsia" w:cstheme="minorEastAsia"/>
                <w:color w:val="auto"/>
                <w:sz w:val="21"/>
                <w:szCs w:val="21"/>
                <w:vertAlign w:val="baseline"/>
                <w:lang w:val="en-US" w:eastAsia="zh-CN"/>
              </w:rPr>
              <w:t>所有项全部报全，否则报价无效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0557EAB4">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Times New Roman" w:hAnsi="Times New Roman"/>
          <w:color w:val="auto"/>
          <w:lang w:val="en-US" w:eastAsia="zh-CN"/>
        </w:rPr>
      </w:pPr>
      <w:r>
        <w:rPr>
          <w:rFonts w:hint="eastAsia" w:ascii="宋体" w:hAnsi="宋体" w:eastAsia="宋体" w:cs="宋体"/>
          <w:b/>
          <w:bCs w:val="0"/>
          <w:color w:val="auto"/>
          <w:kern w:val="0"/>
          <w:sz w:val="21"/>
          <w:szCs w:val="21"/>
          <w:lang w:val="en-US" w:eastAsia="zh-CN"/>
        </w:rPr>
        <w:t>报价日期：   年   月   日</w:t>
      </w:r>
      <w:r>
        <w:rPr>
          <w:rFonts w:hint="eastAsia" w:ascii="Times New Roman" w:hAnsi="Times New Roman"/>
          <w:color w:val="auto"/>
          <w:lang w:val="en-US" w:eastAsia="zh-CN"/>
        </w:rPr>
        <w:t xml:space="preserve">                                                                </w:t>
      </w:r>
    </w:p>
    <w:p w14:paraId="53BCB023">
      <w:pPr>
        <w:pStyle w:val="3"/>
        <w:spacing w:after="0"/>
        <w:jc w:val="both"/>
        <w:rPr>
          <w:rFonts w:hint="eastAsia" w:ascii="Times New Roman" w:hAnsi="Times New Roman"/>
          <w:color w:val="auto"/>
          <w:lang w:val="en-US" w:eastAsia="zh-CN"/>
        </w:rPr>
      </w:pPr>
    </w:p>
    <w:p w14:paraId="7BE64571">
      <w:pPr>
        <w:pStyle w:val="3"/>
        <w:spacing w:after="0"/>
        <w:jc w:val="both"/>
        <w:rPr>
          <w:rFonts w:hint="eastAsia" w:ascii="Times New Roman" w:hAnsi="Times New Roman"/>
          <w:color w:val="auto"/>
          <w:lang w:val="en-US" w:eastAsia="zh-CN"/>
        </w:rPr>
      </w:pPr>
    </w:p>
    <w:p w14:paraId="4A010778">
      <w:pPr>
        <w:pStyle w:val="3"/>
        <w:spacing w:after="0"/>
        <w:jc w:val="both"/>
        <w:rPr>
          <w:rFonts w:hint="eastAsia" w:ascii="Times New Roman" w:hAnsi="Times New Roman"/>
          <w:color w:val="auto"/>
          <w:lang w:val="en-US" w:eastAsia="zh-CN"/>
        </w:rPr>
      </w:pPr>
    </w:p>
    <w:p w14:paraId="23C841FE">
      <w:pPr>
        <w:rPr>
          <w:rFonts w:hint="eastAsia"/>
          <w:lang w:val="en-US" w:eastAsia="zh-CN"/>
        </w:rPr>
      </w:pPr>
    </w:p>
    <w:p w14:paraId="46C86088">
      <w:pPr>
        <w:pStyle w:val="3"/>
        <w:spacing w:after="0"/>
        <w:jc w:val="both"/>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EF3116"/>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9BA280"/>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5C7466E"/>
    <w:rsid w:val="E7FF1E36"/>
    <w:rsid w:val="E9BFF2DD"/>
    <w:rsid w:val="EE25D673"/>
    <w:rsid w:val="F7FBC241"/>
    <w:rsid w:val="F9FB95D2"/>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2</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2025-02-23T15:34:00Z</dcterms:created>
  <dc:creator>雷建军</dc:creator>
  <cp:lastModifiedBy>缘生</cp:lastModifiedBy>
  <cp:lastPrinted>2026-04-13T21:52:00Z</cp:lastPrinted>
  <dcterms:modified xsi:type="dcterms:W3CDTF">2026-04-13T15:33:56Z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