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49F1">
      <w:pPr>
        <w:pStyle w:val="9"/>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3BFA2519">
      <w:pPr>
        <w:pStyle w:val="9"/>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2026年四月份二工区用焦沫询比采购项目</w:t>
      </w:r>
    </w:p>
    <w:p w14:paraId="3716104A">
      <w:pPr>
        <w:pStyle w:val="9"/>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28DF5616">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p>
    <w:p w14:paraId="608C3DBF">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采购3000干量吨焦沫</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3"/>
        <w:pageBreakBefore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lang w:val="en-US"/>
        </w:rPr>
      </w:pPr>
      <w:bookmarkStart w:id="0" w:name="_Toc4593"/>
      <w:bookmarkStart w:id="1" w:name="_Toc20230"/>
      <w:bookmarkStart w:id="2" w:name="_Toc33795775"/>
      <w:bookmarkStart w:id="3" w:name="_Toc1444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3"/>
        <w:pageBreakBefore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11471"/>
      <w:bookmarkStart w:id="5" w:name="_Toc14565"/>
      <w:bookmarkStart w:id="6" w:name="_Toc7037"/>
      <w:bookmarkStart w:id="7" w:name="_Toc33795776"/>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焦沫采购项目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交货数量、时间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3000干量吨送完为止。在此期间，如遇采购人检修、减产、生产工艺调整等，采购人根据实际情况适时调整采购量。</w:t>
      </w:r>
    </w:p>
    <w:p w14:paraId="774E62B6">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（四）交货地点：采购方公司焦沫堆存场（带原始出厂磅码单）。</w:t>
      </w:r>
    </w:p>
    <w:p w14:paraId="70B87450">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4A28D605">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textAlignment w:val="baseline"/>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质量要求：C≥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%，且不能混入外来夹杂物（如兰炭，无烟煤），同一车内颜色粒度应一致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 xml:space="preserve">  </w:t>
      </w:r>
    </w:p>
    <w:p w14:paraId="0B4DFD63">
      <w:pPr>
        <w:keepNext w:val="0"/>
        <w:keepLines w:val="0"/>
        <w:pageBreakBefore w:val="0"/>
        <w:widowControl w:val="0"/>
        <w:kinsoku/>
        <w:wordWrap/>
        <w:overflowPunct/>
        <w:topLinePunct w:val="0"/>
        <w:autoSpaceDE/>
        <w:autoSpaceDN/>
        <w:bidi w:val="0"/>
        <w:adjustRightInd w:val="0"/>
        <w:snapToGrid/>
        <w:spacing w:line="460" w:lineRule="exact"/>
        <w:ind w:left="0"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688"/>
      <w:bookmarkStart w:id="9" w:name="_Toc14196"/>
      <w:bookmarkStart w:id="10" w:name="_Toc29895"/>
      <w:bookmarkStart w:id="11" w:name="_Toc33795778"/>
    </w:p>
    <w:p w14:paraId="44BCDE0E">
      <w:pPr>
        <w:keepNext w:val="0"/>
        <w:keepLines w:val="0"/>
        <w:pageBreakBefore w:val="0"/>
        <w:kinsoku/>
        <w:wordWrap/>
        <w:overflowPunct/>
        <w:topLinePunct w:val="0"/>
        <w:autoSpaceDE/>
        <w:autoSpaceDN/>
        <w:bidi w:val="0"/>
        <w:adjustRightInd/>
        <w:snapToGrid/>
        <w:spacing w:line="46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六</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507E28B5">
      <w:pPr>
        <w:keepNext w:val="0"/>
        <w:keepLines w:val="0"/>
        <w:pageBreakBefore w:val="0"/>
        <w:kinsoku/>
        <w:wordWrap/>
        <w:overflowPunct/>
        <w:topLinePunct w:val="0"/>
        <w:autoSpaceDE/>
        <w:autoSpaceDN/>
        <w:bidi w:val="0"/>
        <w:adjustRightInd/>
        <w:snapToGrid/>
        <w:spacing w:line="460" w:lineRule="exact"/>
        <w:textAlignment w:val="auto"/>
        <w:outlineLvl w:val="9"/>
        <w:rPr>
          <w:rFonts w:hint="eastAsia" w:ascii="仿宋" w:hAnsi="仿宋" w:eastAsia="仿宋" w:cs="仿宋"/>
          <w:bCs/>
          <w:color w:val="auto"/>
          <w:sz w:val="28"/>
          <w:szCs w:val="28"/>
          <w:lang w:eastAsia="zh-CN"/>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加装尾气排放装置，加盖防尘及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）合理损耗及计算方法：无损耗，以采购方计量为准。</w:t>
      </w:r>
    </w:p>
    <w:p w14:paraId="5299E127">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）包装标准，包装物的供应及回收：散装。</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五款质量标准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4EE7A8B0">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）结算方式、标准及期限：批量干量结算；含碳量每降低一个百分点，单价扣除20元/吨；灰分每上升一个百分点扣10元/吨；挥发份每上升0</w:t>
      </w:r>
      <w:r>
        <w:rPr>
          <w:rFonts w:hint="eastAsia" w:ascii="仿宋" w:hAnsi="仿宋" w:eastAsia="仿宋" w:cs="仿宋"/>
          <w:bCs/>
          <w:color w:val="auto"/>
          <w:sz w:val="28"/>
          <w:szCs w:val="28"/>
          <w:lang w:val="en-US" w:eastAsia="zh-CN"/>
        </w:rPr>
        <w:t>.</w:t>
      </w:r>
      <w:r>
        <w:rPr>
          <w:rFonts w:hint="eastAsia" w:ascii="仿宋" w:hAnsi="仿宋" w:eastAsia="仿宋" w:cs="仿宋"/>
          <w:bCs/>
          <w:color w:val="auto"/>
          <w:sz w:val="28"/>
          <w:szCs w:val="28"/>
          <w:lang w:eastAsia="zh-CN"/>
        </w:rPr>
        <w:t>1个百分点扣10元/吨； 硫每上升一个百分点扣</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0元/吨，若S＞</w:t>
      </w: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lang w:eastAsia="zh-CN"/>
        </w:rPr>
        <w:t>%时，</w:t>
      </w:r>
      <w:r>
        <w:rPr>
          <w:rFonts w:hint="eastAsia" w:ascii="仿宋" w:hAnsi="仿宋" w:eastAsia="仿宋" w:cs="仿宋"/>
          <w:bCs/>
          <w:color w:val="auto"/>
          <w:sz w:val="28"/>
          <w:szCs w:val="28"/>
          <w:lang w:val="en-US" w:eastAsia="zh-CN"/>
        </w:rPr>
        <w:t>扣40元/吨。</w:t>
      </w:r>
      <w:r>
        <w:rPr>
          <w:rFonts w:hint="eastAsia" w:ascii="仿宋" w:hAnsi="仿宋" w:eastAsia="仿宋" w:cs="仿宋"/>
          <w:bCs/>
          <w:color w:val="auto"/>
          <w:sz w:val="28"/>
          <w:szCs w:val="28"/>
          <w:lang w:eastAsia="zh-CN"/>
        </w:rPr>
        <w:t>若</w:t>
      </w:r>
      <w:r>
        <w:rPr>
          <w:rFonts w:hint="eastAsia" w:ascii="仿宋" w:hAnsi="仿宋" w:eastAsia="仿宋" w:cs="仿宋"/>
          <w:bCs/>
          <w:color w:val="auto"/>
          <w:sz w:val="28"/>
          <w:szCs w:val="28"/>
          <w:lang w:val="en-US" w:eastAsia="zh-CN"/>
        </w:rPr>
        <w:t>二工区用焦沫</w:t>
      </w:r>
      <w:r>
        <w:rPr>
          <w:rFonts w:hint="eastAsia" w:ascii="仿宋" w:hAnsi="仿宋" w:eastAsia="仿宋" w:cs="仿宋"/>
          <w:bCs/>
          <w:color w:val="auto"/>
          <w:sz w:val="28"/>
          <w:szCs w:val="28"/>
          <w:lang w:eastAsia="zh-CN"/>
        </w:rPr>
        <w:t>单车粒度小于5mm的占整车粒度的</w:t>
      </w:r>
      <w:r>
        <w:rPr>
          <w:rFonts w:hint="eastAsia" w:ascii="仿宋" w:hAnsi="仿宋" w:eastAsia="仿宋" w:cs="仿宋"/>
          <w:bCs/>
          <w:color w:val="auto"/>
          <w:sz w:val="28"/>
          <w:szCs w:val="28"/>
          <w:lang w:val="en-US" w:eastAsia="zh-CN"/>
        </w:rPr>
        <w:t>50</w:t>
      </w:r>
      <w:r>
        <w:rPr>
          <w:rFonts w:hint="eastAsia" w:ascii="仿宋" w:hAnsi="仿宋" w:eastAsia="仿宋" w:cs="仿宋"/>
          <w:bCs/>
          <w:color w:val="auto"/>
          <w:sz w:val="28"/>
          <w:szCs w:val="28"/>
          <w:lang w:eastAsia="zh-CN"/>
        </w:rPr>
        <w:t>%以上时，拒收；在供应过程中若</w:t>
      </w:r>
      <w:r>
        <w:rPr>
          <w:rFonts w:hint="eastAsia" w:ascii="仿宋" w:hAnsi="仿宋" w:eastAsia="仿宋" w:cs="仿宋"/>
          <w:bCs/>
          <w:color w:val="auto"/>
          <w:sz w:val="28"/>
          <w:szCs w:val="28"/>
          <w:lang w:val="en-US" w:eastAsia="zh-CN"/>
        </w:rPr>
        <w:t>所送焦沫</w:t>
      </w:r>
      <w:r>
        <w:rPr>
          <w:rFonts w:hint="eastAsia" w:ascii="仿宋" w:hAnsi="仿宋" w:eastAsia="仿宋" w:cs="仿宋"/>
          <w:bCs/>
          <w:color w:val="auto"/>
          <w:sz w:val="28"/>
          <w:szCs w:val="28"/>
          <w:lang w:eastAsia="zh-CN"/>
        </w:rPr>
        <w:t>固定碳小于</w:t>
      </w:r>
      <w:r>
        <w:rPr>
          <w:rFonts w:hint="eastAsia" w:ascii="仿宋" w:hAnsi="仿宋" w:eastAsia="仿宋" w:cs="仿宋"/>
          <w:bCs/>
          <w:color w:val="auto"/>
          <w:sz w:val="28"/>
          <w:szCs w:val="28"/>
          <w:lang w:val="en-US" w:eastAsia="zh-CN"/>
        </w:rPr>
        <w:t>75</w:t>
      </w:r>
      <w:r>
        <w:rPr>
          <w:rFonts w:hint="eastAsia" w:ascii="仿宋" w:hAnsi="仿宋" w:eastAsia="仿宋" w:cs="仿宋"/>
          <w:bCs/>
          <w:color w:val="auto"/>
          <w:sz w:val="28"/>
          <w:szCs w:val="28"/>
          <w:lang w:eastAsia="zh-CN"/>
        </w:rPr>
        <w:t>%、灰分大于2</w:t>
      </w:r>
      <w:r>
        <w:rPr>
          <w:rFonts w:hint="eastAsia" w:ascii="仿宋" w:hAnsi="仿宋" w:eastAsia="仿宋" w:cs="仿宋"/>
          <w:bCs/>
          <w:color w:val="auto"/>
          <w:sz w:val="28"/>
          <w:szCs w:val="28"/>
          <w:lang w:val="en-US" w:eastAsia="zh-CN"/>
        </w:rPr>
        <w:t>0</w:t>
      </w:r>
      <w:r>
        <w:rPr>
          <w:rFonts w:hint="eastAsia" w:ascii="仿宋" w:hAnsi="仿宋" w:eastAsia="仿宋" w:cs="仿宋"/>
          <w:bCs/>
          <w:color w:val="auto"/>
          <w:sz w:val="28"/>
          <w:szCs w:val="28"/>
          <w:lang w:eastAsia="zh-CN"/>
        </w:rPr>
        <w:t>%、挥发份大于</w:t>
      </w:r>
      <w:r>
        <w:rPr>
          <w:rFonts w:hint="eastAsia" w:ascii="仿宋" w:hAnsi="仿宋" w:eastAsia="仿宋" w:cs="仿宋"/>
          <w:bCs/>
          <w:color w:val="auto"/>
          <w:sz w:val="28"/>
          <w:szCs w:val="28"/>
          <w:lang w:val="en-US" w:eastAsia="zh-CN"/>
        </w:rPr>
        <w:t>6.5</w:t>
      </w:r>
      <w:r>
        <w:rPr>
          <w:rFonts w:hint="eastAsia" w:ascii="仿宋" w:hAnsi="仿宋" w:eastAsia="仿宋" w:cs="仿宋"/>
          <w:bCs/>
          <w:color w:val="auto"/>
          <w:sz w:val="28"/>
          <w:szCs w:val="28"/>
          <w:lang w:eastAsia="zh-CN"/>
        </w:rPr>
        <w:t>%、硫大于</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lang w:eastAsia="zh-CN"/>
        </w:rPr>
        <w:t>%时，单项指标任意一项超标，超标总量占该批送货量的5%时，终止其供货资格；对于超标数量结算时，结算价按合同价先降低100元/吨，其余单项超标再按合同约定扣款结算；</w:t>
      </w:r>
    </w:p>
    <w:p w14:paraId="016A8CBC">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十一</w:t>
      </w:r>
      <w:r>
        <w:rPr>
          <w:rFonts w:hint="eastAsia" w:ascii="仿宋" w:hAnsi="仿宋" w:eastAsia="仿宋" w:cs="仿宋"/>
          <w:color w:val="auto"/>
          <w:sz w:val="28"/>
          <w:szCs w:val="28"/>
          <w:lang w:eastAsia="zh-CN"/>
        </w:rPr>
        <w:t>）付款</w:t>
      </w:r>
      <w:r>
        <w:rPr>
          <w:rFonts w:hint="eastAsia" w:ascii="仿宋" w:hAnsi="仿宋" w:eastAsia="仿宋" w:cs="仿宋"/>
          <w:color w:val="auto"/>
          <w:sz w:val="28"/>
          <w:szCs w:val="28"/>
          <w:lang w:val="en-US" w:eastAsia="zh-CN"/>
        </w:rPr>
        <w:t>期限、</w:t>
      </w:r>
      <w:r>
        <w:rPr>
          <w:rFonts w:hint="eastAsia" w:ascii="仿宋" w:hAnsi="仿宋" w:eastAsia="仿宋" w:cs="仿宋"/>
          <w:color w:val="auto"/>
          <w:sz w:val="28"/>
          <w:szCs w:val="28"/>
          <w:lang w:eastAsia="zh-CN"/>
        </w:rPr>
        <w:t>方式：</w:t>
      </w:r>
    </w:p>
    <w:p w14:paraId="2E13BF5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结算后供应商开具</w:t>
      </w:r>
      <w:r>
        <w:rPr>
          <w:rFonts w:hint="eastAsia" w:ascii="仿宋" w:hAnsi="仿宋" w:eastAsia="仿宋" w:cs="仿宋"/>
          <w:color w:val="auto"/>
          <w:sz w:val="28"/>
          <w:szCs w:val="28"/>
          <w:lang w:eastAsia="zh-CN"/>
        </w:rPr>
        <w:t>全额增值税发票，票到</w:t>
      </w:r>
      <w:r>
        <w:rPr>
          <w:rFonts w:hint="eastAsia" w:ascii="仿宋" w:hAnsi="仿宋" w:eastAsia="仿宋" w:cs="仿宋"/>
          <w:color w:val="auto"/>
          <w:sz w:val="28"/>
          <w:szCs w:val="28"/>
          <w:lang w:val="en-US" w:eastAsia="zh-CN"/>
        </w:rPr>
        <w:t>采购方财务挂账后三月付款。</w:t>
      </w:r>
    </w:p>
    <w:p w14:paraId="7AC338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供应商须为中华人民共和国境内依法注册的法人或者其他组织，有能力完成本项目的厂家或经销商，具备合法的营业执照及经营范围； </w:t>
      </w:r>
    </w:p>
    <w:p w14:paraId="7625647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3289040">
      <w:pPr>
        <w:pageBreakBefore w:val="0"/>
        <w:kinsoku/>
        <w:wordWrap/>
        <w:overflowPunct/>
        <w:topLinePunct w:val="0"/>
        <w:autoSpaceDE/>
        <w:autoSpaceDN/>
        <w:bidi w:val="0"/>
        <w:snapToGrid/>
        <w:spacing w:line="460" w:lineRule="exact"/>
        <w:ind w:left="0" w:firstLine="560" w:firstLineChars="2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供应商2023年5月至今具有焦沫业绩（提供合同复印件，时间以合同签订时间为准），未提供有效业绩报价无效。</w:t>
      </w:r>
    </w:p>
    <w:p w14:paraId="04C0E15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4"/>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6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6"/>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6"/>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300834963"/>
      <w:bookmarkStart w:id="13" w:name="_Toc352691486"/>
      <w:bookmarkStart w:id="14" w:name="_Toc369531529"/>
      <w:bookmarkStart w:id="15" w:name="_Toc152045542"/>
      <w:bookmarkStart w:id="16" w:name="_Toc247513966"/>
      <w:bookmarkStart w:id="17" w:name="_Toc384308223"/>
      <w:bookmarkStart w:id="18" w:name="_Toc247527567"/>
      <w:bookmarkStart w:id="19" w:name="_Toc144974510"/>
      <w:bookmarkStart w:id="20" w:name="_Toc361508598"/>
      <w:bookmarkStart w:id="21" w:name="_Toc25772"/>
      <w:bookmarkStart w:id="22" w:name="_Toc152042318"/>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152042319"/>
      <w:bookmarkStart w:id="25" w:name="_Toc247513967"/>
      <w:bookmarkStart w:id="26" w:name="_Toc361508599"/>
      <w:bookmarkStart w:id="27" w:name="_Toc300834964"/>
      <w:bookmarkStart w:id="28" w:name="_Toc384308224"/>
      <w:bookmarkStart w:id="29" w:name="_Toc152045543"/>
      <w:bookmarkStart w:id="30" w:name="_Toc144974511"/>
      <w:bookmarkStart w:id="31" w:name="_Toc15242"/>
      <w:bookmarkStart w:id="32" w:name="_Toc352691487"/>
      <w:bookmarkStart w:id="33" w:name="_Toc247527568"/>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5万元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5D9A16CB">
      <w:pPr>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4" w:name="_Toc152042322"/>
      <w:bookmarkStart w:id="35" w:name="_Toc361508603"/>
      <w:bookmarkStart w:id="36" w:name="_Toc352691491"/>
      <w:bookmarkStart w:id="37" w:name="_Toc247513970"/>
      <w:bookmarkStart w:id="38" w:name="_Toc247527571"/>
      <w:bookmarkStart w:id="39" w:name="_Toc300834967"/>
      <w:bookmarkStart w:id="40" w:name="_Toc14751"/>
      <w:bookmarkStart w:id="41" w:name="_Toc384308228"/>
      <w:bookmarkStart w:id="42" w:name="_Toc369531534"/>
      <w:bookmarkStart w:id="43" w:name="_Toc144974514"/>
      <w:bookmarkStart w:id="44" w:name="_Toc152045546"/>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cs="仿宋"/>
          <w:color w:val="auto"/>
          <w:sz w:val="28"/>
          <w:szCs w:val="28"/>
        </w:rPr>
        <w:t>内</w:t>
      </w:r>
      <w:bookmarkStart w:id="45" w:name="_Toc369531535"/>
      <w:bookmarkStart w:id="46" w:name="_Toc247513971"/>
      <w:bookmarkStart w:id="47" w:name="_Toc300834968"/>
      <w:bookmarkStart w:id="48" w:name="_Toc361508604"/>
      <w:bookmarkStart w:id="49" w:name="_Toc352691492"/>
      <w:bookmarkStart w:id="50" w:name="_Toc152042323"/>
      <w:bookmarkStart w:id="51" w:name="_Toc152045547"/>
      <w:bookmarkStart w:id="52" w:name="_Toc384308229"/>
      <w:bookmarkStart w:id="53" w:name="_Toc247527572"/>
      <w:bookmarkStart w:id="54" w:name="_Toc17952"/>
      <w:bookmarkStart w:id="55" w:name="_Toc144974515"/>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45"/>
      <w:bookmarkEnd w:id="46"/>
      <w:bookmarkEnd w:id="47"/>
      <w:bookmarkEnd w:id="48"/>
      <w:bookmarkEnd w:id="49"/>
      <w:bookmarkEnd w:id="50"/>
      <w:bookmarkEnd w:id="51"/>
      <w:bookmarkEnd w:id="52"/>
      <w:bookmarkEnd w:id="53"/>
      <w:bookmarkEnd w:id="54"/>
      <w:bookmarkEnd w:id="55"/>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widowControl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widowControl w:val="0"/>
        <w:kinsoku/>
        <w:wordWrap/>
        <w:overflowPunct/>
        <w:topLinePunct w:val="0"/>
        <w:autoSpaceDE/>
        <w:autoSpaceDN/>
        <w:bidi w:val="0"/>
        <w:adjustRightInd/>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495D0EA">
      <w:pPr>
        <w:pageBreakBefore w:val="0"/>
        <w:widowControl w:val="0"/>
        <w:kinsoku/>
        <w:wordWrap/>
        <w:overflowPunct/>
        <w:topLinePunct w:val="0"/>
        <w:autoSpaceDE/>
        <w:autoSpaceDN/>
        <w:bidi w:val="0"/>
        <w:adjustRightInd/>
        <w:snapToGrid/>
        <w:spacing w:line="460" w:lineRule="exact"/>
        <w:ind w:left="0"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p>
    <w:p w14:paraId="4F81DA31">
      <w:pPr>
        <w:pStyle w:val="4"/>
        <w:pageBreakBefore w:val="0"/>
        <w:widowControl w:val="0"/>
        <w:kinsoku/>
        <w:wordWrap/>
        <w:overflowPunct/>
        <w:topLinePunct w:val="0"/>
        <w:autoSpaceDE/>
        <w:autoSpaceDN/>
        <w:bidi w:val="0"/>
        <w:adjustRightInd/>
        <w:snapToGrid/>
        <w:spacing w:before="0" w:after="0" w:line="460" w:lineRule="exact"/>
        <w:ind w:left="0" w:firstLine="280" w:firstLineChars="100"/>
        <w:jc w:val="both"/>
        <w:textAlignment w:val="auto"/>
        <w:rPr>
          <w:rFonts w:hint="eastAsia" w:ascii="仿宋" w:hAnsi="仿宋" w:eastAsia="仿宋" w:cs="仿宋"/>
          <w:color w:val="auto"/>
          <w:sz w:val="28"/>
          <w:szCs w:val="28"/>
        </w:rPr>
      </w:pPr>
      <w:bookmarkStart w:id="56" w:name="_Toc24514"/>
      <w:bookmarkStart w:id="57" w:name="_Toc28216"/>
      <w:bookmarkStart w:id="58" w:name="_Toc21871"/>
      <w:bookmarkStart w:id="59" w:name="_Toc337957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56"/>
      <w:bookmarkEnd w:id="57"/>
      <w:bookmarkEnd w:id="58"/>
      <w:bookmarkEnd w:id="59"/>
    </w:p>
    <w:p w14:paraId="043634F3">
      <w:pPr>
        <w:pStyle w:val="4"/>
        <w:pageBreakBefore w:val="0"/>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20DFEFD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17CE213D">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1CAC86D4">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175F370D">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5、线下响应文件需胶装密封，封面需注明参与项目名称及公司盖章。快递件不作为密封条件，以快递件内的密封胶装响应文件为准。</w:t>
      </w:r>
    </w:p>
    <w:p w14:paraId="3B32EB3B">
      <w:pPr>
        <w:pageBreakBefore w:val="0"/>
        <w:kinsoku/>
        <w:wordWrap/>
        <w:topLinePunct w:val="0"/>
        <w:autoSpaceDE/>
        <w:autoSpaceDN/>
        <w:bidi w:val="0"/>
        <w:snapToGrid/>
        <w:spacing w:line="46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6、资格审查不合格的报价无效。</w:t>
      </w:r>
    </w:p>
    <w:p w14:paraId="55CF8B55">
      <w:pPr>
        <w:pageBreakBefore w:val="0"/>
        <w:kinsoku/>
        <w:wordWrap/>
        <w:topLinePunct w:val="0"/>
        <w:autoSpaceDE/>
        <w:autoSpaceDN/>
        <w:bidi w:val="0"/>
        <w:snapToGrid/>
        <w:spacing w:line="460" w:lineRule="exact"/>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73FD4F22">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响应文件提交截止时间：2026年4月24日12时（北京时间）；</w:t>
      </w:r>
    </w:p>
    <w:p w14:paraId="284D564E">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73FFC3C4">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2A3D44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4、报价单位可任选线上或线下任意一种方法提交</w:t>
      </w:r>
      <w:r>
        <w:rPr>
          <w:rFonts w:hint="eastAsia" w:ascii="仿宋" w:hAnsi="仿宋" w:eastAsia="仿宋" w:cs="仿宋"/>
          <w:b w:val="0"/>
          <w:bCs w:val="0"/>
          <w:color w:val="auto"/>
          <w:spacing w:val="1"/>
          <w:sz w:val="28"/>
          <w:szCs w:val="28"/>
          <w:highlight w:val="none"/>
          <w:lang w:eastAsia="zh-CN"/>
        </w:rPr>
        <w:t>响应文件</w:t>
      </w:r>
      <w:r>
        <w:rPr>
          <w:rFonts w:hint="eastAsia" w:ascii="仿宋" w:hAnsi="仿宋" w:eastAsia="仿宋" w:cs="仿宋"/>
          <w:color w:val="auto"/>
          <w:sz w:val="28"/>
          <w:szCs w:val="28"/>
          <w:lang w:val="en-US" w:eastAsia="zh-CN"/>
        </w:rPr>
        <w:t>。</w:t>
      </w:r>
    </w:p>
    <w:p w14:paraId="2B63749B">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联系人：张小兵    电话： 0914-2552485</w:t>
      </w:r>
    </w:p>
    <w:p w14:paraId="37C1302B">
      <w:pPr>
        <w:keepNext w:val="0"/>
        <w:keepLines w:val="0"/>
        <w:pageBreakBefore w:val="0"/>
        <w:widowControl w:val="0"/>
        <w:kinsoku/>
        <w:wordWrap/>
        <w:overflowPunct w:val="0"/>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6FB19940">
      <w:pPr>
        <w:pStyle w:val="14"/>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479A7A29">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2026年4月24日14时</w:t>
      </w:r>
      <w:r>
        <w:rPr>
          <w:rFonts w:hint="eastAsia" w:ascii="仿宋" w:hAnsi="仿宋" w:eastAsia="仿宋" w:cs="仿宋"/>
          <w:color w:val="auto"/>
          <w:spacing w:val="1"/>
          <w:kern w:val="0"/>
          <w:sz w:val="28"/>
          <w:szCs w:val="28"/>
          <w:highlight w:val="none"/>
          <w:lang w:val="en-US" w:eastAsia="zh-CN" w:bidi="ar-SA"/>
        </w:rPr>
        <w:t>；</w:t>
      </w:r>
    </w:p>
    <w:p w14:paraId="3989E8E9">
      <w:pPr>
        <w:pageBreakBefore w:val="0"/>
        <w:kinsoku/>
        <w:wordWrap/>
        <w:topLinePunct w:val="0"/>
        <w:autoSpaceDE/>
        <w:autoSpaceDN/>
        <w:bidi w:val="0"/>
        <w:snapToGrid/>
        <w:spacing w:line="460" w:lineRule="exact"/>
        <w:ind w:firstLine="564" w:firstLineChars="200"/>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3"/>
        <w:pageBreakBefore w:val="0"/>
        <w:widowControl w:val="0"/>
        <w:kinsoku/>
        <w:wordWrap/>
        <w:overflowPunct/>
        <w:topLinePunct w:val="0"/>
        <w:autoSpaceDE/>
        <w:autoSpaceDN/>
        <w:bidi w:val="0"/>
        <w:adjustRightInd/>
        <w:snapToGrid/>
        <w:spacing w:before="0" w:after="0" w:line="460" w:lineRule="exact"/>
        <w:ind w:firstLine="562" w:firstLineChars="200"/>
        <w:jc w:val="both"/>
        <w:textAlignment w:val="auto"/>
        <w:rPr>
          <w:rFonts w:hint="eastAsia" w:ascii="仿宋" w:hAnsi="仿宋" w:eastAsia="仿宋" w:cs="仿宋"/>
          <w:color w:val="auto"/>
          <w:sz w:val="28"/>
          <w:szCs w:val="28"/>
          <w:lang w:val="en-US" w:eastAsia="zh-CN"/>
        </w:rPr>
      </w:pPr>
      <w:r>
        <w:rPr>
          <w:rStyle w:val="12"/>
          <w:rFonts w:hint="eastAsia" w:ascii="仿宋" w:hAnsi="仿宋" w:eastAsia="仿宋" w:cs="仿宋"/>
          <w:b/>
          <w:i w:val="0"/>
          <w:iCs w:val="0"/>
          <w:caps w:val="0"/>
          <w:color w:val="000000"/>
          <w:spacing w:val="0"/>
          <w:sz w:val="28"/>
          <w:szCs w:val="28"/>
          <w:lang w:val="en-US" w:eastAsia="zh-CN"/>
        </w:rPr>
        <w:t>五</w:t>
      </w:r>
      <w:r>
        <w:rPr>
          <w:rStyle w:val="12"/>
          <w:rFonts w:hint="eastAsia" w:ascii="仿宋" w:hAnsi="仿宋" w:eastAsia="仿宋" w:cs="仿宋"/>
          <w:b/>
          <w:i w:val="0"/>
          <w:iCs w:val="0"/>
          <w:caps w:val="0"/>
          <w:color w:val="000000"/>
          <w:spacing w:val="0"/>
          <w:sz w:val="28"/>
          <w:szCs w:val="28"/>
        </w:rPr>
        <w:t>、</w:t>
      </w:r>
      <w:r>
        <w:rPr>
          <w:rStyle w:val="12"/>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60" w:lineRule="exact"/>
        <w:ind w:firstLine="56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（一）响应文件评审办法</w:t>
      </w:r>
    </w:p>
    <w:p w14:paraId="426693E3">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投标报价：45分</w:t>
      </w:r>
    </w:p>
    <w:p w14:paraId="5761A7B8">
      <w:pPr>
        <w:keepNext w:val="0"/>
        <w:keepLines w:val="0"/>
        <w:pageBreakBefore w:val="0"/>
        <w:numPr>
          <w:ilvl w:val="0"/>
          <w:numId w:val="1"/>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09946EA5">
      <w:pPr>
        <w:keepNext w:val="0"/>
        <w:keepLines w:val="0"/>
        <w:pageBreakBefore w:val="0"/>
        <w:kinsoku/>
        <w:wordWrap/>
        <w:overflowPunct/>
        <w:topLinePunct w:val="0"/>
        <w:autoSpaceDE/>
        <w:autoSpaceDN/>
        <w:bidi w:val="0"/>
        <w:adjustRightInd/>
        <w:snapToGrid/>
        <w:spacing w:line="46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56599F47">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招标人要求的条件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报价单位了解采购方的焦沫工况使用环境，货物质量技术指标要求，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完全符合采购方生产要求</w:t>
      </w:r>
      <w:r>
        <w:rPr>
          <w:rFonts w:hint="eastAsia" w:ascii="仿宋" w:hAnsi="仿宋" w:eastAsia="仿宋" w:cs="仿宋"/>
          <w:color w:val="auto"/>
          <w:sz w:val="28"/>
          <w:szCs w:val="28"/>
          <w:highlight w:val="none"/>
          <w:lang w:val="zh-CN"/>
        </w:rPr>
        <w:t>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5EF93C3B">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2ADF1DB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9958FA8">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488B85F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46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7B11824D">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0" w:name="_Toc361508651"/>
      <w:bookmarkStart w:id="61" w:name="_Toc144974570"/>
      <w:bookmarkStart w:id="62" w:name="_Toc369531582"/>
      <w:bookmarkStart w:id="63" w:name="_Toc247527628"/>
      <w:bookmarkStart w:id="64" w:name="_Toc300835013"/>
      <w:bookmarkStart w:id="65" w:name="_Toc152042380"/>
      <w:bookmarkStart w:id="66" w:name="_Toc247514027"/>
      <w:bookmarkStart w:id="67" w:name="_Toc152045603"/>
      <w:bookmarkStart w:id="68" w:name="_Toc352691538"/>
      <w:bookmarkStart w:id="69" w:name="_Toc2907"/>
      <w:bookmarkStart w:id="70" w:name="_Toc384308277"/>
      <w:r>
        <w:rPr>
          <w:rFonts w:hint="eastAsia" w:ascii="仿宋" w:hAnsi="仿宋" w:eastAsia="仿宋" w:cs="仿宋"/>
          <w:color w:val="auto"/>
          <w:sz w:val="28"/>
          <w:szCs w:val="28"/>
        </w:rPr>
        <w:t>行书面澄清确认。</w:t>
      </w:r>
      <w:bookmarkEnd w:id="60"/>
      <w:bookmarkEnd w:id="61"/>
      <w:bookmarkEnd w:id="62"/>
      <w:bookmarkEnd w:id="63"/>
      <w:bookmarkEnd w:id="64"/>
      <w:bookmarkEnd w:id="65"/>
      <w:bookmarkEnd w:id="66"/>
      <w:bookmarkEnd w:id="67"/>
      <w:bookmarkEnd w:id="68"/>
      <w:bookmarkEnd w:id="69"/>
      <w:bookmarkEnd w:id="70"/>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1" w:name="_Toc16955"/>
      <w:bookmarkStart w:id="72" w:name="_Toc29291"/>
      <w:bookmarkStart w:id="73" w:name="_Toc33795835"/>
      <w:bookmarkStart w:id="74" w:name="_Toc13563"/>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1"/>
      <w:bookmarkEnd w:id="72"/>
      <w:bookmarkEnd w:id="73"/>
      <w:bookmarkEnd w:id="74"/>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4"/>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rPr>
      </w:pPr>
      <w:bookmarkStart w:id="75" w:name="_Toc15253"/>
      <w:bookmarkStart w:id="76" w:name="_Toc32669"/>
      <w:bookmarkStart w:id="77" w:name="_Toc3366"/>
      <w:bookmarkStart w:id="78" w:name="_Toc33795836"/>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75"/>
      <w:bookmarkEnd w:id="76"/>
      <w:bookmarkEnd w:id="77"/>
      <w:bookmarkEnd w:id="78"/>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4"/>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5D8C7D2">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5E9664BB">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p>
    <w:p w14:paraId="5470B6F9">
      <w:pPr>
        <w:pStyle w:val="3"/>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79" w:name="_Toc8518"/>
      <w:bookmarkStart w:id="80" w:name="_Toc33795807"/>
      <w:bookmarkStart w:id="81" w:name="_Toc9481"/>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79"/>
      <w:bookmarkEnd w:id="80"/>
      <w:bookmarkEnd w:id="81"/>
    </w:p>
    <w:p w14:paraId="5DD0CD31">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82" w:name="_Toc30852"/>
      <w:bookmarkStart w:id="83" w:name="_Toc33795808"/>
      <w:bookmarkStart w:id="84" w:name="_Toc21093"/>
      <w:bookmarkStart w:id="85" w:name="_Toc1609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2"/>
      <w:bookmarkEnd w:id="83"/>
      <w:bookmarkEnd w:id="84"/>
      <w:bookmarkEnd w:id="85"/>
    </w:p>
    <w:p w14:paraId="447CDBF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86" w:name="_Toc19079"/>
      <w:bookmarkStart w:id="87" w:name="_Toc10372"/>
      <w:bookmarkStart w:id="88" w:name="_Toc33795809"/>
      <w:bookmarkStart w:id="89" w:name="_Toc7018"/>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86"/>
      <w:bookmarkEnd w:id="87"/>
      <w:bookmarkEnd w:id="88"/>
      <w:bookmarkEnd w:id="89"/>
    </w:p>
    <w:p w14:paraId="386CD98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0" w:name="_Toc144974529"/>
      <w:bookmarkStart w:id="91" w:name="_Toc369531549"/>
      <w:bookmarkStart w:id="92" w:name="_Toc352691505"/>
      <w:bookmarkStart w:id="93" w:name="_Toc384308243"/>
      <w:bookmarkStart w:id="94" w:name="_Toc247527586"/>
      <w:bookmarkStart w:id="95" w:name="_Toc30095"/>
      <w:bookmarkStart w:id="96" w:name="_Toc247513985"/>
      <w:bookmarkStart w:id="97" w:name="_Toc361508618"/>
      <w:bookmarkStart w:id="98" w:name="_Toc152042337"/>
      <w:bookmarkStart w:id="99" w:name="_Toc152045561"/>
      <w:bookmarkStart w:id="100" w:name="_Toc300834982"/>
      <w:r>
        <w:rPr>
          <w:rFonts w:hint="eastAsia" w:ascii="仿宋" w:hAnsi="仿宋" w:eastAsia="仿宋" w:cs="仿宋"/>
          <w:color w:val="auto"/>
          <w:sz w:val="28"/>
          <w:szCs w:val="28"/>
        </w:rPr>
        <w:t>害关系人对</w:t>
      </w:r>
      <w:bookmarkEnd w:id="90"/>
      <w:bookmarkEnd w:id="91"/>
      <w:bookmarkEnd w:id="92"/>
      <w:bookmarkEnd w:id="93"/>
      <w:bookmarkEnd w:id="94"/>
      <w:bookmarkEnd w:id="95"/>
      <w:bookmarkEnd w:id="96"/>
      <w:bookmarkEnd w:id="97"/>
      <w:bookmarkEnd w:id="98"/>
      <w:bookmarkEnd w:id="99"/>
      <w:bookmarkEnd w:id="100"/>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1" w:name="_Toc33795810"/>
      <w:bookmarkStart w:id="102" w:name="_Toc21648"/>
      <w:bookmarkStart w:id="103" w:name="_Toc28756"/>
      <w:bookmarkStart w:id="104" w:name="_Toc2559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1"/>
      <w:bookmarkEnd w:id="102"/>
      <w:bookmarkEnd w:id="103"/>
      <w:bookmarkEnd w:id="104"/>
    </w:p>
    <w:p w14:paraId="7CC24F1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lang w:val="en-US"/>
        </w:rPr>
      </w:pPr>
      <w:bookmarkStart w:id="105" w:name="_Toc19470"/>
      <w:bookmarkStart w:id="106" w:name="_Toc33795811"/>
      <w:bookmarkStart w:id="107" w:name="_Toc24665"/>
      <w:bookmarkStart w:id="108"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05"/>
      <w:bookmarkEnd w:id="106"/>
      <w:bookmarkEnd w:id="107"/>
      <w:bookmarkEnd w:id="108"/>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09" w:name="_Toc31681"/>
      <w:bookmarkStart w:id="110" w:name="_Toc6928"/>
      <w:bookmarkStart w:id="111" w:name="_Toc33795812"/>
      <w:bookmarkStart w:id="112"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09"/>
      <w:bookmarkEnd w:id="110"/>
      <w:bookmarkEnd w:id="111"/>
      <w:bookmarkEnd w:id="112"/>
    </w:p>
    <w:p w14:paraId="3F599C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3" w:name="_Toc361508619"/>
      <w:bookmarkStart w:id="114" w:name="_Toc384308244"/>
      <w:bookmarkStart w:id="115" w:name="_Toc369531550"/>
      <w:bookmarkStart w:id="116" w:name="_Toc300834983"/>
      <w:bookmarkStart w:id="117" w:name="_Toc5668"/>
      <w:bookmarkStart w:id="118" w:name="_Toc35269150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3"/>
      <w:bookmarkEnd w:id="114"/>
      <w:bookmarkEnd w:id="115"/>
      <w:bookmarkEnd w:id="116"/>
      <w:bookmarkEnd w:id="117"/>
      <w:bookmarkEnd w:id="118"/>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19" w:name="_Toc30705"/>
      <w:bookmarkStart w:id="120" w:name="_Toc4342"/>
      <w:bookmarkStart w:id="121" w:name="_Toc33795813"/>
      <w:bookmarkStart w:id="122" w:name="_Toc216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19"/>
      <w:bookmarkEnd w:id="120"/>
      <w:bookmarkEnd w:id="121"/>
      <w:bookmarkEnd w:id="122"/>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4"/>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rPr>
      </w:pPr>
      <w:bookmarkStart w:id="123" w:name="_Toc14362"/>
      <w:bookmarkStart w:id="124" w:name="_Toc33795814"/>
      <w:bookmarkStart w:id="125" w:name="_Toc3671"/>
      <w:bookmarkStart w:id="126" w:name="_Toc1118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3"/>
      <w:bookmarkEnd w:id="124"/>
      <w:bookmarkEnd w:id="125"/>
      <w:bookmarkEnd w:id="126"/>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27" w:name="_Toc152042340"/>
      <w:bookmarkStart w:id="128" w:name="_Toc300834986"/>
      <w:bookmarkStart w:id="129" w:name="_Toc144974532"/>
      <w:bookmarkStart w:id="130" w:name="_Toc247527589"/>
      <w:bookmarkStart w:id="131" w:name="_Toc352691509"/>
      <w:bookmarkStart w:id="132" w:name="_Toc361508622"/>
      <w:bookmarkStart w:id="133" w:name="_Toc369531553"/>
      <w:bookmarkStart w:id="134" w:name="_Toc247513988"/>
      <w:bookmarkStart w:id="135" w:name="_Toc152045564"/>
      <w:bookmarkStart w:id="136" w:name="_Toc4656"/>
      <w:bookmarkStart w:id="137" w:name="_Toc384308247"/>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27"/>
      <w:bookmarkEnd w:id="128"/>
      <w:bookmarkEnd w:id="129"/>
      <w:bookmarkEnd w:id="130"/>
      <w:bookmarkEnd w:id="131"/>
      <w:bookmarkEnd w:id="132"/>
      <w:bookmarkEnd w:id="133"/>
      <w:bookmarkEnd w:id="134"/>
      <w:bookmarkEnd w:id="135"/>
      <w:bookmarkEnd w:id="136"/>
      <w:bookmarkEnd w:id="137"/>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38" w:name="_Toc18247"/>
      <w:bookmarkStart w:id="139" w:name="_Toc152045565"/>
      <w:bookmarkStart w:id="140" w:name="_Toc247513989"/>
      <w:bookmarkStart w:id="141" w:name="_Toc352691510"/>
      <w:bookmarkStart w:id="142" w:name="_Toc247527590"/>
      <w:bookmarkStart w:id="143" w:name="_Toc361508623"/>
      <w:bookmarkStart w:id="144" w:name="_Toc384308248"/>
      <w:bookmarkStart w:id="145" w:name="_Toc152042341"/>
      <w:bookmarkStart w:id="146" w:name="_Toc300834987"/>
      <w:bookmarkStart w:id="147" w:name="_Toc144974533"/>
      <w:bookmarkStart w:id="148" w:name="_Toc369531554"/>
      <w:r>
        <w:rPr>
          <w:rFonts w:hint="eastAsia" w:ascii="仿宋" w:hAnsi="仿宋" w:eastAsia="仿宋" w:cs="仿宋"/>
          <w:color w:val="auto"/>
          <w:sz w:val="28"/>
          <w:szCs w:val="28"/>
        </w:rPr>
        <w:t>当理由拒签合</w:t>
      </w:r>
      <w:bookmarkEnd w:id="138"/>
      <w:bookmarkEnd w:id="139"/>
      <w:bookmarkEnd w:id="140"/>
      <w:bookmarkEnd w:id="141"/>
      <w:bookmarkEnd w:id="142"/>
      <w:bookmarkEnd w:id="143"/>
      <w:bookmarkEnd w:id="144"/>
      <w:bookmarkEnd w:id="145"/>
      <w:bookmarkEnd w:id="146"/>
      <w:bookmarkEnd w:id="147"/>
      <w:bookmarkEnd w:id="148"/>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49" w:name="_Toc361508627"/>
      <w:bookmarkStart w:id="150" w:name="_Toc384308252"/>
      <w:bookmarkStart w:id="151" w:name="_Toc24067"/>
      <w:bookmarkStart w:id="152" w:name="_Toc247527593"/>
      <w:bookmarkStart w:id="153" w:name="_Toc152045568"/>
      <w:bookmarkStart w:id="154" w:name="_Toc300834991"/>
      <w:bookmarkStart w:id="155" w:name="_Toc144974536"/>
      <w:bookmarkStart w:id="156" w:name="_Toc152042344"/>
      <w:bookmarkStart w:id="157" w:name="_Toc247513992"/>
    </w:p>
    <w:bookmarkEnd w:id="149"/>
    <w:bookmarkEnd w:id="150"/>
    <w:bookmarkEnd w:id="151"/>
    <w:p w14:paraId="5C60697D">
      <w:pPr>
        <w:pStyle w:val="3"/>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rPr>
      </w:pPr>
      <w:bookmarkStart w:id="158" w:name="_Toc14752"/>
      <w:bookmarkStart w:id="159" w:name="_Toc25347"/>
      <w:bookmarkStart w:id="160"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58"/>
      <w:bookmarkEnd w:id="159"/>
      <w:bookmarkEnd w:id="160"/>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23D83AA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1" w:name="_Toc13644"/>
      <w:bookmarkStart w:id="162" w:name="_Toc352691515"/>
      <w:bookmarkStart w:id="163" w:name="_Toc369531559"/>
      <w:bookmarkStart w:id="164" w:name="_Toc384308253"/>
      <w:bookmarkStart w:id="165" w:name="_Toc361508628"/>
      <w:r>
        <w:rPr>
          <w:rFonts w:hint="eastAsia" w:ascii="仿宋" w:hAnsi="仿宋" w:eastAsia="仿宋" w:cs="仿宋"/>
          <w:color w:val="auto"/>
          <w:sz w:val="28"/>
          <w:szCs w:val="28"/>
        </w:rPr>
        <w:t>和比较、</w:t>
      </w:r>
      <w:bookmarkEnd w:id="152"/>
      <w:bookmarkEnd w:id="153"/>
      <w:bookmarkEnd w:id="154"/>
      <w:bookmarkEnd w:id="155"/>
      <w:bookmarkEnd w:id="156"/>
      <w:bookmarkEnd w:id="157"/>
      <w:bookmarkEnd w:id="161"/>
      <w:bookmarkEnd w:id="162"/>
      <w:bookmarkEnd w:id="163"/>
      <w:bookmarkEnd w:id="164"/>
      <w:bookmarkEnd w:id="165"/>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w:t>
      </w:r>
    </w:p>
    <w:p w14:paraId="6F9A454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4"/>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rPr>
      </w:pPr>
      <w:bookmarkStart w:id="166" w:name="_Toc33795820"/>
      <w:bookmarkStart w:id="167" w:name="_Toc24957"/>
      <w:bookmarkStart w:id="168" w:name="_Toc22294"/>
      <w:bookmarkStart w:id="169" w:name="_Toc18070"/>
      <w:r>
        <w:rPr>
          <w:rFonts w:hint="eastAsia" w:ascii="仿宋" w:hAnsi="仿宋" w:eastAsia="仿宋" w:cs="仿宋"/>
          <w:color w:val="auto"/>
          <w:sz w:val="28"/>
          <w:szCs w:val="28"/>
          <w:lang w:val="en-US" w:eastAsia="zh-CN"/>
        </w:rPr>
        <w:t>（三）异议</w:t>
      </w:r>
      <w:bookmarkEnd w:id="166"/>
      <w:bookmarkEnd w:id="167"/>
      <w:bookmarkEnd w:id="168"/>
      <w:bookmarkEnd w:id="169"/>
      <w:bookmarkStart w:id="205" w:name="_GoBack"/>
      <w:bookmarkEnd w:id="205"/>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p>
    <w:p w14:paraId="30A95894">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p>
    <w:p w14:paraId="7346215F">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p>
    <w:p w14:paraId="14D21383">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16110F9C">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4200" w:firstLineChars="15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2026年4月20日</w:t>
      </w:r>
    </w:p>
    <w:p w14:paraId="09DD35AC">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p>
    <w:p w14:paraId="6FFD5EAA">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2BC07FA3">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5CF8F73E">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39C533DF">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0A8023C6">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704C27F1">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6902C70A">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4E5B3C1D">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44"/>
          <w:szCs w:val="44"/>
        </w:rPr>
      </w:pPr>
      <w:r>
        <w:rPr>
          <w:rFonts w:hint="eastAsia" w:ascii="仿宋" w:hAnsi="仿宋" w:eastAsia="仿宋" w:cs="仿宋"/>
          <w:b/>
          <w:bCs/>
          <w:color w:val="auto"/>
          <w:sz w:val="44"/>
          <w:szCs w:val="44"/>
          <w:lang w:val="en-US" w:eastAsia="zh-CN"/>
        </w:rPr>
        <w:t>附：</w:t>
      </w:r>
      <w:r>
        <w:rPr>
          <w:rFonts w:hint="eastAsia" w:ascii="仿宋" w:hAnsi="仿宋" w:eastAsia="仿宋" w:cs="仿宋"/>
          <w:b/>
          <w:bCs/>
          <w:color w:val="auto"/>
          <w:sz w:val="44"/>
          <w:szCs w:val="44"/>
          <w:lang w:eastAsia="zh-CN"/>
        </w:rPr>
        <w:t>响应文件</w:t>
      </w:r>
      <w:r>
        <w:rPr>
          <w:rFonts w:hint="eastAsia" w:ascii="仿宋" w:hAnsi="仿宋" w:eastAsia="仿宋" w:cs="仿宋"/>
          <w:b/>
          <w:bCs/>
          <w:color w:val="auto"/>
          <w:sz w:val="44"/>
          <w:szCs w:val="44"/>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BBDDAE3">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 xml:space="preserve">2026年四月份二工区用3000吨干量焦沫 </w:t>
      </w:r>
    </w:p>
    <w:p w14:paraId="0A2ED61B">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3"/>
        <w:jc w:val="center"/>
        <w:rPr>
          <w:rFonts w:hint="eastAsia" w:ascii="黑体" w:hAnsi="黑体" w:eastAsia="黑体" w:cs="黑体"/>
          <w:b/>
          <w:bCs w:val="0"/>
          <w:color w:val="auto"/>
          <w:sz w:val="36"/>
          <w:szCs w:val="36"/>
        </w:rPr>
      </w:pPr>
      <w:bookmarkStart w:id="170" w:name="_Toc3885"/>
      <w:bookmarkStart w:id="171"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0"/>
      <w:bookmarkEnd w:id="171"/>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3"/>
        <w:jc w:val="center"/>
        <w:rPr>
          <w:rFonts w:hint="eastAsia" w:ascii="黑体" w:hAnsi="黑体" w:eastAsia="黑体" w:cs="黑体"/>
          <w:b w:val="0"/>
          <w:bCs/>
          <w:color w:val="auto"/>
          <w:sz w:val="36"/>
          <w:szCs w:val="36"/>
        </w:rPr>
      </w:pPr>
      <w:bookmarkStart w:id="172" w:name="_Toc504488768"/>
      <w:bookmarkStart w:id="173" w:name="_Toc16531"/>
      <w:r>
        <w:rPr>
          <w:rFonts w:hint="eastAsia" w:ascii="黑体" w:hAnsi="黑体" w:eastAsia="黑体" w:cs="黑体"/>
          <w:b w:val="0"/>
          <w:bCs/>
          <w:color w:val="auto"/>
          <w:sz w:val="36"/>
          <w:szCs w:val="36"/>
        </w:rPr>
        <w:t>一、</w:t>
      </w:r>
      <w:bookmarkEnd w:id="172"/>
      <w:bookmarkEnd w:id="173"/>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4" w:name="_Toc504488769"/>
      <w:bookmarkStart w:id="175" w:name="_Toc28734"/>
    </w:p>
    <w:p w14:paraId="51AE4CE2">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4"/>
      <w:bookmarkEnd w:id="175"/>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6" w:name="_Toc369531698"/>
      <w:bookmarkStart w:id="177" w:name="_Toc352691662"/>
      <w:bookmarkStart w:id="178"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6"/>
      <w:bookmarkEnd w:id="177"/>
      <w:bookmarkEnd w:id="178"/>
      <w:r>
        <w:rPr>
          <w:rFonts w:hint="eastAsia" w:ascii="仿宋" w:hAnsi="仿宋" w:eastAsia="仿宋" w:cs="仿宋"/>
          <w:color w:val="auto"/>
          <w:sz w:val="32"/>
          <w:szCs w:val="32"/>
        </w:rPr>
        <w:t>龄</w:t>
      </w:r>
      <w:bookmarkStart w:id="179" w:name="_Toc352691663"/>
      <w:bookmarkStart w:id="180" w:name="_Toc384308377"/>
      <w:bookmarkStart w:id="181" w:name="_Toc247514248"/>
      <w:bookmarkStart w:id="182" w:name="_Toc300835211"/>
      <w:bookmarkStart w:id="183" w:name="_Toc152045789"/>
      <w:bookmarkStart w:id="184" w:name="_Toc247527829"/>
      <w:bookmarkStart w:id="185" w:name="_Toc361508754"/>
      <w:bookmarkStart w:id="186" w:name="_Toc15573"/>
      <w:bookmarkStart w:id="187" w:name="_Toc144974858"/>
      <w:bookmarkStart w:id="188" w:name="_Toc152042578"/>
      <w:bookmarkStart w:id="189" w:name="_Toc369531699"/>
      <w:r>
        <w:rPr>
          <w:rFonts w:hint="eastAsia" w:ascii="仿宋" w:hAnsi="仿宋" w:eastAsia="仿宋" w:cs="仿宋"/>
          <w:color w:val="auto"/>
          <w:sz w:val="32"/>
          <w:szCs w:val="32"/>
        </w:rPr>
        <w:t>：</w:t>
      </w:r>
      <w:bookmarkEnd w:id="179"/>
      <w:bookmarkEnd w:id="180"/>
      <w:bookmarkEnd w:id="181"/>
      <w:bookmarkEnd w:id="182"/>
      <w:bookmarkEnd w:id="183"/>
      <w:bookmarkEnd w:id="184"/>
      <w:bookmarkEnd w:id="185"/>
      <w:bookmarkEnd w:id="186"/>
      <w:bookmarkEnd w:id="187"/>
      <w:bookmarkEnd w:id="188"/>
      <w:bookmarkEnd w:id="189"/>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3"/>
        <w:jc w:val="center"/>
        <w:rPr>
          <w:rFonts w:hint="eastAsia" w:ascii="黑体" w:hAnsi="黑体" w:eastAsia="黑体" w:cs="黑体"/>
          <w:color w:val="auto"/>
          <w:sz w:val="36"/>
          <w:szCs w:val="36"/>
        </w:rPr>
      </w:pPr>
      <w:bookmarkStart w:id="190" w:name="_Toc2777"/>
      <w:bookmarkStart w:id="191" w:name="_Toc504488770"/>
      <w:r>
        <w:rPr>
          <w:rFonts w:hint="eastAsia" w:ascii="黑体" w:hAnsi="黑体" w:eastAsia="黑体" w:cs="黑体"/>
          <w:color w:val="auto"/>
          <w:sz w:val="36"/>
          <w:szCs w:val="36"/>
        </w:rPr>
        <w:t>二、授权委托书</w:t>
      </w:r>
      <w:bookmarkEnd w:id="190"/>
      <w:bookmarkEnd w:id="191"/>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3"/>
        <w:spacing w:after="0" w:line="413" w:lineRule="auto"/>
        <w:jc w:val="center"/>
        <w:rPr>
          <w:rFonts w:hint="eastAsia" w:ascii="黑体" w:hAnsi="黑体" w:eastAsia="黑体" w:cs="黑体"/>
          <w:color w:val="auto"/>
          <w:sz w:val="36"/>
          <w:szCs w:val="36"/>
          <w:u w:val="single"/>
          <w:lang w:eastAsia="zh-CN"/>
        </w:rPr>
      </w:pPr>
      <w:bookmarkStart w:id="192" w:name="_Toc7842"/>
      <w:bookmarkStart w:id="193"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2"/>
      <w:bookmarkEnd w:id="193"/>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3"/>
        <w:pageBreakBefore/>
        <w:snapToGrid w:val="0"/>
        <w:spacing w:before="0" w:after="0" w:line="288" w:lineRule="auto"/>
        <w:rPr>
          <w:rFonts w:hint="eastAsia" w:ascii="仿宋" w:hAnsi="仿宋" w:eastAsia="仿宋" w:cs="仿宋"/>
          <w:color w:val="auto"/>
          <w:sz w:val="32"/>
          <w:szCs w:val="32"/>
        </w:rPr>
      </w:pPr>
      <w:bookmarkStart w:id="194"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4"/>
    </w:p>
    <w:p w14:paraId="2076046E">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9"/>
        <w:snapToGrid w:val="0"/>
        <w:spacing w:after="120"/>
        <w:ind w:firstLine="0" w:firstLineChars="0"/>
        <w:jc w:val="both"/>
        <w:rPr>
          <w:rFonts w:hint="eastAsia" w:ascii="仿宋" w:hAnsi="仿宋" w:eastAsia="仿宋" w:cs="仿宋"/>
          <w:color w:val="auto"/>
          <w:sz w:val="32"/>
          <w:szCs w:val="32"/>
        </w:rPr>
      </w:pPr>
    </w:p>
    <w:p w14:paraId="47F7429D">
      <w:pPr>
        <w:pStyle w:val="9"/>
        <w:snapToGrid w:val="0"/>
        <w:spacing w:after="120"/>
        <w:ind w:firstLine="0" w:firstLineChars="0"/>
        <w:jc w:val="both"/>
        <w:rPr>
          <w:rFonts w:hint="eastAsia" w:ascii="仿宋" w:hAnsi="仿宋" w:eastAsia="仿宋" w:cs="仿宋"/>
          <w:color w:val="auto"/>
          <w:sz w:val="32"/>
          <w:szCs w:val="32"/>
        </w:rPr>
      </w:pPr>
    </w:p>
    <w:p w14:paraId="1ACC8AFD">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2F2DD20">
      <w:pPr>
        <w:pStyle w:val="3"/>
        <w:numPr>
          <w:ilvl w:val="0"/>
          <w:numId w:val="0"/>
        </w:numPr>
        <w:ind w:left="0" w:leftChars="0" w:firstLine="723" w:firstLineChars="200"/>
        <w:jc w:val="left"/>
        <w:rPr>
          <w:rFonts w:hint="default" w:ascii="Times New Roman" w:hAnsi="Times New Roman" w:eastAsia="宋体" w:cs="Times New Roman"/>
          <w:b/>
          <w:bCs/>
          <w:color w:val="auto"/>
          <w:kern w:val="2"/>
          <w:sz w:val="36"/>
          <w:szCs w:val="36"/>
          <w:lang w:val="en-US" w:eastAsia="zh-CN" w:bidi="ar-SA"/>
        </w:rPr>
      </w:pPr>
      <w:bookmarkStart w:id="195" w:name="_Toc1755"/>
      <w:bookmarkStart w:id="196" w:name="_Toc504488775"/>
      <w:r>
        <w:rPr>
          <w:rFonts w:hint="eastAsia" w:ascii="Times New Roman" w:hAnsi="Times New Roman" w:eastAsia="宋体" w:cs="Times New Roman"/>
          <w:b/>
          <w:bCs/>
          <w:color w:val="auto"/>
          <w:kern w:val="2"/>
          <w:sz w:val="36"/>
          <w:szCs w:val="36"/>
          <w:lang w:val="en-US" w:eastAsia="zh-CN" w:bidi="ar-SA"/>
        </w:rPr>
        <w:t>五、分项报价表</w:t>
      </w:r>
    </w:p>
    <w:tbl>
      <w:tblPr>
        <w:tblStyle w:val="10"/>
        <w:tblpPr w:leftFromText="180" w:rightFromText="180" w:vertAnchor="page" w:horzAnchor="page" w:tblpX="1592" w:tblpY="2612"/>
        <w:tblOverlap w:val="never"/>
        <w:tblW w:w="87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4"/>
        <w:gridCol w:w="1112"/>
        <w:gridCol w:w="3148"/>
        <w:gridCol w:w="1244"/>
        <w:gridCol w:w="1200"/>
        <w:gridCol w:w="1540"/>
      </w:tblGrid>
      <w:tr w14:paraId="2B19D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504"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2321B1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编号</w:t>
            </w:r>
          </w:p>
        </w:tc>
        <w:tc>
          <w:tcPr>
            <w:tcW w:w="1112" w:type="dxa"/>
            <w:tcBorders>
              <w:top w:val="single" w:color="auto" w:sz="6" w:space="0"/>
              <w:left w:val="single" w:color="auto" w:sz="6" w:space="0"/>
              <w:bottom w:val="single" w:color="auto" w:sz="4" w:space="0"/>
              <w:right w:val="single" w:color="auto" w:sz="6" w:space="0"/>
              <w:tl2br w:val="nil"/>
              <w:tr2bl w:val="nil"/>
            </w:tcBorders>
            <w:noWrap w:val="0"/>
            <w:vAlign w:val="center"/>
          </w:tcPr>
          <w:p w14:paraId="7B7E0C61">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货物</w:t>
            </w:r>
          </w:p>
          <w:p w14:paraId="3BC0CE4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314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3B76F">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2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E089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数量</w:t>
            </w:r>
            <w:r>
              <w:rPr>
                <w:rFonts w:hint="eastAsia" w:ascii="宋体" w:hAnsi="宋体" w:cs="宋体"/>
                <w:color w:val="000000"/>
                <w:sz w:val="24"/>
                <w:szCs w:val="24"/>
                <w:lang w:val="en-US" w:eastAsia="zh-CN"/>
              </w:rPr>
              <w:t xml:space="preserve">    </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干量吨</w:t>
            </w:r>
            <w:r>
              <w:rPr>
                <w:rFonts w:hint="eastAsia" w:ascii="宋体" w:hAnsi="宋体" w:cs="宋体"/>
                <w:color w:val="000000"/>
                <w:sz w:val="21"/>
                <w:szCs w:val="21"/>
                <w:lang w:eastAsia="zh-CN"/>
              </w:rPr>
              <w:t>）</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1EB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送到价</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（元/吨）</w:t>
            </w: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2FCA04">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总</w:t>
            </w:r>
            <w:r>
              <w:rPr>
                <w:rFonts w:hint="eastAsia" w:ascii="宋体" w:hAnsi="宋体" w:eastAsia="宋体" w:cs="宋体"/>
                <w:color w:val="000000"/>
                <w:sz w:val="24"/>
                <w:szCs w:val="24"/>
              </w:rPr>
              <w:t>金额（元）</w:t>
            </w:r>
          </w:p>
        </w:tc>
      </w:tr>
      <w:tr w14:paraId="2AE5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0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A22D3">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11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6E82">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二工区用</w:t>
            </w:r>
            <w:r>
              <w:rPr>
                <w:rFonts w:hint="eastAsia" w:ascii="宋体" w:hAnsi="宋体" w:eastAsia="宋体" w:cs="宋体"/>
                <w:color w:val="000000"/>
                <w:sz w:val="24"/>
                <w:szCs w:val="24"/>
                <w:lang w:val="en-US" w:eastAsia="zh-CN"/>
              </w:rPr>
              <w:t>焦沫</w:t>
            </w:r>
          </w:p>
        </w:tc>
        <w:tc>
          <w:tcPr>
            <w:tcW w:w="3148" w:type="dxa"/>
            <w:tcBorders>
              <w:top w:val="single" w:color="auto" w:sz="6" w:space="0"/>
              <w:left w:val="single" w:color="auto" w:sz="4" w:space="0"/>
              <w:bottom w:val="single" w:color="auto" w:sz="6" w:space="0"/>
              <w:right w:val="single" w:color="auto" w:sz="6" w:space="0"/>
              <w:tl2br w:val="nil"/>
              <w:tr2bl w:val="nil"/>
            </w:tcBorders>
            <w:noWrap w:val="0"/>
            <w:vAlign w:val="center"/>
          </w:tcPr>
          <w:p w14:paraId="47CB0F04">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eastAsia="宋体" w:cs="宋体"/>
                <w:sz w:val="21"/>
                <w:szCs w:val="21"/>
              </w:rPr>
            </w:pPr>
            <w:r>
              <w:rPr>
                <w:rFonts w:hint="eastAsia" w:ascii="仿宋" w:hAnsi="仿宋" w:eastAsia="仿宋" w:cs="仿宋"/>
                <w:color w:val="auto"/>
                <w:sz w:val="28"/>
                <w:szCs w:val="28"/>
              </w:rPr>
              <w:t>C≥</w:t>
            </w:r>
            <w:r>
              <w:rPr>
                <w:rFonts w:hint="eastAsia" w:ascii="仿宋" w:hAnsi="仿宋" w:eastAsia="仿宋" w:cs="仿宋"/>
                <w:color w:val="auto"/>
                <w:sz w:val="28"/>
                <w:szCs w:val="28"/>
                <w:lang w:val="en-US" w:eastAsia="zh-CN"/>
              </w:rPr>
              <w:t>78</w:t>
            </w:r>
            <w:r>
              <w:rPr>
                <w:rFonts w:hint="eastAsia" w:ascii="仿宋" w:hAnsi="仿宋" w:eastAsia="仿宋" w:cs="仿宋"/>
                <w:color w:val="auto"/>
                <w:sz w:val="28"/>
                <w:szCs w:val="28"/>
              </w:rPr>
              <w:t>%，挥发份≤</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.0%，灰分≤15.0%，S≤</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%,水分≤</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%，粒度符合5-10mm≤</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15mm＜</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%，5mm＜</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w:t>
            </w:r>
          </w:p>
        </w:tc>
        <w:tc>
          <w:tcPr>
            <w:tcW w:w="124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A0536">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3000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BCB4A">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c>
          <w:tcPr>
            <w:tcW w:w="15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5A5FE">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eastAsia="宋体" w:cs="宋体"/>
                <w:color w:val="000000"/>
                <w:sz w:val="24"/>
                <w:szCs w:val="24"/>
              </w:rPr>
            </w:pPr>
          </w:p>
        </w:tc>
      </w:tr>
    </w:tbl>
    <w:p w14:paraId="6DD097D9">
      <w:pPr>
        <w:bidi w:val="0"/>
        <w:ind w:firstLine="300" w:firstLineChars="100"/>
        <w:jc w:val="left"/>
        <w:rPr>
          <w:rFonts w:hint="eastAsia" w:ascii="Times New Roman" w:hAnsi="Times New Roman"/>
          <w:color w:val="auto"/>
          <w:kern w:val="0"/>
          <w:sz w:val="30"/>
          <w:szCs w:val="30"/>
          <w:lang w:val="en-US" w:eastAsia="zh-CN"/>
        </w:rPr>
      </w:pPr>
    </w:p>
    <w:p w14:paraId="413685F5">
      <w:pPr>
        <w:bidi w:val="0"/>
        <w:ind w:firstLine="1500" w:firstLineChars="5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 xml:space="preserve">报价单位签字盖章： </w:t>
      </w:r>
      <w:r>
        <w:rPr>
          <w:rFonts w:hint="eastAsia" w:ascii="Times New Roman" w:hAnsi="Times New Roman"/>
          <w:color w:val="auto"/>
          <w:kern w:val="0"/>
          <w:sz w:val="30"/>
          <w:szCs w:val="30"/>
          <w:u w:val="single"/>
          <w:lang w:val="en-US" w:eastAsia="zh-CN"/>
        </w:rPr>
        <w:t xml:space="preserve">                           </w:t>
      </w:r>
    </w:p>
    <w:p w14:paraId="0C4F7D97">
      <w:pPr>
        <w:pStyle w:val="3"/>
        <w:spacing w:after="0"/>
        <w:ind w:firstLine="4800" w:firstLineChars="1600"/>
        <w:jc w:val="both"/>
        <w:rPr>
          <w:rFonts w:ascii="Times New Roman" w:hAnsi="Times New Roman"/>
          <w:color w:val="auto"/>
        </w:rPr>
      </w:pP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年</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月</w:t>
      </w:r>
      <w:r>
        <w:rPr>
          <w:rFonts w:hint="eastAsia" w:ascii="Times New Roman" w:hAnsi="Times New Roman"/>
          <w:b w:val="0"/>
          <w:bCs/>
          <w:color w:val="auto"/>
          <w:kern w:val="0"/>
          <w:sz w:val="30"/>
          <w:szCs w:val="30"/>
          <w:u w:val="single"/>
          <w:lang w:val="en-US" w:eastAsia="zh-CN"/>
        </w:rPr>
        <w:t xml:space="preserve">    </w:t>
      </w:r>
      <w:r>
        <w:rPr>
          <w:rFonts w:hint="eastAsia" w:ascii="Times New Roman" w:hAnsi="Times New Roman"/>
          <w:b w:val="0"/>
          <w:bCs/>
          <w:color w:val="auto"/>
          <w:kern w:val="0"/>
          <w:sz w:val="30"/>
          <w:szCs w:val="30"/>
          <w:lang w:val="en-US" w:eastAsia="zh-CN"/>
        </w:rPr>
        <w:t>日</w:t>
      </w:r>
      <w:r>
        <w:rPr>
          <w:rFonts w:hint="eastAsia" w:ascii="Times New Roman" w:hAnsi="Times New Roman"/>
          <w:b w:val="0"/>
          <w:bCs/>
          <w:color w:val="auto"/>
          <w:kern w:val="0"/>
          <w:sz w:val="30"/>
          <w:szCs w:val="30"/>
        </w:rPr>
        <w:br w:type="page"/>
      </w: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5"/>
      <w:bookmarkEnd w:id="196"/>
    </w:p>
    <w:p w14:paraId="097D03FF">
      <w:pPr>
        <w:pStyle w:val="4"/>
        <w:spacing w:before="20" w:after="0"/>
        <w:ind w:firstLine="103"/>
        <w:rPr>
          <w:rFonts w:ascii="Times New Roman"/>
          <w:color w:val="auto"/>
          <w:sz w:val="32"/>
          <w:szCs w:val="32"/>
        </w:rPr>
      </w:pPr>
      <w:bookmarkStart w:id="197" w:name="_Toc13906"/>
      <w:bookmarkStart w:id="198" w:name="_Toc504488776"/>
      <w:r>
        <w:rPr>
          <w:rFonts w:hint="eastAsia" w:ascii="Times New Roman"/>
          <w:color w:val="auto"/>
          <w:sz w:val="32"/>
          <w:szCs w:val="32"/>
        </w:rPr>
        <w:t>（一）基本情况表</w:t>
      </w:r>
      <w:bookmarkEnd w:id="197"/>
      <w:bookmarkEnd w:id="198"/>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4"/>
        <w:ind w:firstLine="103"/>
        <w:rPr>
          <w:rFonts w:ascii="Times New Roman"/>
          <w:color w:val="auto"/>
          <w:sz w:val="32"/>
          <w:szCs w:val="32"/>
        </w:rPr>
      </w:pPr>
      <w:bookmarkStart w:id="199" w:name="_Toc19475"/>
      <w:bookmarkStart w:id="200"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199"/>
      <w:bookmarkEnd w:id="200"/>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1" w:name="_Toc504488780"/>
      <w:bookmarkStart w:id="202"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1"/>
      <w:bookmarkEnd w:id="202"/>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3"/>
        <w:spacing w:line="400" w:lineRule="exact"/>
        <w:jc w:val="both"/>
        <w:rPr>
          <w:rFonts w:hint="eastAsia" w:ascii="仿宋" w:hAnsi="仿宋" w:eastAsia="仿宋" w:cs="仿宋"/>
          <w:color w:val="auto"/>
          <w:sz w:val="32"/>
          <w:szCs w:val="32"/>
          <w:lang w:val="en-US" w:eastAsia="zh-CN"/>
        </w:rPr>
      </w:pPr>
      <w:bookmarkStart w:id="203" w:name="_Toc22199"/>
      <w:bookmarkStart w:id="204" w:name="_Toc504488783"/>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3"/>
    <w:bookmarkEnd w:id="204"/>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D41A3E-0D60-4B09-92B3-833F655B21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AB76F8AE-B90E-4451-8706-D6B8C0485E7D}"/>
  </w:font>
  <w:font w:name="仿宋">
    <w:panose1 w:val="02010609060101010101"/>
    <w:charset w:val="86"/>
    <w:family w:val="auto"/>
    <w:pitch w:val="default"/>
    <w:sig w:usb0="800002BF" w:usb1="38CF7CFA" w:usb2="00000016" w:usb3="00000000" w:csb0="00040001" w:csb1="00000000"/>
    <w:embedRegular r:id="rId3" w:fontKey="{511FD049-E191-4188-ACC2-2AECB880728A}"/>
  </w:font>
  <w:font w:name="微软雅黑">
    <w:panose1 w:val="020B0503020204020204"/>
    <w:charset w:val="86"/>
    <w:family w:val="auto"/>
    <w:pitch w:val="default"/>
    <w:sig w:usb0="80000287" w:usb1="2ACF3C50" w:usb2="00000016" w:usb3="00000000" w:csb0="0004001F" w:csb1="00000000"/>
    <w:embedRegular r:id="rId4" w:fontKey="{30A51832-DEC5-4018-8A3C-99209CC831BF}"/>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CA1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82D4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782D4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A14B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F72CA9"/>
    <w:rsid w:val="023E2922"/>
    <w:rsid w:val="026E6F9B"/>
    <w:rsid w:val="0453071C"/>
    <w:rsid w:val="05BE40FB"/>
    <w:rsid w:val="08C03178"/>
    <w:rsid w:val="0B1E43C0"/>
    <w:rsid w:val="0DD7718C"/>
    <w:rsid w:val="0F295B98"/>
    <w:rsid w:val="102F1EF5"/>
    <w:rsid w:val="10785328"/>
    <w:rsid w:val="10D43734"/>
    <w:rsid w:val="15350822"/>
    <w:rsid w:val="15D01836"/>
    <w:rsid w:val="190044E4"/>
    <w:rsid w:val="19BF0744"/>
    <w:rsid w:val="19BF485E"/>
    <w:rsid w:val="1B3D3D5E"/>
    <w:rsid w:val="1C25356A"/>
    <w:rsid w:val="1CEF3596"/>
    <w:rsid w:val="1DB27CC5"/>
    <w:rsid w:val="1E34479D"/>
    <w:rsid w:val="211454BC"/>
    <w:rsid w:val="21834158"/>
    <w:rsid w:val="241430A6"/>
    <w:rsid w:val="297D7484"/>
    <w:rsid w:val="2EF137DE"/>
    <w:rsid w:val="31832E12"/>
    <w:rsid w:val="333C7F24"/>
    <w:rsid w:val="333D3C9C"/>
    <w:rsid w:val="339B5162"/>
    <w:rsid w:val="3A4A486F"/>
    <w:rsid w:val="3A561988"/>
    <w:rsid w:val="3BE13D5E"/>
    <w:rsid w:val="3CB63F34"/>
    <w:rsid w:val="3E8053A1"/>
    <w:rsid w:val="433C5D1E"/>
    <w:rsid w:val="438C17CA"/>
    <w:rsid w:val="460F14C8"/>
    <w:rsid w:val="4B896DF6"/>
    <w:rsid w:val="4C221D14"/>
    <w:rsid w:val="4CB27A82"/>
    <w:rsid w:val="4CF60560"/>
    <w:rsid w:val="4D66647C"/>
    <w:rsid w:val="503C6593"/>
    <w:rsid w:val="509B2FD7"/>
    <w:rsid w:val="524F1A19"/>
    <w:rsid w:val="53954879"/>
    <w:rsid w:val="542B2540"/>
    <w:rsid w:val="56F815DC"/>
    <w:rsid w:val="57711FE2"/>
    <w:rsid w:val="5890296F"/>
    <w:rsid w:val="5B97061C"/>
    <w:rsid w:val="5C2B04AE"/>
    <w:rsid w:val="5E325758"/>
    <w:rsid w:val="5F28567D"/>
    <w:rsid w:val="5F8C5DB5"/>
    <w:rsid w:val="61137C66"/>
    <w:rsid w:val="62BE332E"/>
    <w:rsid w:val="639D41AF"/>
    <w:rsid w:val="63BD4A30"/>
    <w:rsid w:val="65850A73"/>
    <w:rsid w:val="66452F0C"/>
    <w:rsid w:val="66E24CB0"/>
    <w:rsid w:val="67806D62"/>
    <w:rsid w:val="69E314DA"/>
    <w:rsid w:val="69F446AA"/>
    <w:rsid w:val="6DB30807"/>
    <w:rsid w:val="6E0D596E"/>
    <w:rsid w:val="76987E92"/>
    <w:rsid w:val="7B085B7C"/>
    <w:rsid w:val="7B31611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7727</Words>
  <Characters>8019</Characters>
  <Lines>0</Lines>
  <Paragraphs>0</Paragraphs>
  <TotalTime>16</TotalTime>
  <ScaleCrop>false</ScaleCrop>
  <LinksUpToDate>false</LinksUpToDate>
  <CharactersWithSpaces>8364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瞬间无语</cp:lastModifiedBy>
  <cp:lastPrinted>2026-04-20T09:12:45Z</cp:lastPrinted>
  <dcterms:modified xsi:type="dcterms:W3CDTF">2026-04-20T09:24:07Z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99C532C8C18C4FCA96263150A373C5EC_13</vt:lpwstr>
  </property>
  <property fmtid="{D5CDD505-2E9C-101B-9397-08002B2CF9AE}" pid="4" name="KSOTemplateDocerSaveRecord">
    <vt:lpwstr>eyJoZGlkIjoiY2IxODczYmMzOTcyYmM0NzgyNTU5ODFiNzc0MzFlMTQiLCJ1c2VySWQiOiI1MjE0ODc1ODYifQ==</vt:lpwstr>
  </property>
</Properties>
</file>