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w:t>
      </w:r>
      <w:r>
        <w:rPr>
          <w:rFonts w:hint="eastAsia" w:ascii="Times New Roman" w:hAnsi="Times New Roman" w:eastAsia="黑体"/>
          <w:color w:val="auto"/>
          <w:sz w:val="28"/>
          <w:szCs w:val="28"/>
          <w:highlight w:val="none"/>
          <w:lang w:val="en-US" w:eastAsia="zh-CN"/>
        </w:rPr>
        <w:t>28-</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2026年二季度其他类设备配件采购项目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2026年二季度其他类设备配件采购项目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其他类设备配件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其他类设备配件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不锈钢防油溢探杆</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QKYZDH,24cm*2cm,不锈钢，全金色高精度耐高温，要求耐酸腐蚀，耐温上限100摄氏度</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7E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BDDB2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2D7A9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陶瓷球</w:t>
            </w:r>
          </w:p>
        </w:tc>
        <w:tc>
          <w:tcPr>
            <w:tcW w:w="3075" w:type="dxa"/>
            <w:vAlign w:val="center"/>
          </w:tcPr>
          <w:p w14:paraId="1F1B6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Ø60，性能指标：氧化铝92%，氧化铁≤0.2%，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硬度（莫氏）9，吸水率≤0.01%，体积密度（g/cm³）≥3.6，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磨耗≤0.01%，白色，耐酸度≥60g/l</w:t>
            </w:r>
          </w:p>
        </w:tc>
        <w:tc>
          <w:tcPr>
            <w:tcW w:w="630" w:type="dxa"/>
            <w:vAlign w:val="center"/>
          </w:tcPr>
          <w:p w14:paraId="6CDD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80" w:type="dxa"/>
            <w:vAlign w:val="center"/>
          </w:tcPr>
          <w:p w14:paraId="3A34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吨</w:t>
            </w:r>
          </w:p>
        </w:tc>
        <w:tc>
          <w:tcPr>
            <w:tcW w:w="765" w:type="dxa"/>
            <w:vAlign w:val="center"/>
          </w:tcPr>
          <w:p w14:paraId="5290AC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2009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94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FD9E3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5A6AB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空气加热器</w:t>
            </w:r>
          </w:p>
        </w:tc>
        <w:tc>
          <w:tcPr>
            <w:tcW w:w="3075" w:type="dxa"/>
            <w:vAlign w:val="center"/>
          </w:tcPr>
          <w:p w14:paraId="3E07C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型号：KT/FH15-100/380/10KW </w:t>
            </w:r>
          </w:p>
        </w:tc>
        <w:tc>
          <w:tcPr>
            <w:tcW w:w="630" w:type="dxa"/>
            <w:vAlign w:val="center"/>
          </w:tcPr>
          <w:p w14:paraId="4D70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8DE2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CD312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1D9F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1B9C5F4B">
      <w:pPr>
        <w:keepNext w:val="0"/>
        <w:keepLines w:val="0"/>
        <w:widowControl/>
        <w:suppressLineNumbers w:val="0"/>
        <w:jc w:val="left"/>
        <w:rPr>
          <w:rFonts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widowControl/>
        <w:suppressLineNumbers w:val="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25772"/>
      <w:bookmarkStart w:id="14" w:name="_Toc144974510"/>
      <w:bookmarkStart w:id="15" w:name="_Toc384308223"/>
      <w:bookmarkStart w:id="16" w:name="_Toc300834963"/>
      <w:bookmarkStart w:id="17" w:name="_Toc152042318"/>
      <w:bookmarkStart w:id="18" w:name="_Toc247527567"/>
      <w:bookmarkStart w:id="19" w:name="_Toc369531529"/>
      <w:bookmarkStart w:id="20" w:name="_Toc152045542"/>
      <w:bookmarkStart w:id="21" w:name="_Toc247513966"/>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5543"/>
      <w:bookmarkStart w:id="25" w:name="_Toc152042319"/>
      <w:bookmarkStart w:id="26" w:name="_Toc384308224"/>
      <w:bookmarkStart w:id="27" w:name="_Toc352691487"/>
      <w:bookmarkStart w:id="28" w:name="_Toc300834964"/>
      <w:bookmarkStart w:id="29" w:name="_Toc369531530"/>
      <w:bookmarkStart w:id="30" w:name="_Toc15242"/>
      <w:bookmarkStart w:id="31" w:name="_Toc361508599"/>
      <w:bookmarkStart w:id="32" w:name="_Toc247527568"/>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69531533"/>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247527571"/>
      <w:bookmarkStart w:id="41" w:name="_Toc152045546"/>
      <w:bookmarkStart w:id="42" w:name="_Toc144974514"/>
      <w:bookmarkStart w:id="43" w:name="_Toc152042322"/>
      <w:bookmarkStart w:id="44" w:name="_Toc369531534"/>
      <w:bookmarkStart w:id="45" w:name="_Toc300834967"/>
      <w:bookmarkStart w:id="46" w:name="_Toc352691491"/>
      <w:bookmarkStart w:id="47" w:name="_Toc247513970"/>
      <w:bookmarkStart w:id="48" w:name="_Toc14751"/>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69531535"/>
      <w:bookmarkStart w:id="52" w:name="_Toc144974515"/>
      <w:bookmarkStart w:id="53" w:name="_Toc152045547"/>
      <w:bookmarkStart w:id="54" w:name="_Toc247527572"/>
      <w:bookmarkStart w:id="55" w:name="_Toc384308229"/>
      <w:bookmarkStart w:id="56" w:name="_Toc247513971"/>
      <w:bookmarkStart w:id="57" w:name="_Toc152042323"/>
      <w:bookmarkStart w:id="58" w:name="_Toc352691492"/>
      <w:bookmarkStart w:id="59" w:name="_Toc361508604"/>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5月6日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2026年5月6日14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61508651"/>
      <w:bookmarkStart w:id="67" w:name="_Toc152045603"/>
      <w:bookmarkStart w:id="68" w:name="_Toc152042380"/>
      <w:bookmarkStart w:id="69" w:name="_Toc369531582"/>
      <w:bookmarkStart w:id="70" w:name="_Toc384308277"/>
      <w:bookmarkStart w:id="71" w:name="_Toc2907"/>
      <w:bookmarkStart w:id="72" w:name="_Toc300835013"/>
      <w:bookmarkStart w:id="73" w:name="_Toc144974570"/>
      <w:bookmarkStart w:id="74" w:name="_Toc247514027"/>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69531549"/>
      <w:bookmarkStart w:id="97" w:name="_Toc144974529"/>
      <w:bookmarkStart w:id="98" w:name="_Toc247527586"/>
      <w:bookmarkStart w:id="99" w:name="_Toc152045561"/>
      <w:bookmarkStart w:id="100" w:name="_Toc30095"/>
      <w:bookmarkStart w:id="101" w:name="_Toc152042337"/>
      <w:bookmarkStart w:id="102" w:name="_Toc300834982"/>
      <w:bookmarkStart w:id="103" w:name="_Toc352691505"/>
      <w:bookmarkStart w:id="104" w:name="_Toc361508618"/>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84308244"/>
      <w:bookmarkStart w:id="121" w:name="_Toc5668"/>
      <w:bookmarkStart w:id="122" w:name="_Toc352691506"/>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bookmarkStart w:id="128" w:name="_Toc3671"/>
      <w:bookmarkStart w:id="129" w:name="_Toc11183"/>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在合同签订后其响应保证金自动转为履约保证金，在合同执行完毕给予退还。</w:t>
      </w:r>
      <w:bookmarkStart w:id="207" w:name="_GoBack"/>
      <w:bookmarkEnd w:id="207"/>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4656"/>
      <w:bookmarkStart w:id="134" w:name="_Toc152045564"/>
      <w:bookmarkStart w:id="135" w:name="_Toc361508622"/>
      <w:bookmarkStart w:id="136" w:name="_Toc152042340"/>
      <w:bookmarkStart w:id="137" w:name="_Toc300834986"/>
      <w:bookmarkStart w:id="138" w:name="_Toc384308247"/>
      <w:bookmarkStart w:id="139" w:name="_Toc352691509"/>
      <w:bookmarkStart w:id="140" w:name="_Toc369531553"/>
      <w:bookmarkStart w:id="141" w:name="_Toc247527589"/>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247527590"/>
      <w:bookmarkStart w:id="145" w:name="_Toc300834987"/>
      <w:bookmarkStart w:id="146" w:name="_Toc384308248"/>
      <w:bookmarkStart w:id="147" w:name="_Toc369531554"/>
      <w:bookmarkStart w:id="148" w:name="_Toc247513989"/>
      <w:bookmarkStart w:id="149" w:name="_Toc361508623"/>
      <w:bookmarkStart w:id="150" w:name="_Toc144974533"/>
      <w:bookmarkStart w:id="151" w:name="_Toc152042341"/>
      <w:bookmarkStart w:id="152" w:name="_Toc152045565"/>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144974536"/>
      <w:bookmarkStart w:id="159" w:name="_Toc300834991"/>
      <w:bookmarkStart w:id="160" w:name="_Toc152042344"/>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352691515"/>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2026年4月28日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1819F95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5FBF62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180316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45CB35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XB20260428-01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2026年二季度其他类设备配件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15573"/>
      <w:bookmarkStart w:id="187" w:name="_Toc152042578"/>
      <w:bookmarkStart w:id="188" w:name="_Toc247527829"/>
      <w:bookmarkStart w:id="189" w:name="_Toc247514248"/>
      <w:bookmarkStart w:id="190" w:name="_Toc361508754"/>
      <w:bookmarkStart w:id="191" w:name="_Toc384308377"/>
      <w:bookmarkStart w:id="192" w:name="_Toc144974858"/>
      <w:bookmarkStart w:id="193" w:name="_Toc152045789"/>
      <w:bookmarkStart w:id="194" w:name="_Toc300835211"/>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4E6EA452">
      <w:pPr>
        <w:spacing w:line="440" w:lineRule="exact"/>
        <w:ind w:firstLine="1081" w:firstLineChars="300"/>
        <w:jc w:val="both"/>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国标黑体" w:hAnsi="国标黑体" w:eastAsia="国标黑体" w:cs="国标黑体"/>
          <w:b/>
          <w:bCs/>
          <w:color w:val="auto"/>
          <w:kern w:val="2"/>
          <w:sz w:val="36"/>
          <w:szCs w:val="36"/>
          <w:lang w:val="en-US" w:eastAsia="zh-CN" w:bidi="ar-SA"/>
        </w:rPr>
        <w:t>五</w:t>
      </w:r>
      <w:r>
        <w:rPr>
          <w:rFonts w:hint="eastAsia" w:ascii="黑体" w:hAnsi="黑体" w:cs="黑体"/>
          <w:b/>
          <w:bCs/>
          <w:color w:val="auto"/>
          <w:kern w:val="2"/>
          <w:sz w:val="36"/>
          <w:szCs w:val="36"/>
          <w:lang w:val="en-US" w:eastAsia="zh-CN" w:bidi="ar-SA"/>
        </w:rPr>
        <w:t>、</w:t>
      </w:r>
      <w:r>
        <w:rPr>
          <w:rFonts w:hint="eastAsia" w:ascii="黑体" w:hAnsi="黑体" w:eastAsia="黑体" w:cs="黑体"/>
          <w:b/>
          <w:bCs/>
          <w:color w:val="auto"/>
          <w:kern w:val="2"/>
          <w:sz w:val="36"/>
          <w:szCs w:val="36"/>
          <w:lang w:val="en-US" w:eastAsia="zh-CN" w:bidi="ar-SA"/>
        </w:rPr>
        <w:t>分项报价表</w:t>
      </w:r>
      <w:r>
        <w:rPr>
          <w:rFonts w:hint="eastAsia" w:ascii="国标黑体" w:hAnsi="国标黑体" w:eastAsia="国标黑体" w:cs="国标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2026年二季度其他类设备配件二次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43B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F053FF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0331A75F">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9DA91C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48E0AE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05444DB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2860BA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49A0C88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3B1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25CA50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BE6D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不锈钢防油溢探杆</w:t>
            </w:r>
          </w:p>
        </w:tc>
        <w:tc>
          <w:tcPr>
            <w:tcW w:w="3075" w:type="dxa"/>
            <w:vAlign w:val="center"/>
          </w:tcPr>
          <w:p w14:paraId="32669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QKYZDH,24cm*2cm,不锈钢，全金色高精度耐高温，要求耐酸腐蚀，耐温上限100摄氏度</w:t>
            </w:r>
          </w:p>
        </w:tc>
        <w:tc>
          <w:tcPr>
            <w:tcW w:w="630" w:type="dxa"/>
            <w:vAlign w:val="center"/>
          </w:tcPr>
          <w:p w14:paraId="2ED2A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10E5F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045C6D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8343F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F3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59DF33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0BB84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陶瓷球</w:t>
            </w:r>
          </w:p>
        </w:tc>
        <w:tc>
          <w:tcPr>
            <w:tcW w:w="3075" w:type="dxa"/>
            <w:vAlign w:val="center"/>
          </w:tcPr>
          <w:p w14:paraId="35092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Ø60，性能指标：氧化铝92%，氧化铁≤0.2%，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硬度（莫氏）9，吸水率≤0.01%，体积密度（g/cm³）≥3.6，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磨耗≤0.01%，白色，耐酸度≥60g/l</w:t>
            </w:r>
          </w:p>
        </w:tc>
        <w:tc>
          <w:tcPr>
            <w:tcW w:w="630" w:type="dxa"/>
            <w:vAlign w:val="center"/>
          </w:tcPr>
          <w:p w14:paraId="45AED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80" w:type="dxa"/>
            <w:vAlign w:val="center"/>
          </w:tcPr>
          <w:p w14:paraId="3EED8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吨</w:t>
            </w:r>
          </w:p>
        </w:tc>
        <w:tc>
          <w:tcPr>
            <w:tcW w:w="765" w:type="dxa"/>
            <w:vAlign w:val="center"/>
          </w:tcPr>
          <w:p w14:paraId="462B7C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791FE8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4B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BD9362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10CCC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空气加热器</w:t>
            </w:r>
          </w:p>
        </w:tc>
        <w:tc>
          <w:tcPr>
            <w:tcW w:w="3075" w:type="dxa"/>
            <w:vAlign w:val="center"/>
          </w:tcPr>
          <w:p w14:paraId="6EE76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型号：KT/FH15-100/380/10KW </w:t>
            </w:r>
          </w:p>
        </w:tc>
        <w:tc>
          <w:tcPr>
            <w:tcW w:w="630" w:type="dxa"/>
            <w:vAlign w:val="center"/>
          </w:tcPr>
          <w:p w14:paraId="3F35D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7D061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CE0452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0FB17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52E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D1FF5B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5F787F2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05B32B11">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2516B1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5C27E6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2EFAB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433E0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BB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1D5B4E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642FD1E0">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130118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1DE966F">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515B5E6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180DF8F4">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4D64540A">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42D51815">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6FEAF9"/>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9BF7F37"/>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7FE2311"/>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B8F6D0A"/>
    <w:rsid w:val="BE5F9F5C"/>
    <w:rsid w:val="BFCF7E26"/>
    <w:rsid w:val="BFF7AC82"/>
    <w:rsid w:val="C6DB2A2A"/>
    <w:rsid w:val="D7F76E09"/>
    <w:rsid w:val="D7FE4134"/>
    <w:rsid w:val="DDD76FCC"/>
    <w:rsid w:val="DF4DC98D"/>
    <w:rsid w:val="DFECEF6F"/>
    <w:rsid w:val="DFFF0ADC"/>
    <w:rsid w:val="E5C73326"/>
    <w:rsid w:val="E5C7466E"/>
    <w:rsid w:val="E7FF1E36"/>
    <w:rsid w:val="E9BFF2DD"/>
    <w:rsid w:val="EE25D673"/>
    <w:rsid w:val="F3F3CD9D"/>
    <w:rsid w:val="F5FF660B"/>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22</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2025-02-27T07:34:00Z</dcterms:created>
  <dc:creator>雷建军</dc:creator>
  <cp:lastModifiedBy>缘生</cp:lastModifiedBy>
  <cp:lastPrinted>2026-04-23T17:10:00Z</cp:lastPrinted>
  <dcterms:modified xsi:type="dcterms:W3CDTF">2026-04-28T14:05:54Z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