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textAlignment w:val="auto"/>
        <w:rPr>
          <w:rFonts w:ascii="Times New Roman" w:hAnsi="Times New Roman" w:eastAsia="黑体"/>
          <w:highlight w:val="yellow"/>
        </w:rPr>
      </w:pPr>
      <w:r>
        <w:rPr>
          <w:rFonts w:hint="eastAsia" w:ascii="Times New Roman" w:hAnsi="Times New Roman" w:eastAsia="黑体"/>
          <w:sz w:val="28"/>
          <w:szCs w:val="28"/>
        </w:rPr>
        <w:t>项目编号：</w:t>
      </w:r>
      <w:r>
        <w:rPr>
          <w:rFonts w:hint="eastAsia" w:ascii="Times New Roman" w:hAnsi="Times New Roman" w:eastAsia="黑体"/>
          <w:sz w:val="28"/>
          <w:szCs w:val="28"/>
          <w:highlight w:val="none"/>
        </w:rPr>
        <w:t>XB202</w:t>
      </w:r>
      <w:r>
        <w:rPr>
          <w:rFonts w:hint="eastAsia" w:ascii="Times New Roman" w:hAnsi="Times New Roman" w:eastAsia="黑体"/>
          <w:sz w:val="28"/>
          <w:szCs w:val="28"/>
          <w:highlight w:val="none"/>
          <w:lang w:val="en-US" w:eastAsia="zh-CN"/>
        </w:rPr>
        <w:t>60427</w:t>
      </w:r>
      <w:r>
        <w:rPr>
          <w:rFonts w:hint="eastAsia" w:ascii="Times New Roman" w:hAnsi="Times New Roman" w:eastAsia="黑体"/>
          <w:sz w:val="28"/>
          <w:szCs w:val="28"/>
          <w:highlight w:val="none"/>
        </w:rPr>
        <w:t>-01</w:t>
      </w:r>
    </w:p>
    <w:p w14:paraId="41DEA499">
      <w:pPr>
        <w:pageBreakBefore w:val="0"/>
        <w:kinsoku/>
        <w:wordWrap/>
        <w:topLinePunct w:val="0"/>
        <w:autoSpaceDE/>
        <w:autoSpaceDN/>
        <w:bidi w:val="0"/>
        <w:snapToGrid/>
        <w:spacing w:line="560" w:lineRule="exact"/>
        <w:textAlignment w:val="auto"/>
        <w:rPr>
          <w:rFonts w:ascii="Times New Roman" w:hAnsi="Times New Roman"/>
        </w:rPr>
      </w:pPr>
    </w:p>
    <w:p w14:paraId="33B97A2A">
      <w:pPr>
        <w:pageBreakBefore w:val="0"/>
        <w:kinsoku/>
        <w:wordWrap/>
        <w:topLinePunct w:val="0"/>
        <w:autoSpaceDE/>
        <w:autoSpaceDN/>
        <w:bidi w:val="0"/>
        <w:snapToGrid/>
        <w:spacing w:line="560" w:lineRule="exact"/>
        <w:textAlignment w:val="auto"/>
        <w:rPr>
          <w:rFonts w:ascii="Times New Roman" w:hAnsi="Times New Roman"/>
        </w:rPr>
      </w:pPr>
    </w:p>
    <w:p w14:paraId="2675DF1E">
      <w:pPr>
        <w:pageBreakBefore w:val="0"/>
        <w:kinsoku/>
        <w:wordWrap/>
        <w:topLinePunct w:val="0"/>
        <w:autoSpaceDE/>
        <w:autoSpaceDN/>
        <w:bidi w:val="0"/>
        <w:snapToGrid/>
        <w:spacing w:line="560" w:lineRule="exact"/>
        <w:textAlignment w:val="auto"/>
      </w:pPr>
    </w:p>
    <w:p w14:paraId="338CAE2E">
      <w:pPr>
        <w:pageBreakBefore w:val="0"/>
        <w:kinsoku/>
        <w:wordWrap/>
        <w:topLinePunct w:val="0"/>
        <w:autoSpaceDE/>
        <w:autoSpaceDN/>
        <w:bidi w:val="0"/>
        <w:snapToGrid/>
        <w:spacing w:line="560" w:lineRule="exact"/>
        <w:textAlignment w:val="auto"/>
        <w:rPr>
          <w:rFonts w:ascii="Times New Roman" w:hAnsi="Times New Roman"/>
        </w:rPr>
      </w:pPr>
    </w:p>
    <w:p w14:paraId="6BCE03A0">
      <w:pPr>
        <w:pageBreakBefore w:val="0"/>
        <w:kinsoku/>
        <w:wordWrap/>
        <w:topLinePunct w:val="0"/>
        <w:autoSpaceDE/>
        <w:autoSpaceDN/>
        <w:bidi w:val="0"/>
        <w:snapToGrid/>
        <w:spacing w:line="560" w:lineRule="exact"/>
        <w:textAlignment w:val="auto"/>
        <w:rPr>
          <w:rFonts w:ascii="Times New Roman" w:hAnsi="Times New Roman"/>
        </w:rPr>
      </w:pPr>
    </w:p>
    <w:p w14:paraId="51A057DA">
      <w:pPr>
        <w:pageBreakBefore w:val="0"/>
        <w:kinsoku/>
        <w:wordWrap/>
        <w:topLinePunct w:val="0"/>
        <w:autoSpaceDE/>
        <w:autoSpaceDN/>
        <w:bidi w:val="0"/>
        <w:snapToGrid/>
        <w:spacing w:line="560" w:lineRule="exact"/>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7B87A7F2">
      <w:pPr>
        <w:pageBreakBefore w:val="0"/>
        <w:kinsoku/>
        <w:wordWrap/>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《延续取水评估报告》和《水平衡测试报告》</w:t>
      </w:r>
    </w:p>
    <w:p w14:paraId="7C187FEF">
      <w:pPr>
        <w:pageBreakBefore w:val="0"/>
        <w:kinsoku/>
        <w:wordWrap/>
        <w:topLinePunct w:val="0"/>
        <w:autoSpaceDE/>
        <w:autoSpaceDN/>
        <w:bidi w:val="0"/>
        <w:snapToGrid/>
        <w:spacing w:line="560" w:lineRule="exact"/>
        <w:jc w:val="center"/>
        <w:textAlignment w:val="auto"/>
        <w:rPr>
          <w:rFonts w:ascii="Times New Roman" w:hAnsi="Times New Roman" w:eastAsia="黑体"/>
          <w:sz w:val="44"/>
        </w:rPr>
      </w:pP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60" w:lineRule="exact"/>
        <w:textAlignment w:val="auto"/>
        <w:rPr>
          <w:rFonts w:ascii="Times New Roman" w:hAnsi="Times New Roman"/>
        </w:rPr>
      </w:pPr>
    </w:p>
    <w:p w14:paraId="56BAF6A0">
      <w:pPr>
        <w:pageBreakBefore w:val="0"/>
        <w:kinsoku/>
        <w:wordWrap/>
        <w:topLinePunct w:val="0"/>
        <w:autoSpaceDE/>
        <w:autoSpaceDN/>
        <w:bidi w:val="0"/>
        <w:snapToGrid/>
        <w:spacing w:line="560" w:lineRule="exact"/>
        <w:textAlignment w:val="auto"/>
        <w:rPr>
          <w:rFonts w:ascii="Times New Roman" w:hAnsi="Times New Roman"/>
        </w:rPr>
      </w:pPr>
    </w:p>
    <w:p w14:paraId="63E1BCA9">
      <w:pPr>
        <w:pageBreakBefore w:val="0"/>
        <w:kinsoku/>
        <w:wordWrap/>
        <w:topLinePunct w:val="0"/>
        <w:autoSpaceDE/>
        <w:autoSpaceDN/>
        <w:bidi w:val="0"/>
        <w:snapToGrid/>
        <w:spacing w:line="560" w:lineRule="exact"/>
        <w:textAlignment w:val="auto"/>
        <w:rPr>
          <w:rFonts w:ascii="Times New Roman" w:hAnsi="Times New Roman"/>
        </w:rPr>
      </w:pPr>
    </w:p>
    <w:p w14:paraId="09B8300C">
      <w:pPr>
        <w:pageBreakBefore w:val="0"/>
        <w:kinsoku/>
        <w:wordWrap/>
        <w:topLinePunct w:val="0"/>
        <w:autoSpaceDE/>
        <w:autoSpaceDN/>
        <w:bidi w:val="0"/>
        <w:snapToGrid/>
        <w:spacing w:line="560" w:lineRule="exact"/>
        <w:textAlignment w:val="auto"/>
        <w:rPr>
          <w:rFonts w:ascii="Times New Roman" w:hAnsi="Times New Roman"/>
        </w:rPr>
      </w:pPr>
    </w:p>
    <w:p w14:paraId="603E8CBF">
      <w:pPr>
        <w:pageBreakBefore w:val="0"/>
        <w:kinsoku/>
        <w:wordWrap/>
        <w:topLinePunct w:val="0"/>
        <w:autoSpaceDE/>
        <w:autoSpaceDN/>
        <w:bidi w:val="0"/>
        <w:snapToGrid/>
        <w:spacing w:line="560" w:lineRule="exact"/>
        <w:textAlignment w:val="auto"/>
        <w:rPr>
          <w:rFonts w:ascii="Times New Roman" w:hAnsi="Times New Roman"/>
        </w:rPr>
      </w:pPr>
    </w:p>
    <w:p w14:paraId="6331DA8F">
      <w:pPr>
        <w:pageBreakBefore w:val="0"/>
        <w:kinsoku/>
        <w:wordWrap/>
        <w:topLinePunct w:val="0"/>
        <w:autoSpaceDE/>
        <w:autoSpaceDN/>
        <w:bidi w:val="0"/>
        <w:snapToGrid/>
        <w:spacing w:line="560" w:lineRule="exact"/>
        <w:textAlignment w:val="auto"/>
        <w:rPr>
          <w:rFonts w:ascii="Times New Roman" w:hAnsi="Times New Roman"/>
        </w:rPr>
      </w:pPr>
    </w:p>
    <w:p w14:paraId="0C5EE92A">
      <w:pPr>
        <w:pageBreakBefore w:val="0"/>
        <w:kinsoku/>
        <w:wordWrap/>
        <w:topLinePunct w:val="0"/>
        <w:autoSpaceDE/>
        <w:autoSpaceDN/>
        <w:bidi w:val="0"/>
        <w:snapToGrid/>
        <w:spacing w:line="560" w:lineRule="exact"/>
        <w:textAlignment w:val="auto"/>
        <w:rPr>
          <w:rFonts w:ascii="Times New Roman" w:hAnsi="Times New Roman"/>
        </w:rPr>
      </w:pPr>
    </w:p>
    <w:p w14:paraId="70332C36">
      <w:pPr>
        <w:pageBreakBefore w:val="0"/>
        <w:kinsoku/>
        <w:wordWrap/>
        <w:topLinePunct w:val="0"/>
        <w:autoSpaceDE/>
        <w:autoSpaceDN/>
        <w:bidi w:val="0"/>
        <w:snapToGrid/>
        <w:spacing w:line="560" w:lineRule="exact"/>
        <w:textAlignment w:val="auto"/>
        <w:rPr>
          <w:rFonts w:ascii="Times New Roman" w:hAnsi="Times New Roman"/>
        </w:rPr>
      </w:pPr>
    </w:p>
    <w:p w14:paraId="459319BC">
      <w:pPr>
        <w:pStyle w:val="6"/>
        <w:pageBreakBefore w:val="0"/>
        <w:kinsoku/>
        <w:wordWrap/>
        <w:topLinePunct w:val="0"/>
        <w:autoSpaceDE/>
        <w:autoSpaceDN/>
        <w:bidi w:val="0"/>
        <w:snapToGrid/>
        <w:spacing w:beforeLines="0" w:afterLines="0" w:line="560" w:lineRule="exact"/>
        <w:ind w:firstLine="480"/>
        <w:textAlignment w:val="auto"/>
      </w:pPr>
    </w:p>
    <w:p w14:paraId="5986417F">
      <w:pPr>
        <w:pStyle w:val="6"/>
        <w:pageBreakBefore w:val="0"/>
        <w:kinsoku/>
        <w:wordWrap/>
        <w:topLinePunct w:val="0"/>
        <w:autoSpaceDE/>
        <w:autoSpaceDN/>
        <w:bidi w:val="0"/>
        <w:snapToGrid/>
        <w:spacing w:beforeLines="0" w:afterLines="0" w:line="560" w:lineRule="exact"/>
        <w:ind w:firstLine="480"/>
        <w:textAlignment w:val="auto"/>
      </w:pPr>
    </w:p>
    <w:p w14:paraId="55DCF675">
      <w:pPr>
        <w:pStyle w:val="6"/>
        <w:pageBreakBefore w:val="0"/>
        <w:kinsoku/>
        <w:wordWrap/>
        <w:topLinePunct w:val="0"/>
        <w:autoSpaceDE/>
        <w:autoSpaceDN/>
        <w:bidi w:val="0"/>
        <w:snapToGrid/>
        <w:spacing w:beforeLines="0" w:afterLines="0" w:line="560" w:lineRule="exact"/>
        <w:ind w:firstLine="0" w:firstLineChars="0"/>
        <w:textAlignment w:val="auto"/>
      </w:pPr>
    </w:p>
    <w:p w14:paraId="6FA05438">
      <w:pPr>
        <w:pStyle w:val="6"/>
        <w:pageBreakBefore w:val="0"/>
        <w:kinsoku/>
        <w:wordWrap/>
        <w:topLinePunct w:val="0"/>
        <w:autoSpaceDE/>
        <w:autoSpaceDN/>
        <w:bidi w:val="0"/>
        <w:snapToGrid/>
        <w:spacing w:beforeLines="0" w:afterLines="0" w:line="560" w:lineRule="exact"/>
        <w:ind w:firstLine="0" w:firstLineChars="0"/>
        <w:textAlignment w:val="auto"/>
      </w:pPr>
    </w:p>
    <w:p w14:paraId="18B75C99">
      <w:pPr>
        <w:pageBreakBefore w:val="0"/>
        <w:kinsoku/>
        <w:wordWrap/>
        <w:topLinePunct w:val="0"/>
        <w:autoSpaceDE/>
        <w:autoSpaceDN/>
        <w:bidi w:val="0"/>
        <w:snapToGrid/>
        <w:spacing w:line="560" w:lineRule="exact"/>
        <w:jc w:val="center"/>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26E85203">
      <w:pPr>
        <w:pageBreakBefore w:val="0"/>
        <w:kinsoku/>
        <w:wordWrap/>
        <w:topLinePunct w:val="0"/>
        <w:autoSpaceDE/>
        <w:autoSpaceDN/>
        <w:bidi w:val="0"/>
        <w:snapToGrid/>
        <w:spacing w:line="560" w:lineRule="exact"/>
        <w:ind w:firstLine="5760" w:firstLineChars="1800"/>
        <w:textAlignment w:val="auto"/>
        <w:rPr>
          <w:rFonts w:ascii="Times New Roman" w:hAnsi="Times New Roman" w:eastAsia="黑体"/>
          <w:sz w:val="32"/>
          <w:szCs w:val="32"/>
        </w:rPr>
      </w:pPr>
    </w:p>
    <w:p w14:paraId="26CEE8B6">
      <w:pPr>
        <w:pageBreakBefore w:val="0"/>
        <w:kinsoku/>
        <w:wordWrap/>
        <w:topLinePunct w:val="0"/>
        <w:autoSpaceDE/>
        <w:autoSpaceDN/>
        <w:bidi w:val="0"/>
        <w:snapToGrid/>
        <w:spacing w:line="560" w:lineRule="exact"/>
        <w:ind w:firstLine="5760" w:firstLineChars="1800"/>
        <w:textAlignment w:val="auto"/>
        <w:rPr>
          <w:rFonts w:ascii="Times New Roman" w:hAnsi="Times New Roman" w:eastAsia="黑体"/>
          <w:sz w:val="32"/>
          <w:szCs w:val="32"/>
        </w:rPr>
      </w:pPr>
    </w:p>
    <w:p w14:paraId="360B4CF5">
      <w:pPr>
        <w:pageBreakBefore w:val="0"/>
        <w:kinsoku/>
        <w:wordWrap/>
        <w:topLinePunct w:val="0"/>
        <w:autoSpaceDE/>
        <w:autoSpaceDN/>
        <w:bidi w:val="0"/>
        <w:snapToGrid/>
        <w:spacing w:line="560" w:lineRule="exact"/>
        <w:jc w:val="center"/>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color w:val="auto"/>
          <w:sz w:val="32"/>
          <w:szCs w:val="32"/>
          <w:highlight w:val="none"/>
        </w:rPr>
        <w:t>二〇二</w:t>
      </w:r>
      <w:r>
        <w:rPr>
          <w:rFonts w:hint="eastAsia" w:ascii="Times New Roman" w:hAnsi="Times New Roman" w:eastAsia="黑体"/>
          <w:color w:val="auto"/>
          <w:sz w:val="32"/>
          <w:szCs w:val="32"/>
          <w:highlight w:val="none"/>
          <w:lang w:val="en-US" w:eastAsia="zh-CN"/>
        </w:rPr>
        <w:t>六</w:t>
      </w:r>
      <w:r>
        <w:rPr>
          <w:rFonts w:hint="eastAsia" w:ascii="Times New Roman" w:hAnsi="Times New Roman" w:eastAsia="黑体"/>
          <w:sz w:val="32"/>
          <w:szCs w:val="32"/>
        </w:rPr>
        <w:t>年</w:t>
      </w: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月</w:t>
      </w:r>
      <w:r>
        <w:rPr>
          <w:rFonts w:hint="eastAsia" w:ascii="Times New Roman" w:hAnsi="Times New Roman" w:eastAsia="黑体"/>
          <w:sz w:val="32"/>
          <w:szCs w:val="32"/>
          <w:lang w:val="en-US" w:eastAsia="zh-CN"/>
        </w:rPr>
        <w:t>二十七</w:t>
      </w:r>
      <w:r>
        <w:rPr>
          <w:rFonts w:hint="eastAsia" w:ascii="Times New Roman" w:hAnsi="Times New Roman" w:eastAsia="黑体"/>
          <w:sz w:val="32"/>
          <w:szCs w:val="32"/>
        </w:rPr>
        <w:t>日</w:t>
      </w:r>
    </w:p>
    <w:p w14:paraId="6A7BE39A">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6F35B9A2">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11E64BDA">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5C9E0DF2">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653A0DD3">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2698A8F6">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34CF6A21">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63B612D7">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71A1CBA0">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2E24DE8E">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35023432">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1C92F5D5">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5581A116">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14102DD2">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16C75B2E">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4B762F80">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6DE4560C">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1A471C0E">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502E8B85">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6363E811">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17E39B7F">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3B8A5A34">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4C29DE30">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12D1BE44">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49E04CE7">
      <w:pPr>
        <w:pStyle w:val="10"/>
        <w:pageBreakBefore w:val="0"/>
        <w:widowControl/>
        <w:kinsoku/>
        <w:wordWrap/>
        <w:topLinePunct w:val="0"/>
        <w:autoSpaceDE/>
        <w:autoSpaceDN/>
        <w:bidi w:val="0"/>
        <w:snapToGrid/>
        <w:spacing w:beforeAutospacing="0" w:afterAutospacing="0" w:line="560" w:lineRule="exact"/>
        <w:jc w:val="center"/>
        <w:textAlignment w:val="auto"/>
        <w:rPr>
          <w:rFonts w:ascii="黑体" w:hAnsi="黑体" w:eastAsia="黑体" w:cs="黑体"/>
          <w:b/>
          <w:bCs/>
          <w:sz w:val="36"/>
          <w:szCs w:val="36"/>
        </w:rPr>
      </w:pPr>
    </w:p>
    <w:p w14:paraId="77073EF1">
      <w:pPr>
        <w:pStyle w:val="10"/>
        <w:pageBreakBefore w:val="0"/>
        <w:widowControl/>
        <w:kinsoku/>
        <w:wordWrap/>
        <w:topLinePunct w:val="0"/>
        <w:autoSpaceDE/>
        <w:autoSpaceDN/>
        <w:bidi w:val="0"/>
        <w:snapToGrid/>
        <w:spacing w:beforeAutospacing="0" w:afterAutospacing="0"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陕西锌业有限公司</w:t>
      </w:r>
    </w:p>
    <w:p w14:paraId="60A48D5A">
      <w:pPr>
        <w:pStyle w:val="10"/>
        <w:pageBreakBefore w:val="0"/>
        <w:widowControl/>
        <w:kinsoku/>
        <w:wordWrap/>
        <w:topLinePunct w:val="0"/>
        <w:autoSpaceDE/>
        <w:autoSpaceDN/>
        <w:bidi w:val="0"/>
        <w:snapToGrid/>
        <w:spacing w:beforeAutospacing="0" w:afterAutospacing="0"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《延续取水评估报告》和《水平衡测试报告》</w:t>
      </w:r>
    </w:p>
    <w:p w14:paraId="3FECCF47">
      <w:pPr>
        <w:pStyle w:val="10"/>
        <w:pageBreakBefore w:val="0"/>
        <w:widowControl/>
        <w:kinsoku/>
        <w:wordWrap/>
        <w:topLinePunct w:val="0"/>
        <w:autoSpaceDE/>
        <w:autoSpaceDN/>
        <w:bidi w:val="0"/>
        <w:snapToGrid/>
        <w:spacing w:beforeAutospacing="0" w:afterAutospacing="0"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询比采购邀请函</w:t>
      </w:r>
    </w:p>
    <w:p w14:paraId="256DEC60">
      <w:pPr>
        <w:pageBreakBefore w:val="0"/>
        <w:kinsoku/>
        <w:wordWrap/>
        <w:topLinePunct w:val="0"/>
        <w:autoSpaceDE/>
        <w:autoSpaceDN/>
        <w:bidi w:val="0"/>
        <w:snapToGrid/>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w:t>
      </w:r>
      <w:r>
        <w:rPr>
          <w:rFonts w:hint="eastAsia" w:ascii="仿宋" w:hAnsi="仿宋" w:eastAsia="仿宋" w:cs="仿宋"/>
          <w:b/>
          <w:bCs/>
          <w:sz w:val="32"/>
          <w:szCs w:val="32"/>
          <w:highlight w:val="none"/>
        </w:rPr>
        <w:t>XB202</w:t>
      </w:r>
      <w:r>
        <w:rPr>
          <w:rFonts w:hint="eastAsia" w:ascii="仿宋" w:hAnsi="仿宋" w:eastAsia="仿宋" w:cs="仿宋"/>
          <w:b/>
          <w:bCs/>
          <w:sz w:val="32"/>
          <w:szCs w:val="32"/>
          <w:highlight w:val="none"/>
          <w:lang w:val="en-US" w:eastAsia="zh-CN"/>
        </w:rPr>
        <w:t>60427</w:t>
      </w:r>
      <w:r>
        <w:rPr>
          <w:rFonts w:hint="eastAsia" w:ascii="仿宋" w:hAnsi="仿宋" w:eastAsia="仿宋" w:cs="仿宋"/>
          <w:b/>
          <w:bCs/>
          <w:sz w:val="32"/>
          <w:szCs w:val="32"/>
          <w:highlight w:val="none"/>
        </w:rPr>
        <w:t>-01）</w:t>
      </w:r>
    </w:p>
    <w:p w14:paraId="3324EC9C">
      <w:pPr>
        <w:pageBreakBefore w:val="0"/>
        <w:kinsoku/>
        <w:wordWrap/>
        <w:topLinePunct w:val="0"/>
        <w:autoSpaceDE/>
        <w:autoSpaceDN/>
        <w:bidi w:val="0"/>
        <w:snapToGrid/>
        <w:spacing w:line="560" w:lineRule="exact"/>
        <w:ind w:firstLine="640" w:firstLineChars="200"/>
        <w:jc w:val="left"/>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w:t>
      </w:r>
      <w:r>
        <w:rPr>
          <w:rFonts w:hint="eastAsia" w:ascii="仿宋" w:hAnsi="仿宋" w:eastAsia="仿宋" w:cs="仿宋"/>
          <w:sz w:val="32"/>
          <w:szCs w:val="32"/>
          <w:lang w:val="en-US" w:eastAsia="zh-CN"/>
        </w:rPr>
        <w:t>取水许可证</w:t>
      </w:r>
      <w:r>
        <w:rPr>
          <w:rFonts w:hint="eastAsia" w:ascii="仿宋" w:hAnsi="仿宋" w:eastAsia="仿宋" w:cs="仿宋"/>
          <w:color w:val="000000"/>
          <w:sz w:val="32"/>
          <w:szCs w:val="32"/>
          <w:lang w:val="en-US" w:eastAsia="zh-CN"/>
        </w:rPr>
        <w:t>到期换证的需要</w:t>
      </w:r>
      <w:r>
        <w:rPr>
          <w:rFonts w:hint="eastAsia" w:ascii="仿宋" w:hAnsi="仿宋" w:eastAsia="仿宋" w:cs="仿宋"/>
          <w:color w:val="000000"/>
          <w:sz w:val="32"/>
          <w:szCs w:val="32"/>
        </w:rPr>
        <w:t>，拟</w:t>
      </w:r>
      <w:r>
        <w:rPr>
          <w:rFonts w:hint="eastAsia" w:ascii="仿宋" w:hAnsi="仿宋" w:eastAsia="仿宋" w:cs="仿宋"/>
          <w:sz w:val="32"/>
          <w:szCs w:val="32"/>
        </w:rPr>
        <w:t>委托有资质</w:t>
      </w:r>
      <w:r>
        <w:rPr>
          <w:rFonts w:hint="eastAsia" w:ascii="仿宋" w:hAnsi="仿宋" w:eastAsia="仿宋" w:cs="仿宋"/>
          <w:sz w:val="32"/>
          <w:szCs w:val="32"/>
          <w:lang w:eastAsia="zh-CN"/>
        </w:rPr>
        <w:t>的</w:t>
      </w:r>
      <w:r>
        <w:rPr>
          <w:rFonts w:hint="eastAsia" w:ascii="仿宋" w:hAnsi="仿宋" w:eastAsia="仿宋" w:cs="仿宋"/>
          <w:sz w:val="32"/>
          <w:szCs w:val="32"/>
        </w:rPr>
        <w:t>第三方编制</w:t>
      </w:r>
      <w:r>
        <w:rPr>
          <w:rFonts w:hint="eastAsia" w:ascii="仿宋" w:hAnsi="仿宋" w:eastAsia="仿宋" w:cs="仿宋"/>
          <w:sz w:val="32"/>
          <w:szCs w:val="32"/>
          <w:lang w:val="en-US" w:eastAsia="zh-CN"/>
        </w:rPr>
        <w:t>《延续取水评估报告》和《水平衡测试报告》</w:t>
      </w:r>
      <w:r>
        <w:rPr>
          <w:rFonts w:hint="eastAsia" w:ascii="仿宋" w:hAnsi="仿宋" w:eastAsia="仿宋" w:cs="仿宋"/>
          <w:color w:val="000000"/>
          <w:sz w:val="32"/>
          <w:szCs w:val="32"/>
        </w:rPr>
        <w:t>，按照公司有关规定，</w:t>
      </w:r>
      <w:r>
        <w:rPr>
          <w:rFonts w:hint="eastAsia" w:ascii="仿宋" w:hAnsi="仿宋" w:eastAsia="仿宋" w:cs="仿宋"/>
          <w:color w:val="auto"/>
          <w:sz w:val="32"/>
          <w:szCs w:val="32"/>
        </w:rPr>
        <w:t>拟通过询比确定</w:t>
      </w:r>
      <w:r>
        <w:rPr>
          <w:rFonts w:hint="eastAsia" w:ascii="仿宋" w:hAnsi="仿宋" w:eastAsia="仿宋" w:cs="仿宋"/>
          <w:color w:val="auto"/>
          <w:sz w:val="32"/>
          <w:szCs w:val="32"/>
          <w:lang w:val="en-US" w:eastAsia="zh-CN"/>
        </w:rPr>
        <w:t>服务实施</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，欢迎具备相应资质及能力的单</w:t>
      </w:r>
      <w:r>
        <w:rPr>
          <w:rFonts w:hint="eastAsia" w:ascii="仿宋" w:hAnsi="仿宋" w:eastAsia="仿宋" w:cs="仿宋"/>
          <w:color w:val="000000"/>
          <w:sz w:val="32"/>
          <w:szCs w:val="32"/>
        </w:rPr>
        <w:t>位参与该询比采购，具体内容如下：</w:t>
      </w:r>
    </w:p>
    <w:p w14:paraId="3C2144CF">
      <w:pPr>
        <w:pStyle w:val="3"/>
        <w:pageBreakBefore w:val="0"/>
        <w:kinsoku/>
        <w:wordWrap/>
        <w:topLinePunct w:val="0"/>
        <w:autoSpaceDE/>
        <w:autoSpaceDN/>
        <w:bidi w:val="0"/>
        <w:snapToGrid/>
        <w:spacing w:before="0" w:after="0" w:line="560" w:lineRule="exact"/>
        <w:ind w:firstLine="643" w:firstLineChars="200"/>
        <w:textAlignment w:val="auto"/>
        <w:rPr>
          <w:rFonts w:ascii="仿宋" w:hAnsi="仿宋" w:eastAsia="仿宋" w:cs="仿宋"/>
          <w:bCs/>
          <w:szCs w:val="32"/>
        </w:rPr>
      </w:pPr>
      <w:bookmarkStart w:id="0" w:name="_Toc20230"/>
      <w:bookmarkStart w:id="1" w:name="_Toc14440"/>
      <w:bookmarkStart w:id="2" w:name="_Toc33795775"/>
      <w:bookmarkStart w:id="3" w:name="_Toc4593"/>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3"/>
        <w:pageBreakBefore w:val="0"/>
        <w:kinsoku/>
        <w:wordWrap/>
        <w:topLinePunct w:val="0"/>
        <w:autoSpaceDE/>
        <w:autoSpaceDN/>
        <w:bidi w:val="0"/>
        <w:snapToGrid/>
        <w:spacing w:before="0" w:after="0" w:line="560" w:lineRule="exact"/>
        <w:ind w:firstLine="640" w:firstLineChars="2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kinsoku/>
        <w:wordWrap/>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（二）采购</w:t>
      </w:r>
      <w:r>
        <w:rPr>
          <w:rFonts w:hint="eastAsia" w:ascii="仿宋" w:hAnsi="仿宋" w:eastAsia="仿宋" w:cs="仿宋"/>
          <w:sz w:val="32"/>
          <w:szCs w:val="32"/>
          <w:lang w:val="en-US" w:eastAsia="zh-CN"/>
        </w:rPr>
        <w:t>项目</w:t>
      </w:r>
      <w:r>
        <w:rPr>
          <w:rFonts w:hint="eastAsia" w:ascii="仿宋" w:hAnsi="仿宋" w:eastAsia="仿宋" w:cs="仿宋"/>
          <w:sz w:val="32"/>
          <w:szCs w:val="32"/>
        </w:rPr>
        <w:t>名称：</w:t>
      </w:r>
      <w:bookmarkStart w:id="4" w:name="_Toc11471"/>
      <w:bookmarkStart w:id="5" w:name="_Toc33795776"/>
      <w:bookmarkStart w:id="6" w:name="_Toc14565"/>
      <w:bookmarkStart w:id="7" w:name="_Toc7037"/>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sz w:val="32"/>
          <w:szCs w:val="32"/>
          <w:lang w:val="en-US" w:eastAsia="zh-CN"/>
        </w:rPr>
        <w:t>《延续取水评估报告》和《水平衡测试报告》</w:t>
      </w:r>
    </w:p>
    <w:p w14:paraId="2DF02299">
      <w:pPr>
        <w:pageBreakBefore w:val="0"/>
        <w:kinsoku/>
        <w:wordWrap/>
        <w:topLinePunct w:val="0"/>
        <w:autoSpaceDE/>
        <w:autoSpaceDN/>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包含的内容有现场勘察、资料收集、测试、技术分析、报告编写、报告印刷、报告评审等。</w:t>
      </w:r>
    </w:p>
    <w:p w14:paraId="141745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 w:hAnsi="仿宋" w:eastAsia="仿宋" w:cs="仿宋"/>
          <w:sz w:val="32"/>
          <w:szCs w:val="32"/>
          <w:lang w:val="en-US" w:eastAsia="zh-CN"/>
        </w:rPr>
        <w:t>项目基本情况：</w:t>
      </w:r>
      <w:r>
        <w:rPr>
          <w:rFonts w:hint="eastAsia" w:ascii="仿宋_GB2312" w:hAnsi="仿宋_GB2312" w:eastAsia="仿宋_GB2312" w:cs="仿宋_GB2312"/>
          <w:sz w:val="32"/>
          <w:szCs w:val="32"/>
        </w:rPr>
        <w:t>陕西锌业有限公司的前身为商洛冶炼厂，属陕西省“七·五”重点建设和扶贫项目，1986年筹建，1990年建成投产，1994年达产达效。2004年6月加入陕西有色集团公司，经过多年发展，公司目前已经具备年产电锌30万吨、硫酸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万吨、并可综合回收金、银、铟、铜、钴、镉等稀贵金属，位列全国锌冶炼行业前10名。厂区占地1000余亩，2022年1月获得国家绿色工厂称号，</w:t>
      </w:r>
      <w:r>
        <w:rPr>
          <w:rFonts w:hint="eastAsia" w:ascii="仿宋_GB2312" w:hAnsi="仿宋_GB2312" w:eastAsia="仿宋_GB2312" w:cs="仿宋_GB2312"/>
          <w:sz w:val="32"/>
          <w:szCs w:val="32"/>
          <w:lang w:val="en-US" w:eastAsia="zh-CN"/>
        </w:rPr>
        <w:t>现公司取水许可量为350万立方米/年。</w:t>
      </w:r>
    </w:p>
    <w:p w14:paraId="06711FD8">
      <w:pPr>
        <w:pageBreakBefore w:val="0"/>
        <w:kinsoku/>
        <w:wordWrap/>
        <w:topLinePunct w:val="0"/>
        <w:autoSpaceDE/>
        <w:autoSpaceDN/>
        <w:bidi w:val="0"/>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rPr>
        <w:t>（三）</w:t>
      </w:r>
      <w:r>
        <w:rPr>
          <w:rFonts w:ascii="仿宋" w:hAnsi="仿宋" w:eastAsia="仿宋" w:cs="仿宋"/>
          <w:i w:val="0"/>
          <w:iCs w:val="0"/>
          <w:caps w:val="0"/>
          <w:color w:val="000000"/>
          <w:spacing w:val="0"/>
          <w:sz w:val="31"/>
          <w:szCs w:val="31"/>
        </w:rPr>
        <w:t>服务期限：自合同签订之日起</w:t>
      </w:r>
      <w:r>
        <w:rPr>
          <w:rFonts w:hint="eastAsia" w:ascii="仿宋" w:hAnsi="仿宋" w:eastAsia="仿宋" w:cs="仿宋"/>
          <w:i w:val="0"/>
          <w:iCs w:val="0"/>
          <w:caps w:val="0"/>
          <w:color w:val="000000"/>
          <w:spacing w:val="0"/>
          <w:sz w:val="31"/>
          <w:szCs w:val="31"/>
          <w:highlight w:val="none"/>
          <w:lang w:val="en-US" w:eastAsia="zh-CN"/>
        </w:rPr>
        <w:t>120</w:t>
      </w:r>
      <w:r>
        <w:rPr>
          <w:rFonts w:ascii="仿宋" w:hAnsi="仿宋" w:eastAsia="仿宋" w:cs="仿宋"/>
          <w:i w:val="0"/>
          <w:iCs w:val="0"/>
          <w:caps w:val="0"/>
          <w:color w:val="000000"/>
          <w:spacing w:val="0"/>
          <w:sz w:val="31"/>
          <w:szCs w:val="31"/>
          <w:highlight w:val="none"/>
        </w:rPr>
        <w:t>日历天内完成全部</w:t>
      </w:r>
      <w:r>
        <w:rPr>
          <w:rFonts w:hint="eastAsia" w:ascii="仿宋" w:hAnsi="仿宋" w:eastAsia="仿宋" w:cs="仿宋"/>
          <w:i w:val="0"/>
          <w:iCs w:val="0"/>
          <w:caps w:val="0"/>
          <w:color w:val="000000"/>
          <w:spacing w:val="0"/>
          <w:sz w:val="31"/>
          <w:szCs w:val="31"/>
          <w:highlight w:val="none"/>
          <w:lang w:val="en-US" w:eastAsia="zh-CN"/>
        </w:rPr>
        <w:t>报告编制、通过报告评审</w:t>
      </w:r>
      <w:r>
        <w:rPr>
          <w:rFonts w:ascii="仿宋" w:hAnsi="仿宋" w:eastAsia="仿宋" w:cs="仿宋"/>
          <w:i w:val="0"/>
          <w:iCs w:val="0"/>
          <w:caps w:val="0"/>
          <w:color w:val="000000"/>
          <w:spacing w:val="0"/>
          <w:sz w:val="31"/>
          <w:szCs w:val="31"/>
          <w:highlight w:val="none"/>
        </w:rPr>
        <w:t>并</w:t>
      </w:r>
      <w:r>
        <w:rPr>
          <w:rFonts w:hint="eastAsia" w:ascii="仿宋" w:hAnsi="仿宋" w:eastAsia="仿宋" w:cs="仿宋"/>
          <w:i w:val="0"/>
          <w:iCs w:val="0"/>
          <w:caps w:val="0"/>
          <w:color w:val="000000"/>
          <w:spacing w:val="0"/>
          <w:sz w:val="31"/>
          <w:szCs w:val="31"/>
          <w:highlight w:val="none"/>
          <w:lang w:val="en-US" w:eastAsia="zh-CN"/>
        </w:rPr>
        <w:t>取得取水许可证。</w:t>
      </w:r>
      <w:r>
        <w:rPr>
          <w:rFonts w:hint="eastAsia" w:ascii="仿宋" w:hAnsi="仿宋" w:eastAsia="仿宋" w:cs="仿宋"/>
          <w:color w:val="auto"/>
          <w:sz w:val="32"/>
          <w:szCs w:val="32"/>
          <w:highlight w:val="none"/>
        </w:rPr>
        <w:t>不能按期</w:t>
      </w:r>
      <w:r>
        <w:rPr>
          <w:rFonts w:hint="eastAsia" w:ascii="仿宋" w:hAnsi="仿宋" w:eastAsia="仿宋" w:cs="仿宋"/>
          <w:color w:val="auto"/>
          <w:sz w:val="32"/>
          <w:szCs w:val="32"/>
          <w:highlight w:val="none"/>
          <w:lang w:val="en-US" w:eastAsia="zh-CN"/>
        </w:rPr>
        <w:t>完成</w:t>
      </w:r>
      <w:r>
        <w:rPr>
          <w:rFonts w:hint="eastAsia" w:ascii="仿宋" w:hAnsi="仿宋" w:eastAsia="仿宋" w:cs="仿宋"/>
          <w:color w:val="auto"/>
          <w:sz w:val="32"/>
          <w:szCs w:val="32"/>
          <w:highlight w:val="none"/>
        </w:rPr>
        <w:t>的，在报价单中注明实际</w:t>
      </w:r>
      <w:r>
        <w:rPr>
          <w:rFonts w:hint="eastAsia" w:ascii="仿宋" w:hAnsi="仿宋" w:eastAsia="仿宋" w:cs="仿宋"/>
          <w:color w:val="auto"/>
          <w:sz w:val="32"/>
          <w:szCs w:val="32"/>
          <w:highlight w:val="none"/>
          <w:lang w:val="en-US" w:eastAsia="zh-CN"/>
        </w:rPr>
        <w:t>完成时间</w:t>
      </w:r>
      <w:r>
        <w:rPr>
          <w:rFonts w:hint="eastAsia" w:ascii="仿宋" w:hAnsi="仿宋" w:eastAsia="仿宋" w:cs="仿宋"/>
          <w:color w:val="auto"/>
          <w:sz w:val="32"/>
          <w:szCs w:val="32"/>
          <w:highlight w:val="none"/>
        </w:rPr>
        <w:t>。</w:t>
      </w:r>
    </w:p>
    <w:p w14:paraId="210E4537">
      <w:pPr>
        <w:pageBreakBefore w:val="0"/>
        <w:kinsoku/>
        <w:wordWrap/>
        <w:topLinePunct w:val="0"/>
        <w:autoSpaceDE/>
        <w:autoSpaceDN/>
        <w:bidi w:val="0"/>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i w:val="0"/>
          <w:iCs w:val="0"/>
          <w:caps w:val="0"/>
          <w:color w:val="000000"/>
          <w:spacing w:val="0"/>
          <w:sz w:val="31"/>
          <w:szCs w:val="31"/>
        </w:rPr>
        <w:t>服务地点：陕西省商洛市商州区沙河子镇锌业公司</w:t>
      </w:r>
    </w:p>
    <w:p w14:paraId="5E16A5AD">
      <w:pPr>
        <w:keepNext w:val="0"/>
        <w:keepLines w:val="0"/>
        <w:pageBreakBefore w:val="0"/>
        <w:kinsoku/>
        <w:wordWrap/>
        <w:topLinePunct w:val="0"/>
        <w:autoSpaceDE/>
        <w:autoSpaceDN/>
        <w:bidi w:val="0"/>
        <w:snapToGrid/>
        <w:spacing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）供应商资格和履约能力要求：</w:t>
      </w:r>
    </w:p>
    <w:p w14:paraId="59407084">
      <w:pPr>
        <w:keepNext w:val="0"/>
        <w:keepLines w:val="0"/>
        <w:pageBreakBefore w:val="0"/>
        <w:widowControl w:val="0"/>
        <w:suppressLineNumbers w:val="0"/>
        <w:shd w:val="clear"/>
        <w:kinsoku/>
        <w:wordWrap/>
        <w:overflowPunct w:val="0"/>
        <w:topLinePunct w:val="0"/>
        <w:autoSpaceDE/>
        <w:autoSpaceDN/>
        <w:bidi w:val="0"/>
        <w:adjustRightInd/>
        <w:snapToGrid/>
        <w:spacing w:line="500" w:lineRule="exact"/>
        <w:ind w:firstLine="640" w:firstLineChars="200"/>
        <w:jc w:val="both"/>
        <w:textAlignment w:val="auto"/>
        <w:rPr>
          <w:rFonts w:hint="eastAsia"/>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.供应商</w:t>
      </w:r>
      <w:r>
        <w:rPr>
          <w:rFonts w:hint="eastAsia" w:ascii="仿宋" w:hAnsi="仿宋" w:eastAsia="仿宋" w:cs="仿宋"/>
          <w:sz w:val="32"/>
          <w:szCs w:val="32"/>
          <w:highlight w:val="none"/>
        </w:rPr>
        <w:t>为具有独立法人资格的</w:t>
      </w:r>
      <w:r>
        <w:rPr>
          <w:rFonts w:hint="eastAsia" w:ascii="仿宋" w:hAnsi="仿宋" w:eastAsia="仿宋" w:cs="仿宋"/>
          <w:sz w:val="32"/>
          <w:szCs w:val="32"/>
          <w:highlight w:val="none"/>
          <w:lang w:val="en-US" w:eastAsia="zh-CN"/>
        </w:rPr>
        <w:t>服务商</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lang w:val="en-US" w:eastAsia="zh-CN"/>
        </w:rPr>
        <w:t>具备合法的营业执照，</w:t>
      </w:r>
      <w:r>
        <w:rPr>
          <w:rFonts w:hint="eastAsia" w:ascii="仿宋" w:hAnsi="仿宋" w:eastAsia="仿宋" w:cs="仿宋"/>
          <w:sz w:val="32"/>
          <w:szCs w:val="32"/>
          <w:highlight w:val="none"/>
          <w:lang w:val="en-US" w:eastAsia="zh-CN"/>
        </w:rPr>
        <w:t>营业执照或评价证书范围</w:t>
      </w:r>
      <w:r>
        <w:rPr>
          <w:rFonts w:hint="eastAsia" w:ascii="仿宋" w:hAnsi="仿宋" w:eastAsia="仿宋" w:cs="仿宋"/>
          <w:sz w:val="32"/>
          <w:szCs w:val="32"/>
          <w:highlight w:val="none"/>
        </w:rPr>
        <w:t>具</w:t>
      </w:r>
      <w:r>
        <w:rPr>
          <w:rFonts w:hint="eastAsia" w:ascii="仿宋" w:hAnsi="仿宋" w:eastAsia="仿宋" w:cs="仿宋"/>
          <w:sz w:val="32"/>
          <w:szCs w:val="32"/>
          <w:highlight w:val="none"/>
          <w:lang w:val="en-US" w:eastAsia="zh-CN"/>
        </w:rPr>
        <w:t>有水资源和水平衡测试</w:t>
      </w: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资质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具备完成公司《延续取水评估报告》和《水平衡测试报告》的能力</w:t>
      </w:r>
      <w:r>
        <w:rPr>
          <w:rFonts w:hint="eastAsia" w:ascii="仿宋" w:hAnsi="仿宋" w:eastAsia="仿宋" w:cs="仿宋"/>
          <w:color w:val="auto"/>
          <w:sz w:val="32"/>
          <w:szCs w:val="32"/>
          <w:highlight w:val="none"/>
          <w:lang w:val="en-US" w:eastAsia="zh-CN"/>
        </w:rPr>
        <w:t>。</w:t>
      </w:r>
    </w:p>
    <w:p w14:paraId="1D690B37">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信用要求：</w:t>
      </w:r>
    </w:p>
    <w:p w14:paraId="57EFDBD4">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00A62E45">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hint="eastAsia"/>
        </w:rPr>
      </w:pPr>
      <w:r>
        <w:rPr>
          <w:rFonts w:hint="eastAsia" w:ascii="仿宋" w:hAnsi="仿宋" w:eastAsia="仿宋" w:cs="仿宋"/>
          <w:sz w:val="32"/>
          <w:szCs w:val="32"/>
        </w:rPr>
        <w:t>（2）供应商不得在“信用中国-中国执行信息公开网”被列为失信被执行人；提供信用中国网站查询截图；</w:t>
      </w:r>
    </w:p>
    <w:p w14:paraId="6B0F7831">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月至今具有类似</w:t>
      </w:r>
      <w:r>
        <w:rPr>
          <w:rFonts w:hint="eastAsia" w:ascii="仿宋" w:hAnsi="仿宋" w:eastAsia="仿宋" w:cs="仿宋"/>
          <w:sz w:val="32"/>
          <w:szCs w:val="32"/>
          <w:lang w:val="en-US" w:eastAsia="zh-CN"/>
        </w:rPr>
        <w:t>《延续取水评估报告》和《水平衡测试报告》</w:t>
      </w:r>
      <w:r>
        <w:rPr>
          <w:rFonts w:hint="eastAsia" w:ascii="仿宋" w:hAnsi="仿宋" w:eastAsia="仿宋" w:cs="仿宋"/>
          <w:sz w:val="32"/>
          <w:szCs w:val="32"/>
        </w:rPr>
        <w:t>业绩（提供合同复印件</w:t>
      </w:r>
      <w:r>
        <w:rPr>
          <w:rFonts w:hint="eastAsia" w:ascii="仿宋" w:hAnsi="仿宋" w:eastAsia="仿宋" w:cs="仿宋"/>
          <w:sz w:val="32"/>
          <w:szCs w:val="32"/>
          <w:lang w:val="en-US"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highlight w:val="none"/>
          <w:lang w:val="en-US" w:eastAsia="zh-CN"/>
        </w:rPr>
        <w:t>至少各3</w:t>
      </w:r>
      <w:r>
        <w:rPr>
          <w:rFonts w:hint="eastAsia" w:ascii="仿宋" w:hAnsi="仿宋" w:eastAsia="仿宋" w:cs="仿宋"/>
          <w:sz w:val="32"/>
          <w:szCs w:val="32"/>
          <w:highlight w:val="none"/>
        </w:rPr>
        <w:t>份</w:t>
      </w:r>
      <w:r>
        <w:rPr>
          <w:rFonts w:hint="eastAsia" w:ascii="仿宋" w:hAnsi="仿宋" w:eastAsia="仿宋" w:cs="仿宋"/>
          <w:sz w:val="32"/>
          <w:szCs w:val="32"/>
          <w:highlight w:val="none"/>
          <w:lang w:eastAsia="zh-CN"/>
        </w:rPr>
        <w:t>。</w:t>
      </w:r>
      <w:r>
        <w:rPr>
          <w:rFonts w:hint="eastAsia" w:ascii="仿宋" w:hAnsi="仿宋" w:eastAsia="仿宋" w:cs="仿宋"/>
          <w:b/>
          <w:bCs/>
          <w:sz w:val="32"/>
          <w:szCs w:val="32"/>
          <w:lang w:val="en-US" w:eastAsia="zh-CN"/>
        </w:rPr>
        <w:t>未提供业绩的（即0份类似业绩），否决其响应文件。</w:t>
      </w:r>
    </w:p>
    <w:p w14:paraId="26BBD95B">
      <w:pPr>
        <w:keepNext w:val="0"/>
        <w:keepLines w:val="0"/>
        <w:pageBreakBefore w:val="0"/>
        <w:kinsoku/>
        <w:wordWrap/>
        <w:topLinePunct w:val="0"/>
        <w:autoSpaceDE/>
        <w:autoSpaceDN/>
        <w:bidi w:val="0"/>
        <w:snapToGrid/>
        <w:spacing w:line="560" w:lineRule="exact"/>
        <w:ind w:firstLine="640" w:firstLineChars="200"/>
        <w:jc w:val="left"/>
        <w:textAlignment w:val="auto"/>
        <w:rPr>
          <w:rFonts w:hint="default"/>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本项目不接受联合体响应，不允许分包、转包。</w:t>
      </w:r>
    </w:p>
    <w:p w14:paraId="342935E7">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其他要求：</w:t>
      </w:r>
    </w:p>
    <w:p w14:paraId="374BBE68">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7139EB17">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696E146D">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27EEBE64">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18D75CE7">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334328F1">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05E3417">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（6）法律法规规定的其他情形。</w:t>
      </w:r>
    </w:p>
    <w:p w14:paraId="417688B3">
      <w:pPr>
        <w:keepNext w:val="0"/>
        <w:keepLines w:val="0"/>
        <w:pageBreakBefore w:val="0"/>
        <w:kinsoku/>
        <w:wordWrap/>
        <w:topLinePunct w:val="0"/>
        <w:autoSpaceDE/>
        <w:autoSpaceDN/>
        <w:bidi w:val="0"/>
        <w:snapToGrid/>
        <w:spacing w:line="560" w:lineRule="exact"/>
        <w:ind w:firstLine="640" w:firstLineChars="200"/>
        <w:jc w:val="left"/>
        <w:textAlignment w:val="auto"/>
        <w:rPr>
          <w:rFonts w:ascii="仿宋" w:hAnsi="仿宋" w:eastAsia="仿宋" w:cs="仿宋"/>
          <w:sz w:val="24"/>
        </w:rPr>
      </w:pPr>
      <w:bookmarkStart w:id="8" w:name="_Toc29895"/>
      <w:bookmarkStart w:id="9" w:name="_Toc33795778"/>
      <w:bookmarkStart w:id="10" w:name="_Toc14196"/>
      <w:bookmarkStart w:id="11" w:name="_Toc14688"/>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）付款方式：</w:t>
      </w:r>
      <w:r>
        <w:rPr>
          <w:rFonts w:hint="eastAsia" w:ascii="仿宋" w:hAnsi="仿宋" w:eastAsia="仿宋" w:cs="仿宋"/>
          <w:sz w:val="32"/>
          <w:szCs w:val="32"/>
          <w:highlight w:val="none"/>
        </w:rPr>
        <w:t>合同生效后，</w:t>
      </w: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开具合同总额30%的增值税发票，</w:t>
      </w:r>
      <w:r>
        <w:rPr>
          <w:rFonts w:hint="eastAsia" w:ascii="仿宋" w:hAnsi="仿宋" w:eastAsia="仿宋" w:cs="仿宋"/>
          <w:sz w:val="32"/>
          <w:szCs w:val="32"/>
          <w:highlight w:val="none"/>
          <w:lang w:eastAsia="zh-CN"/>
        </w:rPr>
        <w:t>甲方</w:t>
      </w:r>
      <w:r>
        <w:rPr>
          <w:rFonts w:hint="eastAsia" w:ascii="仿宋" w:hAnsi="仿宋" w:eastAsia="仿宋" w:cs="仿宋"/>
          <w:sz w:val="32"/>
          <w:szCs w:val="32"/>
          <w:highlight w:val="none"/>
        </w:rPr>
        <w:t>预付合同总额的30%；</w:t>
      </w:r>
      <w:r>
        <w:rPr>
          <w:rFonts w:hint="eastAsia" w:ascii="仿宋" w:hAnsi="仿宋" w:eastAsia="仿宋" w:cs="仿宋"/>
          <w:sz w:val="32"/>
          <w:szCs w:val="32"/>
          <w:highlight w:val="none"/>
          <w:lang w:val="en-US" w:eastAsia="zh-CN"/>
        </w:rPr>
        <w:t>报告编写完成并提交</w:t>
      </w:r>
      <w:r>
        <w:rPr>
          <w:rFonts w:ascii="仿宋" w:hAnsi="仿宋" w:eastAsia="仿宋" w:cs="仿宋"/>
          <w:i w:val="0"/>
          <w:iCs w:val="0"/>
          <w:caps w:val="0"/>
          <w:color w:val="000000"/>
          <w:spacing w:val="0"/>
          <w:sz w:val="31"/>
          <w:szCs w:val="31"/>
          <w:highlight w:val="none"/>
        </w:rPr>
        <w:t>正式报告</w:t>
      </w:r>
      <w:r>
        <w:rPr>
          <w:rFonts w:hint="eastAsia" w:ascii="仿宋" w:hAnsi="仿宋" w:eastAsia="仿宋" w:cs="仿宋"/>
          <w:i w:val="0"/>
          <w:iCs w:val="0"/>
          <w:caps w:val="0"/>
          <w:color w:val="000000"/>
          <w:spacing w:val="0"/>
          <w:sz w:val="31"/>
          <w:szCs w:val="31"/>
          <w:highlight w:val="none"/>
          <w:lang w:val="en-US" w:eastAsia="zh-CN"/>
        </w:rPr>
        <w:t>后</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开具合同总额30%的增值税发票，</w:t>
      </w:r>
      <w:r>
        <w:rPr>
          <w:rFonts w:hint="eastAsia" w:ascii="仿宋" w:hAnsi="仿宋" w:eastAsia="仿宋" w:cs="仿宋"/>
          <w:sz w:val="32"/>
          <w:szCs w:val="32"/>
          <w:highlight w:val="none"/>
          <w:lang w:eastAsia="zh-CN"/>
        </w:rPr>
        <w:t>甲方</w:t>
      </w:r>
      <w:r>
        <w:rPr>
          <w:rFonts w:hint="eastAsia" w:ascii="仿宋" w:hAnsi="仿宋" w:eastAsia="仿宋" w:cs="仿宋"/>
          <w:sz w:val="32"/>
          <w:szCs w:val="32"/>
          <w:highlight w:val="none"/>
        </w:rPr>
        <w:t>再付合同总额的30%；</w:t>
      </w:r>
      <w:r>
        <w:rPr>
          <w:rFonts w:hint="eastAsia" w:ascii="仿宋" w:hAnsi="仿宋" w:eastAsia="仿宋" w:cs="仿宋"/>
          <w:sz w:val="32"/>
          <w:szCs w:val="32"/>
          <w:highlight w:val="none"/>
          <w:lang w:val="en-US" w:eastAsia="zh-CN"/>
        </w:rPr>
        <w:t>顺利通过报告评审、取得取水许可证</w:t>
      </w:r>
      <w:r>
        <w:rPr>
          <w:rFonts w:hint="eastAsia" w:ascii="仿宋" w:hAnsi="仿宋" w:eastAsia="仿宋" w:cs="仿宋"/>
          <w:sz w:val="32"/>
          <w:szCs w:val="32"/>
          <w:highlight w:val="none"/>
        </w:rPr>
        <w:t>后，</w:t>
      </w: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开具合同总额40%的增值税发票，</w:t>
      </w:r>
      <w:r>
        <w:rPr>
          <w:rFonts w:hint="eastAsia" w:ascii="仿宋" w:hAnsi="仿宋" w:eastAsia="仿宋" w:cs="仿宋"/>
          <w:sz w:val="32"/>
          <w:szCs w:val="32"/>
          <w:highlight w:val="none"/>
          <w:lang w:eastAsia="zh-CN"/>
        </w:rPr>
        <w:t>甲方</w:t>
      </w:r>
      <w:r>
        <w:rPr>
          <w:rFonts w:hint="eastAsia" w:ascii="仿宋" w:hAnsi="仿宋" w:eastAsia="仿宋" w:cs="仿宋"/>
          <w:sz w:val="32"/>
          <w:szCs w:val="32"/>
          <w:highlight w:val="none"/>
        </w:rPr>
        <w:t>再付合同总额的</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0%。</w:t>
      </w:r>
      <w:r>
        <w:rPr>
          <w:rFonts w:hint="eastAsia" w:ascii="仿宋" w:hAnsi="仿宋" w:eastAsia="仿宋" w:cs="仿宋"/>
          <w:b/>
          <w:bCs/>
          <w:sz w:val="32"/>
          <w:szCs w:val="32"/>
          <w:highlight w:val="none"/>
          <w:lang w:eastAsia="zh-CN"/>
        </w:rPr>
        <w:t>乙方</w:t>
      </w:r>
      <w:r>
        <w:rPr>
          <w:rFonts w:hint="eastAsia" w:ascii="仿宋" w:hAnsi="仿宋" w:eastAsia="仿宋" w:cs="仿宋"/>
          <w:b/>
          <w:bCs/>
          <w:sz w:val="32"/>
          <w:szCs w:val="32"/>
          <w:highlight w:val="none"/>
        </w:rPr>
        <w:t>可按付款</w:t>
      </w:r>
      <w:r>
        <w:rPr>
          <w:rFonts w:hint="eastAsia" w:ascii="仿宋" w:hAnsi="仿宋" w:eastAsia="仿宋" w:cs="仿宋"/>
          <w:b/>
          <w:bCs/>
          <w:sz w:val="32"/>
          <w:szCs w:val="32"/>
        </w:rPr>
        <w:t>进度开具发票，也可一次性开具全额发票，但必须先票后款。</w:t>
      </w:r>
    </w:p>
    <w:bookmarkEnd w:id="8"/>
    <w:bookmarkEnd w:id="9"/>
    <w:bookmarkEnd w:id="10"/>
    <w:bookmarkEnd w:id="11"/>
    <w:p w14:paraId="244024BA">
      <w:pPr>
        <w:keepNext w:val="0"/>
        <w:keepLines w:val="0"/>
        <w:pageBreakBefore w:val="0"/>
        <w:kinsoku/>
        <w:wordWrap/>
        <w:overflowPunct w:val="0"/>
        <w:topLinePunct w:val="0"/>
        <w:autoSpaceDE/>
        <w:autoSpaceDN/>
        <w:bidi w:val="0"/>
        <w:snapToGrid/>
        <w:spacing w:line="560" w:lineRule="exact"/>
        <w:ind w:left="0" w:firstLine="643" w:firstLineChars="2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560" w:lineRule="exact"/>
        <w:ind w:left="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（一）响应报价</w:t>
      </w:r>
    </w:p>
    <w:p w14:paraId="3B36FAFE">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供应商应按“响应文件格式”要求在响应函中进行报价并填写响应文件的分项报价表。</w:t>
      </w:r>
    </w:p>
    <w:p w14:paraId="2F98B554">
      <w:pPr>
        <w:pageBreakBefore w:val="0"/>
        <w:kinsoku/>
        <w:wordWrap/>
        <w:topLinePunct w:val="0"/>
        <w:autoSpaceDE/>
        <w:autoSpaceDN/>
        <w:bidi w:val="0"/>
        <w:snapToGrid/>
        <w:spacing w:line="560" w:lineRule="exact"/>
        <w:ind w:firstLine="620" w:firstLineChars="200"/>
        <w:textAlignment w:val="auto"/>
        <w:rPr>
          <w:rFonts w:hint="eastAsia" w:ascii="仿宋" w:hAnsi="仿宋" w:eastAsia="仿宋" w:cs="仿宋"/>
          <w:sz w:val="32"/>
          <w:szCs w:val="32"/>
          <w:highlight w:val="none"/>
        </w:rPr>
      </w:pPr>
      <w:r>
        <w:rPr>
          <w:rFonts w:hint="eastAsia" w:ascii="仿宋" w:hAnsi="仿宋" w:eastAsia="仿宋" w:cs="仿宋"/>
          <w:i w:val="0"/>
          <w:iCs w:val="0"/>
          <w:caps w:val="0"/>
          <w:color w:val="000000"/>
          <w:spacing w:val="0"/>
          <w:sz w:val="31"/>
          <w:szCs w:val="31"/>
          <w:highlight w:val="none"/>
          <w:lang w:val="en-US" w:eastAsia="zh-CN"/>
        </w:rPr>
        <w:t>2、最高限价：20</w:t>
      </w:r>
      <w:r>
        <w:rPr>
          <w:rFonts w:ascii="仿宋" w:hAnsi="仿宋" w:eastAsia="仿宋" w:cs="仿宋"/>
          <w:i w:val="0"/>
          <w:iCs w:val="0"/>
          <w:caps w:val="0"/>
          <w:color w:val="000000"/>
          <w:spacing w:val="0"/>
          <w:sz w:val="31"/>
          <w:szCs w:val="31"/>
          <w:highlight w:val="none"/>
        </w:rPr>
        <w:t>万元（大写：</w:t>
      </w:r>
      <w:r>
        <w:rPr>
          <w:rFonts w:hint="eastAsia" w:ascii="仿宋" w:hAnsi="仿宋" w:eastAsia="仿宋" w:cs="仿宋"/>
          <w:i w:val="0"/>
          <w:iCs w:val="0"/>
          <w:caps w:val="0"/>
          <w:color w:val="000000"/>
          <w:spacing w:val="0"/>
          <w:sz w:val="31"/>
          <w:szCs w:val="31"/>
          <w:highlight w:val="none"/>
          <w:lang w:val="en-US" w:eastAsia="zh-CN"/>
        </w:rPr>
        <w:t>贰拾万</w:t>
      </w:r>
      <w:r>
        <w:rPr>
          <w:rFonts w:ascii="仿宋" w:hAnsi="仿宋" w:eastAsia="仿宋" w:cs="仿宋"/>
          <w:i w:val="0"/>
          <w:iCs w:val="0"/>
          <w:caps w:val="0"/>
          <w:color w:val="000000"/>
          <w:spacing w:val="0"/>
          <w:sz w:val="31"/>
          <w:szCs w:val="31"/>
          <w:highlight w:val="none"/>
        </w:rPr>
        <w:t>元整），响应报价超过</w:t>
      </w:r>
      <w:r>
        <w:rPr>
          <w:rFonts w:hint="eastAsia" w:ascii="仿宋" w:hAnsi="仿宋" w:eastAsia="仿宋" w:cs="仿宋"/>
          <w:i w:val="0"/>
          <w:iCs w:val="0"/>
          <w:caps w:val="0"/>
          <w:color w:val="000000"/>
          <w:spacing w:val="0"/>
          <w:sz w:val="31"/>
          <w:szCs w:val="31"/>
          <w:highlight w:val="none"/>
          <w:lang w:val="en-US" w:eastAsia="zh-CN"/>
        </w:rPr>
        <w:t>最高限价</w:t>
      </w:r>
      <w:r>
        <w:rPr>
          <w:rFonts w:ascii="仿宋" w:hAnsi="仿宋" w:eastAsia="仿宋" w:cs="仿宋"/>
          <w:i w:val="0"/>
          <w:iCs w:val="0"/>
          <w:caps w:val="0"/>
          <w:color w:val="000000"/>
          <w:spacing w:val="0"/>
          <w:sz w:val="31"/>
          <w:szCs w:val="31"/>
          <w:highlight w:val="none"/>
        </w:rPr>
        <w:t>的</w:t>
      </w:r>
      <w:r>
        <w:rPr>
          <w:rFonts w:hint="eastAsia" w:ascii="仿宋" w:hAnsi="仿宋" w:eastAsia="仿宋" w:cs="仿宋"/>
          <w:i w:val="0"/>
          <w:iCs w:val="0"/>
          <w:caps w:val="0"/>
          <w:color w:val="000000"/>
          <w:spacing w:val="0"/>
          <w:sz w:val="31"/>
          <w:szCs w:val="31"/>
          <w:highlight w:val="none"/>
          <w:lang w:eastAsia="zh-CN"/>
        </w:rPr>
        <w:t>，</w:t>
      </w:r>
      <w:r>
        <w:rPr>
          <w:rFonts w:hint="eastAsia" w:ascii="仿宋" w:hAnsi="仿宋" w:eastAsia="仿宋" w:cs="仿宋"/>
          <w:i w:val="0"/>
          <w:iCs w:val="0"/>
          <w:caps w:val="0"/>
          <w:color w:val="000000"/>
          <w:spacing w:val="0"/>
          <w:sz w:val="31"/>
          <w:szCs w:val="31"/>
          <w:highlight w:val="none"/>
          <w:lang w:val="en-US" w:eastAsia="zh-CN"/>
        </w:rPr>
        <w:t>否决其响应文件</w:t>
      </w:r>
      <w:r>
        <w:rPr>
          <w:rFonts w:ascii="仿宋" w:hAnsi="仿宋" w:eastAsia="仿宋" w:cs="仿宋"/>
          <w:i w:val="0"/>
          <w:iCs w:val="0"/>
          <w:caps w:val="0"/>
          <w:color w:val="000000"/>
          <w:spacing w:val="0"/>
          <w:sz w:val="31"/>
          <w:szCs w:val="31"/>
          <w:highlight w:val="none"/>
        </w:rPr>
        <w:t>。</w:t>
      </w:r>
    </w:p>
    <w:p w14:paraId="7CC95BBB">
      <w:pPr>
        <w:pageBreakBefore w:val="0"/>
        <w:kinsoku/>
        <w:wordWrap/>
        <w:topLinePunct w:val="0"/>
        <w:autoSpaceDE/>
        <w:autoSpaceDN/>
        <w:bidi w:val="0"/>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.报价包括</w:t>
      </w:r>
      <w:r>
        <w:rPr>
          <w:rFonts w:hint="eastAsia" w:ascii="仿宋" w:hAnsi="仿宋" w:eastAsia="仿宋" w:cs="仿宋"/>
          <w:sz w:val="32"/>
          <w:szCs w:val="32"/>
          <w:highlight w:val="none"/>
          <w:lang w:val="en-US" w:eastAsia="zh-CN"/>
        </w:rPr>
        <w:t>现场勘察、资料收集、测试、技术分析、报告编写、报告印刷、报告评审</w:t>
      </w:r>
      <w:r>
        <w:rPr>
          <w:rFonts w:hint="eastAsia" w:ascii="仿宋" w:hAnsi="仿宋" w:eastAsia="仿宋" w:cs="仿宋"/>
          <w:sz w:val="32"/>
          <w:szCs w:val="32"/>
          <w:highlight w:val="none"/>
        </w:rPr>
        <w:t>、税金等</w:t>
      </w:r>
      <w:r>
        <w:rPr>
          <w:rFonts w:hint="eastAsia" w:ascii="仿宋" w:hAnsi="仿宋" w:eastAsia="仿宋" w:cs="仿宋"/>
          <w:color w:val="auto"/>
          <w:kern w:val="2"/>
          <w:sz w:val="32"/>
          <w:szCs w:val="32"/>
          <w:highlight w:val="none"/>
          <w:lang w:val="en-US" w:eastAsia="zh-CN" w:bidi="ar-SA"/>
        </w:rPr>
        <w:t>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.供应商在响应文件递交截止时间前修改响应函中的响应报价总额，应同时修</w:t>
      </w:r>
      <w:bookmarkStart w:id="12" w:name="_Toc247513966"/>
      <w:bookmarkStart w:id="13" w:name="_Toc247527567"/>
      <w:bookmarkStart w:id="14" w:name="_Toc384308223"/>
      <w:bookmarkStart w:id="15" w:name="_Toc25772"/>
      <w:bookmarkStart w:id="16" w:name="_Toc361508598"/>
      <w:bookmarkStart w:id="17" w:name="_Toc369531529"/>
      <w:bookmarkStart w:id="18" w:name="_Toc352691486"/>
      <w:bookmarkStart w:id="19" w:name="_Toc300834963"/>
      <w:bookmarkStart w:id="20" w:name="_Toc144974510"/>
      <w:bookmarkStart w:id="21" w:name="_Toc152045542"/>
      <w:bookmarkStart w:id="22" w:name="_Toc152042318"/>
      <w:r>
        <w:rPr>
          <w:rFonts w:hint="eastAsia" w:ascii="仿宋" w:hAnsi="仿宋" w:eastAsia="仿宋" w:cs="仿宋"/>
          <w:sz w:val="32"/>
          <w:szCs w:val="32"/>
          <w:highlight w:val="none"/>
        </w:rPr>
        <w:t>改响应文件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00834964"/>
      <w:bookmarkStart w:id="25" w:name="_Toc247513967"/>
      <w:bookmarkStart w:id="26" w:name="_Toc352691487"/>
      <w:bookmarkStart w:id="27" w:name="_Toc369531530"/>
      <w:bookmarkStart w:id="28" w:name="_Toc361508599"/>
      <w:bookmarkStart w:id="29" w:name="_Toc15242"/>
      <w:bookmarkStart w:id="30" w:name="_Toc247527568"/>
      <w:bookmarkStart w:id="31" w:name="_Toc152042319"/>
      <w:bookmarkStart w:id="32" w:name="_Toc152045543"/>
      <w:bookmarkStart w:id="33" w:name="_Toc384308224"/>
      <w:r>
        <w:rPr>
          <w:rFonts w:hint="eastAsia" w:ascii="仿宋" w:hAnsi="仿宋" w:eastAsia="仿宋" w:cs="仿宋"/>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69904D06">
      <w:pPr>
        <w:keepNext w:val="0"/>
        <w:keepLines w:val="0"/>
        <w:pageBreakBefore w:val="0"/>
        <w:kinsoku/>
        <w:wordWrap/>
        <w:overflowPunct w:val="0"/>
        <w:topLinePunct w:val="0"/>
        <w:autoSpaceDE/>
        <w:autoSpaceDN/>
        <w:bidi w:val="0"/>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.成交供应商的响应报价是成交、签订合同及合同执行过程中的依据，不得进行实质性变动。</w:t>
      </w:r>
    </w:p>
    <w:p w14:paraId="76797931">
      <w:pPr>
        <w:pStyle w:val="4"/>
        <w:keepNext w:val="0"/>
        <w:keepLines w:val="0"/>
        <w:pageBreakBefore w:val="0"/>
        <w:kinsoku/>
        <w:wordWrap/>
        <w:overflowPunct w:val="0"/>
        <w:topLinePunct w:val="0"/>
        <w:autoSpaceDE/>
        <w:autoSpaceDN/>
        <w:bidi w:val="0"/>
        <w:adjustRightInd/>
        <w:snapToGrid/>
        <w:spacing w:before="0" w:after="0" w:line="560" w:lineRule="exact"/>
        <w:ind w:left="0" w:leftChars="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（二）响应有效期</w:t>
      </w:r>
    </w:p>
    <w:p w14:paraId="1E5228DB">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1.响应有效期从提交响应文件截止之日起算</w:t>
      </w:r>
      <w:r>
        <w:rPr>
          <w:rFonts w:hint="eastAsia" w:ascii="仿宋" w:hAnsi="仿宋" w:eastAsia="仿宋" w:cs="仿宋"/>
          <w:sz w:val="32"/>
          <w:szCs w:val="32"/>
          <w:highlight w:val="none"/>
          <w:lang w:val="en-US" w:eastAsia="zh-CN"/>
        </w:rPr>
        <w:t>90</w:t>
      </w:r>
      <w:r>
        <w:rPr>
          <w:rFonts w:hint="eastAsia" w:ascii="仿宋" w:hAnsi="仿宋" w:eastAsia="仿宋" w:cs="仿宋"/>
          <w:sz w:val="32"/>
          <w:szCs w:val="32"/>
          <w:highlight w:val="none"/>
        </w:rPr>
        <w:t>天。</w:t>
      </w:r>
    </w:p>
    <w:p w14:paraId="1C2E8A7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2.在响应有效期内，供应商撤销响应文件的，应承担询比采购文件和法律规定的责任。</w:t>
      </w:r>
    </w:p>
    <w:p w14:paraId="513C2601">
      <w:pPr>
        <w:pStyle w:val="4"/>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（三）响应保证金</w:t>
      </w:r>
    </w:p>
    <w:p w14:paraId="03A8983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1.供应商在递交响应文件的同时，应按规定的响应保证金格式递交响应保证金</w:t>
      </w:r>
      <w:r>
        <w:rPr>
          <w:rFonts w:hint="eastAsia" w:ascii="仿宋" w:hAnsi="仿宋" w:eastAsia="仿宋" w:cs="仿宋"/>
          <w:sz w:val="32"/>
          <w:szCs w:val="32"/>
          <w:highlight w:val="none"/>
          <w:lang w:val="en-US" w:eastAsia="zh-CN"/>
        </w:rPr>
        <w:t>0.4</w:t>
      </w:r>
      <w:r>
        <w:rPr>
          <w:rFonts w:hint="eastAsia" w:ascii="仿宋" w:hAnsi="仿宋" w:eastAsia="仿宋" w:cs="仿宋"/>
          <w:sz w:val="32"/>
          <w:szCs w:val="32"/>
          <w:highlight w:val="none"/>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保证金支付账户如下：</w:t>
      </w:r>
    </w:p>
    <w:p w14:paraId="6FE750B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收款人：陕西锌业有限公司</w:t>
      </w:r>
    </w:p>
    <w:p w14:paraId="0EB4040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账号：26805701040010332</w:t>
      </w:r>
    </w:p>
    <w:p w14:paraId="00EF95D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.供应商不按</w:t>
      </w:r>
      <w:bookmarkStart w:id="34" w:name="_Toc352691490"/>
      <w:bookmarkStart w:id="35" w:name="_Toc384308227"/>
      <w:bookmarkStart w:id="36" w:name="_Toc29025"/>
      <w:bookmarkStart w:id="37" w:name="_Toc361508602"/>
      <w:bookmarkStart w:id="38" w:name="_Toc369531533"/>
      <w:r>
        <w:rPr>
          <w:rFonts w:hint="eastAsia" w:ascii="仿宋" w:hAnsi="仿宋" w:eastAsia="仿宋" w:cs="仿宋"/>
          <w:sz w:val="32"/>
          <w:szCs w:val="32"/>
          <w:highlight w:val="none"/>
        </w:rPr>
        <w:t>前述要求提交响应保证金的，</w:t>
      </w:r>
      <w:bookmarkEnd w:id="34"/>
      <w:bookmarkEnd w:id="35"/>
      <w:bookmarkEnd w:id="36"/>
      <w:bookmarkEnd w:id="37"/>
      <w:bookmarkEnd w:id="38"/>
      <w:r>
        <w:rPr>
          <w:rFonts w:hint="eastAsia" w:ascii="仿宋" w:hAnsi="仿宋" w:eastAsia="仿宋" w:cs="仿宋"/>
          <w:sz w:val="32"/>
          <w:szCs w:val="32"/>
          <w:highlight w:val="none"/>
        </w:rPr>
        <w:t>评审小组将否决其响应文件。</w:t>
      </w:r>
    </w:p>
    <w:p w14:paraId="23E02362">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.采购人最迟应当在与成交人</w:t>
      </w:r>
      <w:bookmarkStart w:id="39" w:name="_Toc14751"/>
      <w:bookmarkStart w:id="40" w:name="_Toc369531534"/>
      <w:bookmarkStart w:id="41" w:name="_Toc352691491"/>
      <w:bookmarkStart w:id="42" w:name="_Toc384308228"/>
      <w:bookmarkStart w:id="43" w:name="_Toc247527571"/>
      <w:bookmarkStart w:id="44" w:name="_Toc152042322"/>
      <w:bookmarkStart w:id="45" w:name="_Toc144974514"/>
      <w:bookmarkStart w:id="46" w:name="_Toc300834967"/>
      <w:bookmarkStart w:id="47" w:name="_Toc361508603"/>
      <w:bookmarkStart w:id="48" w:name="_Toc152045546"/>
      <w:bookmarkStart w:id="49" w:name="_Toc247513970"/>
      <w:r>
        <w:rPr>
          <w:rFonts w:hint="eastAsia" w:ascii="仿宋" w:hAnsi="仿宋" w:eastAsia="仿宋" w:cs="仿宋"/>
          <w:sz w:val="32"/>
          <w:szCs w:val="32"/>
          <w:highlight w:val="none"/>
        </w:rPr>
        <w:t>签订合同后7日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32"/>
          <w:szCs w:val="32"/>
          <w:highlight w:val="none"/>
        </w:rPr>
        <w:t>内</w:t>
      </w:r>
      <w:bookmarkStart w:id="50" w:name="_Toc300834968"/>
      <w:bookmarkStart w:id="51" w:name="_Toc152042323"/>
      <w:bookmarkStart w:id="52" w:name="_Toc352691492"/>
      <w:bookmarkStart w:id="53" w:name="_Toc17952"/>
      <w:bookmarkStart w:id="54" w:name="_Toc384308229"/>
      <w:bookmarkStart w:id="55" w:name="_Toc247513971"/>
      <w:bookmarkStart w:id="56" w:name="_Toc144974515"/>
      <w:bookmarkStart w:id="57" w:name="_Toc369531535"/>
      <w:bookmarkStart w:id="58" w:name="_Toc361508604"/>
      <w:bookmarkStart w:id="59" w:name="_Toc247527572"/>
      <w:bookmarkStart w:id="60" w:name="_Toc152045547"/>
      <w:r>
        <w:rPr>
          <w:rFonts w:hint="eastAsia" w:ascii="仿宋" w:hAnsi="仿宋" w:eastAsia="仿宋" w:cs="仿宋"/>
          <w:sz w:val="32"/>
          <w:szCs w:val="32"/>
          <w:highlight w:val="none"/>
        </w:rPr>
        <w:t>，向未成交的供应商和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sz w:val="32"/>
          <w:szCs w:val="32"/>
          <w:highlight w:val="none"/>
        </w:rPr>
        <w:t>成交人无息退还响应保证金。</w:t>
      </w:r>
    </w:p>
    <w:p w14:paraId="1BA18A44">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（2）成交人在收到成交通知后，成交人放弃成交项目的，无正当理由不与采购人订立合同的，在签订合同时向采购人提出附加条件或者更改合同实质性内容的。</w:t>
      </w:r>
    </w:p>
    <w:p w14:paraId="03D4191C">
      <w:pPr>
        <w:pStyle w:val="4"/>
        <w:keepNext w:val="0"/>
        <w:keepLines w:val="0"/>
        <w:pageBreakBefore w:val="0"/>
        <w:kinsoku/>
        <w:wordWrap/>
        <w:overflowPunct w:val="0"/>
        <w:topLinePunct w:val="0"/>
        <w:autoSpaceDE/>
        <w:autoSpaceDN/>
        <w:bidi w:val="0"/>
        <w:adjustRightInd/>
        <w:snapToGrid/>
        <w:spacing w:before="0" w:after="0" w:line="560" w:lineRule="exact"/>
        <w:ind w:left="0" w:leftChars="0" w:firstLine="640" w:firstLineChars="200"/>
        <w:textAlignment w:val="auto"/>
        <w:rPr>
          <w:rFonts w:ascii="仿宋" w:hAnsi="仿宋" w:eastAsia="仿宋" w:cs="仿宋"/>
          <w:sz w:val="32"/>
          <w:szCs w:val="32"/>
        </w:rPr>
      </w:pPr>
      <w:bookmarkStart w:id="61" w:name="_Toc21871"/>
      <w:bookmarkStart w:id="62" w:name="_Toc24514"/>
      <w:bookmarkStart w:id="63" w:name="_Toc28216"/>
      <w:bookmarkStart w:id="64" w:name="_Toc33795794"/>
      <w:r>
        <w:rPr>
          <w:rFonts w:hint="eastAsia" w:ascii="仿宋" w:hAnsi="仿宋" w:eastAsia="仿宋" w:cs="仿宋"/>
          <w:sz w:val="32"/>
          <w:szCs w:val="32"/>
        </w:rPr>
        <w:t>（四）资格审查资料</w:t>
      </w:r>
      <w:bookmarkEnd w:id="61"/>
      <w:bookmarkEnd w:id="62"/>
      <w:bookmarkEnd w:id="63"/>
      <w:bookmarkEnd w:id="64"/>
    </w:p>
    <w:p w14:paraId="04D97B72">
      <w:pPr>
        <w:pStyle w:val="4"/>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2.“近三年完成的类似项目情况表”应附从202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月至今的合同复印件。</w:t>
      </w:r>
    </w:p>
    <w:p w14:paraId="2FC786A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微软雅黑" w:hAnsi="微软雅黑" w:eastAsia="微软雅黑" w:cs="微软雅黑"/>
          <w:color w:val="000000"/>
          <w:sz w:val="27"/>
          <w:szCs w:val="27"/>
          <w:highlight w:val="none"/>
        </w:rPr>
      </w:pPr>
      <w:r>
        <w:rPr>
          <w:rFonts w:hint="eastAsia" w:ascii="仿宋" w:hAnsi="仿宋" w:eastAsia="仿宋" w:cs="仿宋"/>
          <w:sz w:val="32"/>
          <w:szCs w:val="32"/>
          <w:highlight w:val="none"/>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560" w:lineRule="exact"/>
        <w:ind w:left="0" w:firstLine="647" w:firstLineChars="200"/>
        <w:textAlignment w:val="auto"/>
        <w:rPr>
          <w:rFonts w:ascii="仿宋" w:hAnsi="仿宋" w:eastAsia="仿宋" w:cs="仿宋"/>
          <w:b/>
          <w:bCs/>
          <w:spacing w:val="1"/>
          <w:sz w:val="32"/>
          <w:szCs w:val="32"/>
          <w:highlight w:val="none"/>
          <w:lang w:eastAsia="zh-CN"/>
        </w:rPr>
      </w:pPr>
      <w:r>
        <w:rPr>
          <w:rFonts w:hint="eastAsia" w:ascii="仿宋" w:hAnsi="仿宋" w:eastAsia="仿宋" w:cs="仿宋"/>
          <w:b/>
          <w:bCs/>
          <w:spacing w:val="1"/>
          <w:sz w:val="32"/>
          <w:szCs w:val="32"/>
          <w:highlight w:val="none"/>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560" w:lineRule="exact"/>
        <w:ind w:left="0" w:firstLine="644" w:firstLineChars="200"/>
        <w:textAlignment w:val="auto"/>
        <w:rPr>
          <w:rFonts w:ascii="仿宋" w:hAnsi="仿宋" w:eastAsia="仿宋" w:cs="仿宋"/>
          <w:spacing w:val="1"/>
          <w:sz w:val="32"/>
          <w:szCs w:val="32"/>
          <w:highlight w:val="none"/>
          <w:lang w:eastAsia="zh-CN"/>
        </w:rPr>
      </w:pPr>
      <w:r>
        <w:rPr>
          <w:rFonts w:hint="eastAsia" w:ascii="仿宋" w:hAnsi="仿宋" w:eastAsia="仿宋" w:cs="仿宋"/>
          <w:spacing w:val="1"/>
          <w:sz w:val="32"/>
          <w:szCs w:val="32"/>
          <w:highlight w:val="none"/>
          <w:lang w:eastAsia="zh-CN"/>
        </w:rPr>
        <w:t>（一）响应文件提交截止时间：202</w:t>
      </w:r>
      <w:r>
        <w:rPr>
          <w:rFonts w:hint="eastAsia" w:ascii="仿宋" w:hAnsi="仿宋" w:eastAsia="仿宋" w:cs="仿宋"/>
          <w:spacing w:val="1"/>
          <w:sz w:val="32"/>
          <w:szCs w:val="32"/>
          <w:highlight w:val="none"/>
          <w:lang w:val="en-US" w:eastAsia="zh-CN"/>
        </w:rPr>
        <w:t>6</w:t>
      </w:r>
      <w:r>
        <w:rPr>
          <w:rFonts w:hint="eastAsia" w:ascii="仿宋" w:hAnsi="仿宋" w:eastAsia="仿宋" w:cs="仿宋"/>
          <w:spacing w:val="1"/>
          <w:sz w:val="32"/>
          <w:szCs w:val="32"/>
          <w:highlight w:val="none"/>
          <w:lang w:eastAsia="zh-CN"/>
        </w:rPr>
        <w:t>年</w:t>
      </w:r>
      <w:r>
        <w:rPr>
          <w:rFonts w:hint="eastAsia" w:ascii="仿宋" w:hAnsi="仿宋" w:eastAsia="仿宋" w:cs="仿宋"/>
          <w:spacing w:val="1"/>
          <w:sz w:val="32"/>
          <w:szCs w:val="32"/>
          <w:highlight w:val="none"/>
          <w:lang w:val="en-US" w:eastAsia="zh-CN"/>
        </w:rPr>
        <w:t>5</w:t>
      </w:r>
      <w:r>
        <w:rPr>
          <w:rFonts w:hint="eastAsia" w:ascii="仿宋" w:hAnsi="仿宋" w:eastAsia="仿宋" w:cs="仿宋"/>
          <w:spacing w:val="1"/>
          <w:sz w:val="32"/>
          <w:szCs w:val="32"/>
          <w:highlight w:val="none"/>
          <w:lang w:eastAsia="zh-CN"/>
        </w:rPr>
        <w:t>月</w:t>
      </w:r>
      <w:r>
        <w:rPr>
          <w:rFonts w:hint="eastAsia" w:ascii="仿宋" w:hAnsi="仿宋" w:eastAsia="仿宋" w:cs="仿宋"/>
          <w:spacing w:val="1"/>
          <w:sz w:val="32"/>
          <w:szCs w:val="32"/>
          <w:highlight w:val="none"/>
          <w:lang w:val="en-US" w:eastAsia="zh-CN"/>
        </w:rPr>
        <w:t>7</w:t>
      </w:r>
      <w:bookmarkStart w:id="138" w:name="_GoBack"/>
      <w:bookmarkEnd w:id="138"/>
      <w:r>
        <w:rPr>
          <w:rFonts w:hint="eastAsia" w:ascii="仿宋" w:hAnsi="仿宋" w:eastAsia="仿宋" w:cs="仿宋"/>
          <w:spacing w:val="1"/>
          <w:sz w:val="32"/>
          <w:szCs w:val="32"/>
          <w:highlight w:val="none"/>
          <w:lang w:eastAsia="zh-CN"/>
        </w:rPr>
        <w:t>日</w:t>
      </w:r>
      <w:r>
        <w:rPr>
          <w:rFonts w:hint="eastAsia" w:ascii="仿宋" w:hAnsi="仿宋" w:eastAsia="仿宋" w:cs="仿宋"/>
          <w:spacing w:val="1"/>
          <w:sz w:val="32"/>
          <w:szCs w:val="32"/>
          <w:highlight w:val="none"/>
          <w:lang w:val="en-US" w:eastAsia="zh-CN"/>
        </w:rPr>
        <w:t>11</w:t>
      </w:r>
      <w:r>
        <w:rPr>
          <w:rFonts w:hint="eastAsia" w:ascii="仿宋" w:hAnsi="仿宋" w:eastAsia="仿宋" w:cs="仿宋"/>
          <w:spacing w:val="1"/>
          <w:sz w:val="32"/>
          <w:szCs w:val="32"/>
          <w:highlight w:val="none"/>
          <w:lang w:eastAsia="zh-CN"/>
        </w:rPr>
        <w:t>时0分（北京时间）；</w:t>
      </w:r>
    </w:p>
    <w:p w14:paraId="5743FE52">
      <w:pPr>
        <w:pStyle w:val="16"/>
        <w:keepNext w:val="0"/>
        <w:keepLines w:val="0"/>
        <w:pageBreakBefore w:val="0"/>
        <w:kinsoku/>
        <w:wordWrap/>
        <w:topLinePunct w:val="0"/>
        <w:autoSpaceDE/>
        <w:autoSpaceDN/>
        <w:bidi w:val="0"/>
        <w:adjustRightInd/>
        <w:snapToGrid/>
        <w:spacing w:before="0" w:after="0" w:line="560" w:lineRule="exact"/>
        <w:ind w:left="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b/>
          <w:bCs/>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p>
    <w:p w14:paraId="298AE72E">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b/>
          <w:bCs/>
          <w:sz w:val="32"/>
          <w:szCs w:val="32"/>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653EEAA0">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 w:hAnsi="仿宋" w:eastAsia="仿宋" w:cs="仿宋"/>
          <w:color w:val="000000"/>
          <w:sz w:val="32"/>
          <w:szCs w:val="32"/>
          <w:highlight w:val="none"/>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highlight w:val="none"/>
          <w:lang w:val="en-US" w:eastAsia="zh-CN"/>
        </w:rPr>
        <w:t>响应文件两本，一正一副</w:t>
      </w:r>
      <w:r>
        <w:rPr>
          <w:rFonts w:hint="eastAsia" w:ascii="仿宋" w:hAnsi="仿宋" w:eastAsia="仿宋" w:cs="仿宋"/>
          <w:b/>
          <w:bCs/>
          <w:i w:val="0"/>
          <w:iCs w:val="0"/>
          <w:caps w:val="0"/>
          <w:color w:val="000000"/>
          <w:spacing w:val="0"/>
          <w:sz w:val="32"/>
          <w:szCs w:val="32"/>
          <w:highlight w:val="none"/>
          <w:lang w:eastAsia="zh-CN"/>
        </w:rPr>
        <w:t>）</w:t>
      </w:r>
    </w:p>
    <w:p w14:paraId="37AD201D">
      <w:pPr>
        <w:pStyle w:val="10"/>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color w:val="auto"/>
          <w:sz w:val="32"/>
          <w:szCs w:val="32"/>
          <w:highlight w:val="none"/>
          <w:lang w:val="en-US" w:eastAsia="zh-CN"/>
        </w:rPr>
        <w:t>（四）</w:t>
      </w:r>
      <w:r>
        <w:rPr>
          <w:rFonts w:hint="eastAsia" w:ascii="仿宋" w:hAnsi="仿宋" w:eastAsia="仿宋" w:cs="仿宋"/>
          <w:i w:val="0"/>
          <w:iCs w:val="0"/>
          <w:caps w:val="0"/>
          <w:color w:val="000000"/>
          <w:spacing w:val="0"/>
          <w:sz w:val="32"/>
          <w:szCs w:val="32"/>
          <w:highlight w:val="none"/>
        </w:rPr>
        <w:t>报价时，报价单应加盖公司公章，法人或其授权委托人应在报价单上签字确认方为有效。</w:t>
      </w:r>
    </w:p>
    <w:p w14:paraId="0ECB6638">
      <w:pPr>
        <w:pStyle w:val="10"/>
        <w:keepNext w:val="0"/>
        <w:keepLines w:val="0"/>
        <w:pageBreakBefore w:val="0"/>
        <w:widowControl/>
        <w:kinsoku/>
        <w:wordWrap/>
        <w:topLinePunct w:val="0"/>
        <w:autoSpaceDE/>
        <w:autoSpaceDN/>
        <w:bidi w:val="0"/>
        <w:adjustRightInd/>
        <w:snapToGrid/>
        <w:spacing w:beforeAutospacing="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晁淑娟     电话：13991569815</w:t>
      </w:r>
    </w:p>
    <w:p w14:paraId="55541E72">
      <w:pPr>
        <w:pStyle w:val="10"/>
        <w:keepNext w:val="0"/>
        <w:keepLines w:val="0"/>
        <w:pageBreakBefore w:val="0"/>
        <w:widowControl/>
        <w:numPr>
          <w:ilvl w:val="0"/>
          <w:numId w:val="1"/>
        </w:numPr>
        <w:kinsoku/>
        <w:wordWrap/>
        <w:topLinePunct w:val="0"/>
        <w:autoSpaceDE/>
        <w:autoSpaceDN/>
        <w:bidi w:val="0"/>
        <w:adjustRightInd/>
        <w:snapToGrid/>
        <w:spacing w:beforeAutospacing="0" w:afterAutospacing="0" w:line="560" w:lineRule="exact"/>
        <w:ind w:left="0" w:firstLine="645"/>
        <w:textAlignment w:val="auto"/>
        <w:rPr>
          <w:rFonts w:hint="eastAsia" w:ascii="仿宋" w:hAnsi="仿宋" w:eastAsia="仿宋" w:cs="仿宋"/>
          <w:b/>
          <w:bCs w:val="0"/>
          <w:sz w:val="32"/>
          <w:szCs w:val="32"/>
        </w:rPr>
      </w:pPr>
      <w:r>
        <w:rPr>
          <w:rStyle w:val="14"/>
          <w:rFonts w:hint="eastAsia" w:ascii="仿宋" w:hAnsi="仿宋" w:eastAsia="仿宋" w:cs="仿宋"/>
          <w:b/>
          <w:bCs w:val="0"/>
          <w:color w:val="000000"/>
          <w:sz w:val="32"/>
          <w:szCs w:val="32"/>
        </w:rPr>
        <w:t>响应文件的</w:t>
      </w:r>
      <w:r>
        <w:rPr>
          <w:rFonts w:hint="eastAsia" w:ascii="仿宋" w:hAnsi="仿宋" w:eastAsia="仿宋" w:cs="仿宋"/>
          <w:b/>
          <w:bCs w:val="0"/>
          <w:sz w:val="32"/>
          <w:szCs w:val="32"/>
        </w:rPr>
        <w:t>评审</w:t>
      </w:r>
    </w:p>
    <w:p w14:paraId="7E62D788">
      <w:pPr>
        <w:keepNext w:val="0"/>
        <w:keepLines w:val="0"/>
        <w:pageBreakBefore w:val="0"/>
        <w:widowControl w:val="0"/>
        <w:shd w:val="clea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2"/>
          <w:szCs w:val="32"/>
        </w:rPr>
      </w:pPr>
      <w:r>
        <w:rPr>
          <w:rFonts w:ascii="仿宋" w:hAnsi="仿宋" w:eastAsia="仿宋" w:cs="仿宋"/>
          <w:i w:val="0"/>
          <w:iCs w:val="0"/>
          <w:caps w:val="0"/>
          <w:color w:val="000000"/>
          <w:spacing w:val="0"/>
          <w:sz w:val="31"/>
          <w:szCs w:val="31"/>
          <w:highlight w:val="none"/>
        </w:rPr>
        <w:t>（一）响应文件评审办法</w:t>
      </w:r>
    </w:p>
    <w:p w14:paraId="1FED60F7">
      <w:pPr>
        <w:pStyle w:val="3"/>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hint="eastAsia" w:ascii="仿宋" w:hAnsi="仿宋" w:eastAsia="仿宋" w:cs="仿宋"/>
          <w:b w:val="0"/>
          <w:bCs/>
          <w:szCs w:val="32"/>
          <w:lang w:val="en-US" w:eastAsia="zh-CN"/>
        </w:rPr>
      </w:pPr>
      <w:bookmarkStart w:id="65" w:name="_Toc33795807"/>
      <w:bookmarkStart w:id="66" w:name="_Toc8518"/>
      <w:bookmarkStart w:id="67" w:name="_Toc9481"/>
      <w:r>
        <w:rPr>
          <w:rFonts w:hint="eastAsia" w:ascii="仿宋" w:hAnsi="仿宋" w:eastAsia="仿宋" w:cs="仿宋"/>
          <w:b w:val="0"/>
          <w:bCs/>
          <w:szCs w:val="32"/>
        </w:rPr>
        <w:t>本项目采用最低价法进行评审。</w:t>
      </w:r>
      <w:r>
        <w:rPr>
          <w:rFonts w:hint="eastAsia" w:ascii="仿宋" w:hAnsi="仿宋" w:eastAsia="仿宋" w:cs="仿宋"/>
          <w:b w:val="0"/>
          <w:bCs/>
          <w:szCs w:val="32"/>
          <w:lang w:val="en-US" w:eastAsia="zh-CN"/>
        </w:rPr>
        <w:t>是在响应文件满足采购文件实质性要求的前提下，按照供应商经评审的价格由低到高的顺序确定供应商优先次序的评审方法。</w:t>
      </w:r>
    </w:p>
    <w:p w14:paraId="4E08EBFF">
      <w:pPr>
        <w:keepNext w:val="0"/>
        <w:keepLines w:val="0"/>
        <w:pageBreakBefore w:val="0"/>
        <w:widowControl w:val="0"/>
        <w:numPr>
          <w:ilvl w:val="0"/>
          <w:numId w:val="2"/>
        </w:numPr>
        <w:shd w:val="clear"/>
        <w:kinsoku/>
        <w:wordWrap/>
        <w:overflowPunct w:val="0"/>
        <w:topLinePunct w:val="0"/>
        <w:autoSpaceDE/>
        <w:autoSpaceDN/>
        <w:bidi w:val="0"/>
        <w:adjustRightInd/>
        <w:snapToGrid/>
        <w:spacing w:line="560" w:lineRule="exact"/>
        <w:ind w:left="0" w:firstLine="620" w:firstLineChars="200"/>
        <w:jc w:val="both"/>
        <w:textAlignment w:val="auto"/>
        <w:rPr>
          <w:rFonts w:ascii="仿宋" w:hAnsi="仿宋" w:eastAsia="仿宋" w:cs="仿宋"/>
          <w:i w:val="0"/>
          <w:iCs w:val="0"/>
          <w:caps w:val="0"/>
          <w:color w:val="000000"/>
          <w:spacing w:val="0"/>
          <w:sz w:val="31"/>
          <w:szCs w:val="31"/>
          <w:highlight w:val="none"/>
        </w:rPr>
      </w:pPr>
      <w:r>
        <w:rPr>
          <w:rFonts w:ascii="仿宋" w:hAnsi="仿宋" w:eastAsia="仿宋" w:cs="仿宋"/>
          <w:i w:val="0"/>
          <w:iCs w:val="0"/>
          <w:caps w:val="0"/>
          <w:color w:val="000000"/>
          <w:spacing w:val="0"/>
          <w:sz w:val="31"/>
          <w:szCs w:val="31"/>
          <w:highlight w:val="none"/>
        </w:rPr>
        <w:t>响应文件评审程序</w:t>
      </w:r>
    </w:p>
    <w:p w14:paraId="1E7348A3">
      <w:pPr>
        <w:keepNext w:val="0"/>
        <w:keepLines w:val="0"/>
        <w:pageBreakBefore w:val="0"/>
        <w:widowControl w:val="0"/>
        <w:numPr>
          <w:ilvl w:val="0"/>
          <w:numId w:val="0"/>
        </w:numPr>
        <w:shd w:val="clear"/>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提交第</w:t>
      </w:r>
      <w:r>
        <w:rPr>
          <w:rFonts w:hint="eastAsia" w:ascii="仿宋" w:hAnsi="仿宋" w:eastAsia="仿宋" w:cs="仿宋"/>
          <w:color w:val="auto"/>
          <w:sz w:val="32"/>
          <w:szCs w:val="32"/>
          <w:highlight w:val="none"/>
          <w:lang w:val="en-US" w:eastAsia="zh-CN"/>
        </w:rPr>
        <w:t>一项第五条</w:t>
      </w:r>
      <w:r>
        <w:rPr>
          <w:rFonts w:hint="eastAsia" w:ascii="仿宋" w:hAnsi="仿宋" w:eastAsia="仿宋" w:cs="仿宋"/>
          <w:color w:val="auto"/>
          <w:sz w:val="32"/>
          <w:szCs w:val="32"/>
          <w:highlight w:val="none"/>
        </w:rPr>
        <w:t>规定的有关证明和证件的原件，以便核验。</w:t>
      </w:r>
      <w:r>
        <w:rPr>
          <w:rFonts w:ascii="仿宋" w:hAnsi="仿宋" w:eastAsia="仿宋" w:cs="仿宋"/>
          <w:i w:val="0"/>
          <w:iCs w:val="0"/>
          <w:caps w:val="0"/>
          <w:color w:val="000000"/>
          <w:spacing w:val="0"/>
          <w:sz w:val="31"/>
          <w:szCs w:val="31"/>
          <w:highlight w:val="none"/>
        </w:rPr>
        <w:t>评审小组</w:t>
      </w:r>
      <w:r>
        <w:rPr>
          <w:rFonts w:hint="eastAsia" w:ascii="仿宋" w:hAnsi="仿宋" w:eastAsia="仿宋" w:cs="仿宋"/>
          <w:i w:val="0"/>
          <w:iCs w:val="0"/>
          <w:caps w:val="0"/>
          <w:color w:val="000000"/>
          <w:spacing w:val="0"/>
          <w:sz w:val="31"/>
          <w:szCs w:val="31"/>
          <w:highlight w:val="none"/>
        </w:rPr>
        <w:t>对前述响应文件进行初步评审，有一项不符合评审标准的，评审小组应当否决其响应文件</w:t>
      </w:r>
      <w:r>
        <w:rPr>
          <w:rFonts w:hint="eastAsia" w:ascii="仿宋" w:hAnsi="仿宋" w:eastAsia="仿宋" w:cs="仿宋"/>
          <w:color w:val="auto"/>
          <w:sz w:val="32"/>
          <w:szCs w:val="32"/>
          <w:highlight w:val="none"/>
        </w:rPr>
        <w:t>。</w:t>
      </w:r>
    </w:p>
    <w:p w14:paraId="6BAC1600">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57E37A41">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0801C641">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0678DD45">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未按</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要求交纳</w:t>
      </w:r>
      <w:r>
        <w:rPr>
          <w:rFonts w:hint="eastAsia" w:ascii="仿宋" w:hAnsi="仿宋" w:eastAsia="仿宋" w:cs="仿宋"/>
          <w:color w:val="auto"/>
          <w:sz w:val="32"/>
          <w:szCs w:val="32"/>
          <w:highlight w:val="none"/>
          <w:lang w:eastAsia="zh-CN"/>
        </w:rPr>
        <w:t>响应保证金</w:t>
      </w:r>
      <w:r>
        <w:rPr>
          <w:rFonts w:hint="eastAsia" w:ascii="仿宋" w:hAnsi="仿宋" w:eastAsia="仿宋" w:cs="仿宋"/>
          <w:color w:val="auto"/>
          <w:sz w:val="32"/>
          <w:szCs w:val="32"/>
          <w:highlight w:val="none"/>
        </w:rPr>
        <w:t>的；</w:t>
      </w:r>
    </w:p>
    <w:p w14:paraId="32765FC5">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不符合国家或</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规定的资格条件的；</w:t>
      </w:r>
    </w:p>
    <w:p w14:paraId="759818B2">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提交两份或多份内容不同的</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，或在同一份</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中有两个或多个报价，且未声明哪一个为最终报价的；</w:t>
      </w:r>
    </w:p>
    <w:p w14:paraId="1573EE9C">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报价明显低于其他</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，且</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不能合理说明或者提供相关证明材料，</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认定该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以低于成本价竞标的；</w:t>
      </w:r>
    </w:p>
    <w:p w14:paraId="549B37D5">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有效期达不到</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要求的；</w:t>
      </w:r>
    </w:p>
    <w:p w14:paraId="20B114F2">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方案出现严重漏项，已影响到该项目的实施的；</w:t>
      </w:r>
    </w:p>
    <w:p w14:paraId="164EB1CB">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有串通</w:t>
      </w:r>
      <w:r>
        <w:rPr>
          <w:rFonts w:hint="eastAsia" w:ascii="仿宋" w:hAnsi="仿宋" w:eastAsia="仿宋" w:cs="仿宋"/>
          <w:color w:val="auto"/>
          <w:sz w:val="32"/>
          <w:szCs w:val="32"/>
          <w:highlight w:val="none"/>
          <w:lang w:eastAsia="zh-CN"/>
        </w:rPr>
        <w:t>投标</w:t>
      </w:r>
      <w:r>
        <w:rPr>
          <w:rFonts w:hint="eastAsia" w:ascii="仿宋" w:hAnsi="仿宋" w:eastAsia="仿宋" w:cs="仿宋"/>
          <w:color w:val="auto"/>
          <w:sz w:val="32"/>
          <w:szCs w:val="32"/>
          <w:highlight w:val="none"/>
        </w:rPr>
        <w:t>、弄虚作假、行贿等违法行为的。</w:t>
      </w:r>
    </w:p>
    <w:p w14:paraId="1433E389">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有算术错误的，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按以下原则要求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进行书面澄清确认。</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拒不澄清确认的，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647333D8">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中的大写金额与小写金额不一致的，以大写金额为准；</w:t>
      </w:r>
    </w:p>
    <w:p w14:paraId="468F7B58">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总价金额与单价金额不一致的，以单价金额为准，但单价金额小数点有明显错误的除外；</w:t>
      </w:r>
    </w:p>
    <w:p w14:paraId="1BF8D43E">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p>
    <w:p w14:paraId="23653BE4">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发现</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的报价明显低于其他</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，使得其</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可能低于其个别成本的，应当要求该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作出书面说明并提供相应的证明材料。</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不能合理说明或者不能提供相应证明材料的，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应当认定该</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以低于成本报价竞标，并否决其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6E1204BA">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的澄清</w:t>
      </w:r>
    </w:p>
    <w:p w14:paraId="2A5A13D4">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评审过程</w:t>
      </w:r>
      <w:r>
        <w:rPr>
          <w:rFonts w:hint="eastAsia" w:ascii="仿宋" w:hAnsi="仿宋" w:eastAsia="仿宋" w:cs="仿宋"/>
          <w:color w:val="auto"/>
          <w:sz w:val="32"/>
          <w:szCs w:val="32"/>
          <w:highlight w:val="none"/>
        </w:rPr>
        <w:t>中，</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可以书面形式要求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中含义不明确、对同类问题表述不一致或者有明显文字和计算错误的内容作必要的澄清、说明或补正。澄清、说明或补正应以书面方式进行。</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不接受</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主动提出的澄清、说明或补正。</w:t>
      </w:r>
    </w:p>
    <w:p w14:paraId="5C64F139">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澄清、说明或补正不得超出</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的范围且不得改变</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的实质性内容，并构成</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的组成部分。</w:t>
      </w:r>
    </w:p>
    <w:p w14:paraId="22A4D1D9">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提交的澄清、说明或补正有疑问的，可以要求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进一步澄清、说明或补正，直至满足</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的要求。</w:t>
      </w:r>
    </w:p>
    <w:p w14:paraId="03931DDE">
      <w:pPr>
        <w:pStyle w:val="4"/>
        <w:keepNext w:val="0"/>
        <w:keepLines w:val="0"/>
        <w:pageBreakBefore w:val="0"/>
        <w:widowControl w:val="0"/>
        <w:shd w:val="clear"/>
        <w:kinsoku/>
        <w:wordWrap/>
        <w:overflowPunct w:val="0"/>
        <w:topLinePunct w:val="0"/>
        <w:autoSpaceDE/>
        <w:autoSpaceDN/>
        <w:bidi w:val="0"/>
        <w:adjustRightInd/>
        <w:snapToGrid/>
        <w:spacing w:before="0" w:after="0" w:line="52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lang w:eastAsia="zh-CN"/>
        </w:rPr>
        <w:t>）评审结果</w:t>
      </w:r>
    </w:p>
    <w:p w14:paraId="03EF00FA">
      <w:pPr>
        <w:keepNext w:val="0"/>
        <w:keepLines w:val="0"/>
        <w:pageBreakBefore w:val="0"/>
        <w:widowControl w:val="0"/>
        <w:shd w:val="clear"/>
        <w:kinsoku/>
        <w:wordWrap/>
        <w:overflowPunct w:val="0"/>
        <w:topLinePunct w:val="0"/>
        <w:autoSpaceDE/>
        <w:autoSpaceDN/>
        <w:bidi w:val="0"/>
        <w:adjustRightInd/>
        <w:snapToGrid/>
        <w:spacing w:line="520" w:lineRule="exact"/>
        <w:ind w:firstLine="640" w:firstLineChars="200"/>
        <w:jc w:val="both"/>
        <w:textAlignment w:val="auto"/>
        <w:rPr>
          <w:rFonts w:hint="eastAsia"/>
        </w:rPr>
      </w:pP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lang w:val="en-US" w:eastAsia="zh-CN"/>
        </w:rPr>
        <w:t>根据采购文件规定的评审办法</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lang w:val="en-US" w:eastAsia="zh-CN"/>
        </w:rPr>
        <w:t>价格由</w:t>
      </w:r>
      <w:r>
        <w:rPr>
          <w:rFonts w:hint="eastAsia" w:ascii="仿宋" w:hAnsi="仿宋" w:eastAsia="仿宋" w:cs="仿宋"/>
          <w:color w:val="auto"/>
          <w:sz w:val="32"/>
          <w:szCs w:val="32"/>
          <w:highlight w:val="none"/>
        </w:rPr>
        <w:t>低</w:t>
      </w:r>
      <w:r>
        <w:rPr>
          <w:rFonts w:hint="eastAsia" w:ascii="仿宋" w:hAnsi="仿宋" w:eastAsia="仿宋" w:cs="仿宋"/>
          <w:color w:val="auto"/>
          <w:sz w:val="32"/>
          <w:szCs w:val="32"/>
          <w:highlight w:val="none"/>
          <w:lang w:val="en-US" w:eastAsia="zh-CN"/>
        </w:rPr>
        <w:t>到高</w:t>
      </w:r>
      <w:r>
        <w:rPr>
          <w:rFonts w:hint="eastAsia" w:ascii="仿宋" w:hAnsi="仿宋" w:eastAsia="仿宋" w:cs="仿宋"/>
          <w:color w:val="auto"/>
          <w:sz w:val="32"/>
          <w:szCs w:val="32"/>
          <w:highlight w:val="none"/>
        </w:rPr>
        <w:t>的顺序推荐</w:t>
      </w:r>
      <w:r>
        <w:rPr>
          <w:rFonts w:hint="eastAsia" w:ascii="仿宋" w:hAnsi="仿宋" w:eastAsia="仿宋" w:cs="仿宋"/>
          <w:color w:val="auto"/>
          <w:sz w:val="32"/>
          <w:szCs w:val="32"/>
          <w:highlight w:val="none"/>
          <w:lang w:eastAsia="zh-CN"/>
        </w:rPr>
        <w:t>成交候选人</w:t>
      </w:r>
      <w:r>
        <w:rPr>
          <w:rFonts w:hint="eastAsia" w:ascii="仿宋" w:hAnsi="仿宋" w:eastAsia="仿宋" w:cs="仿宋"/>
          <w:color w:val="auto"/>
          <w:sz w:val="32"/>
          <w:szCs w:val="32"/>
          <w:highlight w:val="none"/>
        </w:rPr>
        <w:t>。</w:t>
      </w:r>
    </w:p>
    <w:p w14:paraId="5CA71778">
      <w:pPr>
        <w:pStyle w:val="3"/>
        <w:keepNext w:val="0"/>
        <w:keepLines w:val="0"/>
        <w:pageBreakBefore w:val="0"/>
        <w:kinsoku/>
        <w:wordWrap/>
        <w:overflowPunct w:val="0"/>
        <w:topLinePunct w:val="0"/>
        <w:autoSpaceDE/>
        <w:autoSpaceDN/>
        <w:bidi w:val="0"/>
        <w:adjustRightInd/>
        <w:snapToGrid/>
        <w:spacing w:before="0" w:after="0" w:line="560" w:lineRule="exac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5"/>
      <w:bookmarkEnd w:id="66"/>
      <w:bookmarkEnd w:id="67"/>
    </w:p>
    <w:p w14:paraId="707247BD">
      <w:pPr>
        <w:pStyle w:val="4"/>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bookmarkStart w:id="68" w:name="_Toc33795808"/>
      <w:bookmarkStart w:id="69" w:name="_Toc30852"/>
      <w:bookmarkStart w:id="70" w:name="_Toc21093"/>
      <w:bookmarkStart w:id="71" w:name="_Toc16094"/>
      <w:r>
        <w:rPr>
          <w:rFonts w:hint="eastAsia" w:ascii="仿宋" w:hAnsi="仿宋" w:eastAsia="仿宋" w:cs="仿宋"/>
          <w:sz w:val="32"/>
          <w:szCs w:val="32"/>
        </w:rPr>
        <w:t>（一）成交候选人公示</w:t>
      </w:r>
      <w:bookmarkEnd w:id="68"/>
      <w:bookmarkEnd w:id="69"/>
      <w:bookmarkEnd w:id="70"/>
      <w:bookmarkEnd w:id="71"/>
    </w:p>
    <w:p w14:paraId="013156DF">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72" w:name="_Toc10372"/>
      <w:bookmarkStart w:id="73" w:name="_Toc19079"/>
      <w:bookmarkStart w:id="74" w:name="_Toc33795809"/>
      <w:bookmarkStart w:id="75" w:name="_Toc7018"/>
      <w:r>
        <w:rPr>
          <w:rFonts w:hint="eastAsia" w:ascii="仿宋" w:hAnsi="仿宋" w:eastAsia="仿宋" w:cs="仿宋"/>
          <w:sz w:val="32"/>
          <w:szCs w:val="32"/>
        </w:rPr>
        <w:t>在陕西锌业有限公司网络采购平台www.sxxyjjpt.com公示成交候选人，公示期不少于3天。</w:t>
      </w:r>
    </w:p>
    <w:p w14:paraId="154EFE06">
      <w:pPr>
        <w:pStyle w:val="4"/>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2"/>
      <w:bookmarkEnd w:id="73"/>
      <w:bookmarkEnd w:id="74"/>
      <w:bookmarkEnd w:id="75"/>
    </w:p>
    <w:p w14:paraId="5BCB21B5">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6" w:name="_Toc152045561"/>
      <w:bookmarkStart w:id="77" w:name="_Toc352691505"/>
      <w:bookmarkStart w:id="78" w:name="_Toc247513985"/>
      <w:bookmarkStart w:id="79" w:name="_Toc144974529"/>
      <w:bookmarkStart w:id="80" w:name="_Toc247527586"/>
      <w:bookmarkStart w:id="81" w:name="_Toc30095"/>
      <w:bookmarkStart w:id="82" w:name="_Toc300834982"/>
      <w:bookmarkStart w:id="83" w:name="_Toc152042337"/>
      <w:bookmarkStart w:id="84" w:name="_Toc369531549"/>
      <w:bookmarkStart w:id="85" w:name="_Toc361508618"/>
      <w:bookmarkStart w:id="86" w:name="_Toc384308243"/>
      <w:r>
        <w:rPr>
          <w:rFonts w:hint="eastAsia" w:ascii="仿宋" w:hAnsi="仿宋" w:eastAsia="仿宋" w:cs="仿宋"/>
          <w:sz w:val="32"/>
          <w:szCs w:val="32"/>
        </w:rPr>
        <w:t>害关系人对</w:t>
      </w:r>
      <w:bookmarkEnd w:id="76"/>
      <w:bookmarkEnd w:id="77"/>
      <w:bookmarkEnd w:id="78"/>
      <w:bookmarkEnd w:id="79"/>
      <w:bookmarkEnd w:id="80"/>
      <w:bookmarkEnd w:id="81"/>
      <w:bookmarkEnd w:id="82"/>
      <w:bookmarkEnd w:id="83"/>
      <w:bookmarkEnd w:id="84"/>
      <w:bookmarkEnd w:id="85"/>
      <w:bookmarkEnd w:id="86"/>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4"/>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bookmarkStart w:id="87" w:name="_Toc33795810"/>
      <w:bookmarkStart w:id="88" w:name="_Toc28756"/>
      <w:bookmarkStart w:id="89" w:name="_Toc25590"/>
      <w:bookmarkStart w:id="90" w:name="_Toc21648"/>
      <w:r>
        <w:rPr>
          <w:rFonts w:hint="eastAsia" w:ascii="仿宋" w:hAnsi="仿宋" w:eastAsia="仿宋" w:cs="仿宋"/>
          <w:sz w:val="32"/>
          <w:szCs w:val="32"/>
        </w:rPr>
        <w:t>（三）成交候选人履约能力审查</w:t>
      </w:r>
      <w:bookmarkEnd w:id="87"/>
      <w:bookmarkEnd w:id="88"/>
      <w:bookmarkEnd w:id="89"/>
      <w:bookmarkEnd w:id="90"/>
    </w:p>
    <w:p w14:paraId="7B875033">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4"/>
        <w:keepNext w:val="0"/>
        <w:keepLines w:val="0"/>
        <w:pageBreakBefore w:val="0"/>
        <w:kinsoku/>
        <w:wordWrap/>
        <w:overflowPunct w:val="0"/>
        <w:topLinePunct w:val="0"/>
        <w:autoSpaceDE/>
        <w:autoSpaceDN/>
        <w:bidi w:val="0"/>
        <w:adjustRightInd/>
        <w:snapToGrid/>
        <w:spacing w:before="0" w:after="0" w:line="560" w:lineRule="exact"/>
        <w:ind w:left="0" w:firstLine="640" w:firstLineChars="200"/>
        <w:textAlignment w:val="auto"/>
        <w:rPr>
          <w:rFonts w:ascii="仿宋" w:hAnsi="仿宋" w:eastAsia="仿宋" w:cs="仿宋"/>
          <w:sz w:val="32"/>
          <w:szCs w:val="32"/>
        </w:rPr>
      </w:pPr>
      <w:bookmarkStart w:id="91" w:name="_Toc2191"/>
      <w:bookmarkStart w:id="92" w:name="_Toc19470"/>
      <w:bookmarkStart w:id="93" w:name="_Toc33795811"/>
      <w:bookmarkStart w:id="94" w:name="_Toc24665"/>
      <w:r>
        <w:rPr>
          <w:rFonts w:hint="eastAsia" w:ascii="仿宋" w:hAnsi="仿宋" w:eastAsia="仿宋" w:cs="仿宋"/>
          <w:sz w:val="32"/>
          <w:szCs w:val="32"/>
        </w:rPr>
        <w:t>（四）</w:t>
      </w:r>
      <w:bookmarkEnd w:id="91"/>
      <w:bookmarkEnd w:id="92"/>
      <w:bookmarkEnd w:id="93"/>
      <w:bookmarkEnd w:id="94"/>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0C40ED3C">
      <w:pPr>
        <w:pStyle w:val="4"/>
        <w:keepNext w:val="0"/>
        <w:keepLines w:val="0"/>
        <w:pageBreakBefore w:val="0"/>
        <w:widowControl w:val="0"/>
        <w:shd w:val="clear"/>
        <w:kinsoku/>
        <w:wordWrap/>
        <w:overflowPunct w:val="0"/>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color w:val="auto"/>
          <w:sz w:val="32"/>
          <w:szCs w:val="32"/>
          <w:highlight w:val="none"/>
        </w:rPr>
      </w:pPr>
      <w:bookmarkStart w:id="95" w:name="_Toc31681"/>
      <w:bookmarkStart w:id="96" w:name="_Toc33795812"/>
      <w:bookmarkStart w:id="97" w:name="_Toc6928"/>
      <w:bookmarkStart w:id="98" w:name="_Toc1081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通知</w:t>
      </w:r>
      <w:bookmarkEnd w:id="95"/>
      <w:bookmarkEnd w:id="96"/>
      <w:bookmarkEnd w:id="97"/>
      <w:bookmarkEnd w:id="98"/>
    </w:p>
    <w:p w14:paraId="0DB1B630">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内，</w:t>
      </w:r>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lang w:val="en-US" w:eastAsia="zh-CN"/>
        </w:rPr>
        <w:t>采购主责部门</w:t>
      </w:r>
      <w:r>
        <w:rPr>
          <w:rFonts w:hint="eastAsia" w:ascii="仿宋" w:hAnsi="仿宋" w:eastAsia="仿宋" w:cs="仿宋"/>
          <w:color w:val="auto"/>
          <w:sz w:val="32"/>
          <w:szCs w:val="32"/>
          <w:highlight w:val="none"/>
        </w:rPr>
        <w:t>向</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人发出</w:t>
      </w:r>
      <w:bookmarkStart w:id="99" w:name="_Toc352691506"/>
      <w:bookmarkStart w:id="100" w:name="_Toc5668"/>
      <w:bookmarkStart w:id="101" w:name="_Toc361508619"/>
      <w:bookmarkStart w:id="102" w:name="_Toc384308244"/>
      <w:bookmarkStart w:id="103" w:name="_Toc369531550"/>
      <w:bookmarkStart w:id="104" w:name="_Toc300834983"/>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通知</w:t>
      </w:r>
      <w:bookmarkEnd w:id="99"/>
      <w:bookmarkEnd w:id="100"/>
      <w:bookmarkEnd w:id="101"/>
      <w:bookmarkEnd w:id="102"/>
      <w:bookmarkEnd w:id="103"/>
      <w:bookmarkEnd w:id="104"/>
      <w:r>
        <w:rPr>
          <w:rFonts w:hint="eastAsia" w:ascii="仿宋" w:hAnsi="仿宋" w:eastAsia="仿宋" w:cs="仿宋"/>
          <w:color w:val="auto"/>
          <w:sz w:val="32"/>
          <w:szCs w:val="32"/>
          <w:highlight w:val="none"/>
          <w:lang w:eastAsia="zh-CN"/>
        </w:rPr>
        <w:t>。</w:t>
      </w:r>
    </w:p>
    <w:p w14:paraId="62FC62D5">
      <w:pPr>
        <w:pStyle w:val="4"/>
        <w:keepNext w:val="0"/>
        <w:keepLines w:val="0"/>
        <w:pageBreakBefore w:val="0"/>
        <w:widowControl w:val="0"/>
        <w:shd w:val="clear"/>
        <w:kinsoku/>
        <w:wordWrap/>
        <w:overflowPunct w:val="0"/>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color w:val="auto"/>
          <w:sz w:val="32"/>
          <w:szCs w:val="32"/>
          <w:highlight w:val="none"/>
        </w:rPr>
      </w:pPr>
      <w:bookmarkStart w:id="105" w:name="_Toc21613"/>
      <w:bookmarkStart w:id="106" w:name="_Toc33795813"/>
      <w:bookmarkStart w:id="107" w:name="_Toc30705"/>
      <w:bookmarkStart w:id="108" w:name="_Toc43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履约担保</w:t>
      </w:r>
      <w:bookmarkEnd w:id="105"/>
      <w:bookmarkEnd w:id="106"/>
      <w:bookmarkEnd w:id="107"/>
      <w:bookmarkEnd w:id="108"/>
    </w:p>
    <w:p w14:paraId="7674C855">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人应</w:t>
      </w:r>
      <w:r>
        <w:rPr>
          <w:rFonts w:hint="eastAsia" w:ascii="仿宋" w:hAnsi="仿宋" w:eastAsia="仿宋" w:cs="仿宋"/>
          <w:color w:val="auto"/>
          <w:sz w:val="32"/>
          <w:szCs w:val="32"/>
          <w:highlight w:val="none"/>
          <w:lang w:val="en-US" w:eastAsia="zh-CN"/>
        </w:rPr>
        <w:t>按合同金额的10%以担保函或转账形式在收到成交通知后5日内</w:t>
      </w:r>
      <w:r>
        <w:rPr>
          <w:rFonts w:hint="eastAsia" w:ascii="仿宋" w:hAnsi="仿宋" w:eastAsia="仿宋" w:cs="仿宋"/>
          <w:color w:val="auto"/>
          <w:sz w:val="32"/>
          <w:szCs w:val="32"/>
          <w:highlight w:val="none"/>
        </w:rPr>
        <w:t>向</w:t>
      </w:r>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rPr>
        <w:t>提交履约担保。</w:t>
      </w:r>
    </w:p>
    <w:p w14:paraId="4240F2D8">
      <w:pPr>
        <w:pStyle w:val="4"/>
        <w:keepNext w:val="0"/>
        <w:keepLines w:val="0"/>
        <w:pageBreakBefore w:val="0"/>
        <w:widowControl w:val="0"/>
        <w:shd w:val="clear"/>
        <w:kinsoku/>
        <w:wordWrap/>
        <w:overflowPunct w:val="0"/>
        <w:topLinePunct w:val="0"/>
        <w:autoSpaceDE/>
        <w:autoSpaceDN/>
        <w:bidi w:val="0"/>
        <w:adjustRightInd/>
        <w:snapToGrid/>
        <w:spacing w:before="0" w:after="0" w:line="56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人不能按</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rPr>
        <w:t>要求提交履约担保的，视为放弃</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，其</w:t>
      </w:r>
      <w:r>
        <w:rPr>
          <w:rFonts w:hint="eastAsia" w:ascii="仿宋" w:hAnsi="仿宋" w:eastAsia="仿宋" w:cs="仿宋"/>
          <w:color w:val="auto"/>
          <w:sz w:val="32"/>
          <w:szCs w:val="32"/>
          <w:highlight w:val="none"/>
          <w:lang w:eastAsia="zh-CN"/>
        </w:rPr>
        <w:t>响应保证金</w:t>
      </w:r>
      <w:r>
        <w:rPr>
          <w:rFonts w:hint="eastAsia" w:ascii="仿宋" w:hAnsi="仿宋" w:eastAsia="仿宋" w:cs="仿宋"/>
          <w:color w:val="auto"/>
          <w:sz w:val="32"/>
          <w:szCs w:val="32"/>
          <w:highlight w:val="none"/>
        </w:rPr>
        <w:t>不予退还，给</w:t>
      </w:r>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rPr>
        <w:t>造成的损失超</w:t>
      </w:r>
      <w:r>
        <w:rPr>
          <w:rFonts w:hint="eastAsia" w:ascii="仿宋" w:hAnsi="仿宋" w:eastAsia="仿宋" w:cs="仿宋"/>
          <w:color w:val="auto"/>
          <w:sz w:val="32"/>
          <w:szCs w:val="32"/>
          <w:highlight w:val="none"/>
          <w:lang w:val="en-US" w:eastAsia="zh-CN"/>
        </w:rPr>
        <w:t>出</w:t>
      </w:r>
      <w:r>
        <w:rPr>
          <w:rFonts w:hint="eastAsia" w:ascii="仿宋" w:hAnsi="仿宋" w:eastAsia="仿宋" w:cs="仿宋"/>
          <w:color w:val="auto"/>
          <w:sz w:val="32"/>
          <w:szCs w:val="32"/>
          <w:highlight w:val="none"/>
          <w:lang w:eastAsia="zh-CN"/>
        </w:rPr>
        <w:t>响应保证金</w:t>
      </w:r>
      <w:r>
        <w:rPr>
          <w:rFonts w:hint="eastAsia" w:ascii="仿宋" w:hAnsi="仿宋" w:eastAsia="仿宋" w:cs="仿宋"/>
          <w:color w:val="auto"/>
          <w:sz w:val="32"/>
          <w:szCs w:val="32"/>
          <w:highlight w:val="none"/>
        </w:rPr>
        <w:t>数额的，</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人还应当对超</w:t>
      </w:r>
      <w:r>
        <w:rPr>
          <w:rFonts w:hint="eastAsia" w:ascii="仿宋" w:hAnsi="仿宋" w:eastAsia="仿宋" w:cs="仿宋"/>
          <w:color w:val="auto"/>
          <w:sz w:val="32"/>
          <w:szCs w:val="32"/>
          <w:highlight w:val="none"/>
          <w:lang w:val="en-US" w:eastAsia="zh-CN"/>
        </w:rPr>
        <w:t>出</w:t>
      </w:r>
      <w:r>
        <w:rPr>
          <w:rFonts w:hint="eastAsia" w:ascii="仿宋" w:hAnsi="仿宋" w:eastAsia="仿宋" w:cs="仿宋"/>
          <w:color w:val="auto"/>
          <w:sz w:val="32"/>
          <w:szCs w:val="32"/>
          <w:highlight w:val="none"/>
        </w:rPr>
        <w:t>部分予以赔偿。</w:t>
      </w:r>
    </w:p>
    <w:p w14:paraId="5DA7739A">
      <w:pPr>
        <w:pStyle w:val="4"/>
        <w:keepNext w:val="0"/>
        <w:keepLines w:val="0"/>
        <w:pageBreakBefore w:val="0"/>
        <w:kinsoku/>
        <w:wordWrap/>
        <w:overflowPunct w:val="0"/>
        <w:topLinePunct w:val="0"/>
        <w:autoSpaceDE/>
        <w:autoSpaceDN/>
        <w:bidi w:val="0"/>
        <w:adjustRightInd/>
        <w:snapToGrid/>
        <w:spacing w:before="0" w:after="0" w:line="560" w:lineRule="exact"/>
        <w:ind w:left="0" w:leftChars="0" w:firstLine="640" w:firstLineChars="200"/>
        <w:textAlignment w:val="auto"/>
        <w:rPr>
          <w:rFonts w:ascii="仿宋" w:hAnsi="仿宋" w:eastAsia="仿宋" w:cs="仿宋"/>
          <w:sz w:val="32"/>
          <w:szCs w:val="32"/>
        </w:rPr>
      </w:pPr>
      <w:bookmarkStart w:id="109" w:name="_Toc14362"/>
      <w:bookmarkStart w:id="110" w:name="_Toc33795814"/>
      <w:bookmarkStart w:id="111" w:name="_Toc3671"/>
      <w:bookmarkStart w:id="112" w:name="_Toc11183"/>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）签订合同</w:t>
      </w:r>
      <w:bookmarkEnd w:id="109"/>
      <w:bookmarkEnd w:id="110"/>
      <w:bookmarkEnd w:id="111"/>
      <w:bookmarkEnd w:id="112"/>
    </w:p>
    <w:p w14:paraId="2A313B60">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bookmarkStart w:id="113" w:name="_Toc384308252"/>
      <w:bookmarkStart w:id="114" w:name="_Toc361508627"/>
      <w:bookmarkStart w:id="115" w:name="_Toc24067"/>
      <w:r>
        <w:rPr>
          <w:rFonts w:hint="eastAsia" w:ascii="仿宋" w:hAnsi="仿宋" w:eastAsia="仿宋" w:cs="仿宋"/>
          <w:sz w:val="32"/>
          <w:szCs w:val="32"/>
        </w:rPr>
        <w:t>1.采购人和成交供应商应当在响应有效期内，且在收到成交通知之日起</w:t>
      </w:r>
      <w:bookmarkStart w:id="116" w:name="_Toc300834986"/>
      <w:bookmarkStart w:id="117" w:name="_Toc152045564"/>
      <w:bookmarkStart w:id="118" w:name="_Toc144974532"/>
      <w:bookmarkStart w:id="119" w:name="_Toc369531553"/>
      <w:bookmarkStart w:id="120" w:name="_Toc384308247"/>
      <w:bookmarkStart w:id="121" w:name="_Toc4656"/>
      <w:bookmarkStart w:id="122" w:name="_Toc152042340"/>
      <w:bookmarkStart w:id="123" w:name="_Toc247527589"/>
      <w:bookmarkStart w:id="124" w:name="_Toc247513988"/>
      <w:bookmarkStart w:id="125" w:name="_Toc352691509"/>
      <w:bookmarkStart w:id="126" w:name="_Toc361508622"/>
      <w:r>
        <w:rPr>
          <w:rFonts w:hint="eastAsia" w:ascii="仿宋" w:hAnsi="仿宋" w:eastAsia="仿宋" w:cs="仿宋"/>
          <w:sz w:val="32"/>
          <w:szCs w:val="32"/>
        </w:rPr>
        <w:t>7日内，根据</w:t>
      </w:r>
      <w:bookmarkEnd w:id="116"/>
      <w:bookmarkEnd w:id="117"/>
      <w:bookmarkEnd w:id="118"/>
      <w:bookmarkEnd w:id="119"/>
      <w:bookmarkEnd w:id="120"/>
      <w:bookmarkEnd w:id="121"/>
      <w:bookmarkEnd w:id="122"/>
      <w:bookmarkEnd w:id="123"/>
      <w:bookmarkEnd w:id="124"/>
      <w:bookmarkEnd w:id="125"/>
      <w:bookmarkEnd w:id="126"/>
      <w:r>
        <w:rPr>
          <w:rFonts w:hint="eastAsia" w:ascii="仿宋" w:hAnsi="仿宋" w:eastAsia="仿宋" w:cs="仿宋"/>
          <w:sz w:val="32"/>
          <w:szCs w:val="32"/>
        </w:rPr>
        <w:t>询比采购文件和成交人的响应文件订立书面合同。成交人无正</w:t>
      </w:r>
      <w:bookmarkStart w:id="127" w:name="_Toc384308248"/>
      <w:bookmarkStart w:id="128" w:name="_Toc300834987"/>
      <w:bookmarkStart w:id="129" w:name="_Toc152045565"/>
      <w:bookmarkStart w:id="130" w:name="_Toc152042341"/>
      <w:bookmarkStart w:id="131" w:name="_Toc361508623"/>
      <w:bookmarkStart w:id="132" w:name="_Toc18247"/>
      <w:bookmarkStart w:id="133" w:name="_Toc247513989"/>
      <w:bookmarkStart w:id="134" w:name="_Toc369531554"/>
      <w:bookmarkStart w:id="135" w:name="_Toc247527590"/>
      <w:bookmarkStart w:id="136" w:name="_Toc144974533"/>
      <w:bookmarkStart w:id="137" w:name="_Toc352691510"/>
      <w:r>
        <w:rPr>
          <w:rFonts w:hint="eastAsia" w:ascii="仿宋" w:hAnsi="仿宋" w:eastAsia="仿宋" w:cs="仿宋"/>
          <w:sz w:val="32"/>
          <w:szCs w:val="32"/>
        </w:rPr>
        <w:t>当理由拒签合</w:t>
      </w:r>
      <w:bookmarkEnd w:id="127"/>
      <w:bookmarkEnd w:id="128"/>
      <w:bookmarkEnd w:id="129"/>
      <w:bookmarkEnd w:id="130"/>
      <w:bookmarkEnd w:id="131"/>
      <w:bookmarkEnd w:id="132"/>
      <w:bookmarkEnd w:id="133"/>
      <w:bookmarkEnd w:id="134"/>
      <w:bookmarkEnd w:id="135"/>
      <w:bookmarkEnd w:id="136"/>
      <w:bookmarkEnd w:id="137"/>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5E182767">
      <w:pPr>
        <w:keepNext w:val="0"/>
        <w:keepLines w:val="0"/>
        <w:pageBreakBefore w:val="0"/>
        <w:kinsoku/>
        <w:wordWrap/>
        <w:overflowPunct w:val="0"/>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bookmarkEnd w:id="113"/>
      <w:bookmarkEnd w:id="114"/>
      <w:bookmarkEnd w:id="115"/>
    </w:p>
    <w:p w14:paraId="14AA1C27">
      <w:pPr>
        <w:pStyle w:val="3"/>
        <w:keepNext w:val="0"/>
        <w:keepLines w:val="0"/>
        <w:pageBreakBefore w:val="0"/>
        <w:widowControl w:val="0"/>
        <w:shd w:val="clear"/>
        <w:kinsoku/>
        <w:wordWrap/>
        <w:overflowPunct w:val="0"/>
        <w:topLinePunct w:val="0"/>
        <w:autoSpaceDE/>
        <w:autoSpaceDN/>
        <w:bidi w:val="0"/>
        <w:adjustRightInd/>
        <w:snapToGrid/>
        <w:spacing w:before="0" w:after="0" w:line="560" w:lineRule="exact"/>
        <w:ind w:left="0"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纪律和监督</w:t>
      </w:r>
    </w:p>
    <w:p w14:paraId="53CAF616">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不得相互串通</w:t>
      </w:r>
      <w:r>
        <w:rPr>
          <w:rFonts w:hint="eastAsia" w:ascii="仿宋" w:hAnsi="仿宋" w:eastAsia="仿宋" w:cs="仿宋"/>
          <w:color w:val="auto"/>
          <w:sz w:val="32"/>
          <w:szCs w:val="32"/>
          <w:highlight w:val="none"/>
          <w:lang w:val="en-US" w:eastAsia="zh-CN"/>
        </w:rPr>
        <w:t>投标</w:t>
      </w:r>
      <w:r>
        <w:rPr>
          <w:rFonts w:hint="eastAsia" w:ascii="仿宋" w:hAnsi="仿宋" w:eastAsia="仿宋" w:cs="仿宋"/>
          <w:color w:val="auto"/>
          <w:sz w:val="32"/>
          <w:szCs w:val="32"/>
          <w:highlight w:val="none"/>
        </w:rPr>
        <w:t>或者与</w:t>
      </w:r>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rPr>
        <w:t>串通</w:t>
      </w:r>
      <w:r>
        <w:rPr>
          <w:rFonts w:hint="eastAsia" w:ascii="仿宋" w:hAnsi="仿宋" w:eastAsia="仿宋" w:cs="仿宋"/>
          <w:color w:val="auto"/>
          <w:sz w:val="32"/>
          <w:szCs w:val="32"/>
          <w:highlight w:val="none"/>
          <w:lang w:eastAsia="zh-CN"/>
        </w:rPr>
        <w:t>投标</w:t>
      </w:r>
      <w:r>
        <w:rPr>
          <w:rFonts w:hint="eastAsia" w:ascii="仿宋" w:hAnsi="仿宋" w:eastAsia="仿宋" w:cs="仿宋"/>
          <w:color w:val="auto"/>
          <w:sz w:val="32"/>
          <w:szCs w:val="32"/>
          <w:highlight w:val="none"/>
        </w:rPr>
        <w:t>，不得向</w:t>
      </w:r>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rPr>
        <w:t>或者</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成员行贿谋取</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，不得以他人名义</w:t>
      </w:r>
      <w:r>
        <w:rPr>
          <w:rFonts w:hint="eastAsia" w:ascii="仿宋" w:hAnsi="仿宋" w:eastAsia="仿宋" w:cs="仿宋"/>
          <w:color w:val="auto"/>
          <w:sz w:val="32"/>
          <w:szCs w:val="32"/>
          <w:highlight w:val="none"/>
          <w:lang w:eastAsia="zh-CN"/>
        </w:rPr>
        <w:t>投标</w:t>
      </w:r>
      <w:r>
        <w:rPr>
          <w:rFonts w:hint="eastAsia" w:ascii="仿宋" w:hAnsi="仿宋" w:eastAsia="仿宋" w:cs="仿宋"/>
          <w:color w:val="auto"/>
          <w:sz w:val="32"/>
          <w:szCs w:val="32"/>
          <w:highlight w:val="none"/>
        </w:rPr>
        <w:t>或者以其他方式弄虚作假骗取</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不得以任何方式干扰、影响评标工作。</w:t>
      </w:r>
    </w:p>
    <w:p w14:paraId="103C8FC4">
      <w:pPr>
        <w:keepNext w:val="0"/>
        <w:keepLines w:val="0"/>
        <w:pageBreakBefore w:val="0"/>
        <w:widowControl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成员</w:t>
      </w:r>
      <w:r>
        <w:rPr>
          <w:rFonts w:hint="eastAsia" w:ascii="仿宋" w:hAnsi="仿宋" w:eastAsia="仿宋" w:cs="仿宋"/>
          <w:color w:val="auto"/>
          <w:sz w:val="32"/>
          <w:szCs w:val="32"/>
          <w:highlight w:val="none"/>
          <w:lang w:val="en-US" w:eastAsia="zh-CN"/>
        </w:rPr>
        <w:t>及相关工作人员</w:t>
      </w:r>
      <w:r>
        <w:rPr>
          <w:rFonts w:hint="eastAsia" w:ascii="仿宋" w:hAnsi="仿宋" w:eastAsia="仿宋" w:cs="仿宋"/>
          <w:color w:val="auto"/>
          <w:sz w:val="32"/>
          <w:szCs w:val="32"/>
          <w:highlight w:val="none"/>
        </w:rPr>
        <w:t>不得收受他人的财物或者其他好处，不得向他人透露对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的评审和比较、</w:t>
      </w:r>
      <w:r>
        <w:rPr>
          <w:rFonts w:hint="eastAsia" w:ascii="仿宋" w:hAnsi="仿宋" w:eastAsia="仿宋" w:cs="仿宋"/>
          <w:color w:val="auto"/>
          <w:sz w:val="32"/>
          <w:szCs w:val="32"/>
          <w:highlight w:val="none"/>
          <w:lang w:eastAsia="zh-CN"/>
        </w:rPr>
        <w:t>成交候选人</w:t>
      </w:r>
      <w:r>
        <w:rPr>
          <w:rFonts w:hint="eastAsia" w:ascii="仿宋" w:hAnsi="仿宋" w:eastAsia="仿宋" w:cs="仿宋"/>
          <w:color w:val="auto"/>
          <w:sz w:val="32"/>
          <w:szCs w:val="32"/>
          <w:highlight w:val="none"/>
        </w:rPr>
        <w:t>的推荐情况以及评标有关的其他情况。在</w:t>
      </w:r>
      <w:r>
        <w:rPr>
          <w:rFonts w:hint="eastAsia" w:ascii="仿宋" w:hAnsi="仿宋" w:eastAsia="仿宋" w:cs="仿宋"/>
          <w:color w:val="auto"/>
          <w:sz w:val="32"/>
          <w:szCs w:val="32"/>
          <w:highlight w:val="none"/>
          <w:lang w:eastAsia="zh-CN"/>
        </w:rPr>
        <w:t>评审活动</w:t>
      </w:r>
      <w:r>
        <w:rPr>
          <w:rFonts w:hint="eastAsia" w:ascii="仿宋" w:hAnsi="仿宋" w:eastAsia="仿宋" w:cs="仿宋"/>
          <w:color w:val="auto"/>
          <w:sz w:val="32"/>
          <w:szCs w:val="32"/>
          <w:highlight w:val="none"/>
        </w:rPr>
        <w:t>中，</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成员应当客观、公正地履行职责，遵守职业道德，不得擅离职守，影响评</w:t>
      </w:r>
      <w:r>
        <w:rPr>
          <w:rFonts w:hint="eastAsia" w:ascii="仿宋" w:hAnsi="仿宋" w:eastAsia="仿宋" w:cs="仿宋"/>
          <w:color w:val="auto"/>
          <w:sz w:val="32"/>
          <w:szCs w:val="32"/>
          <w:highlight w:val="none"/>
          <w:lang w:val="en-US" w:eastAsia="zh-CN"/>
        </w:rPr>
        <w:t>审</w:t>
      </w:r>
      <w:r>
        <w:rPr>
          <w:rFonts w:hint="eastAsia" w:ascii="仿宋" w:hAnsi="仿宋" w:eastAsia="仿宋" w:cs="仿宋"/>
          <w:color w:val="auto"/>
          <w:sz w:val="32"/>
          <w:szCs w:val="32"/>
          <w:highlight w:val="none"/>
        </w:rPr>
        <w:t>程序正常进行，不得使用“</w:t>
      </w:r>
      <w:r>
        <w:rPr>
          <w:rFonts w:hint="eastAsia" w:ascii="仿宋" w:hAnsi="仿宋" w:eastAsia="仿宋" w:cs="仿宋"/>
          <w:color w:val="auto"/>
          <w:sz w:val="32"/>
          <w:szCs w:val="32"/>
          <w:highlight w:val="none"/>
          <w:lang w:eastAsia="zh-CN"/>
        </w:rPr>
        <w:t>评审办法</w:t>
      </w:r>
      <w:r>
        <w:rPr>
          <w:rFonts w:hint="eastAsia" w:ascii="仿宋" w:hAnsi="仿宋" w:eastAsia="仿宋" w:cs="仿宋"/>
          <w:color w:val="auto"/>
          <w:sz w:val="32"/>
          <w:szCs w:val="32"/>
          <w:highlight w:val="none"/>
        </w:rPr>
        <w:t>”没有规定的评审因素和标准进行评</w:t>
      </w:r>
      <w:r>
        <w:rPr>
          <w:rFonts w:hint="eastAsia" w:ascii="仿宋" w:hAnsi="仿宋" w:eastAsia="仿宋" w:cs="仿宋"/>
          <w:color w:val="auto"/>
          <w:sz w:val="32"/>
          <w:szCs w:val="32"/>
          <w:highlight w:val="none"/>
          <w:lang w:val="en-US" w:eastAsia="zh-CN"/>
        </w:rPr>
        <w:t>审</w:t>
      </w:r>
      <w:r>
        <w:rPr>
          <w:rFonts w:hint="eastAsia" w:ascii="仿宋" w:hAnsi="仿宋" w:eastAsia="仿宋" w:cs="仿宋"/>
          <w:color w:val="auto"/>
          <w:sz w:val="32"/>
          <w:szCs w:val="32"/>
          <w:highlight w:val="none"/>
        </w:rPr>
        <w:t>。</w:t>
      </w:r>
    </w:p>
    <w:p w14:paraId="1737B20D">
      <w:pPr>
        <w:pStyle w:val="4"/>
        <w:keepNext w:val="0"/>
        <w:keepLines w:val="0"/>
        <w:pageBreakBefore w:val="0"/>
        <w:widowControl w:val="0"/>
        <w:numPr>
          <w:ilvl w:val="0"/>
          <w:numId w:val="0"/>
        </w:numPr>
        <w:shd w:val="clear"/>
        <w:kinsoku/>
        <w:wordWrap/>
        <w:overflowPunct w:val="0"/>
        <w:topLinePunct w:val="0"/>
        <w:autoSpaceDE/>
        <w:autoSpaceDN/>
        <w:bidi w:val="0"/>
        <w:adjustRightInd/>
        <w:snapToGrid/>
        <w:spacing w:before="0" w:after="0" w:line="5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（三）异议</w:t>
      </w:r>
    </w:p>
    <w:p w14:paraId="103D7F6A">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FCC5349">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0FAFD5A2">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00F3F708">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5A9633E3">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68025B07">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79B65409">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1532D691">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4AB9D034">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6DD38566">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4F195DAB">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hint="eastAsia" w:ascii="仿宋" w:hAnsi="仿宋" w:eastAsia="仿宋" w:cs="仿宋"/>
          <w:color w:val="auto"/>
          <w:kern w:val="0"/>
          <w:sz w:val="32"/>
          <w:szCs w:val="32"/>
          <w:highlight w:val="none"/>
          <w:lang w:val="en-US" w:eastAsia="zh-CN" w:bidi="ar"/>
        </w:rPr>
      </w:pPr>
    </w:p>
    <w:p w14:paraId="6BB3D603">
      <w:pPr>
        <w:keepNext w:val="0"/>
        <w:keepLines w:val="0"/>
        <w:pageBreakBefore w:val="0"/>
        <w:widowControl w:val="0"/>
        <w:suppressLineNumbers w:val="0"/>
        <w:shd w:val="clear"/>
        <w:kinsoku/>
        <w:wordWrap/>
        <w:overflowPunct w:val="0"/>
        <w:topLinePunct w:val="0"/>
        <w:autoSpaceDE/>
        <w:autoSpaceDN/>
        <w:bidi w:val="0"/>
        <w:adjustRightInd/>
        <w:snapToGrid/>
        <w:spacing w:line="560" w:lineRule="exact"/>
        <w:ind w:left="0" w:firstLine="4800" w:firstLineChars="1500"/>
        <w:jc w:val="both"/>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60" w:lineRule="exact"/>
        <w:ind w:left="0" w:firstLine="4800" w:firstLineChars="1500"/>
        <w:textAlignment w:val="auto"/>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sectPr>
      <w:pgSz w:w="11906" w:h="16838"/>
      <w:pgMar w:top="1440"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0261A8-EBF9-4D15-9BAD-908C23CF42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6E1EE4C3-D9C0-4B2E-950E-EE2AB8901933}"/>
  </w:font>
  <w:font w:name="方正小标宋简体">
    <w:panose1 w:val="02000000000000000000"/>
    <w:charset w:val="86"/>
    <w:family w:val="auto"/>
    <w:pitch w:val="default"/>
    <w:sig w:usb0="00000001" w:usb1="08000000" w:usb2="00000000" w:usb3="00000000" w:csb0="00040000" w:csb1="00000000"/>
    <w:embedRegular r:id="rId3" w:fontKey="{FFF413EF-12FB-4A5D-B56F-B526BF724E1C}"/>
  </w:font>
  <w:font w:name="仿宋_GB2312">
    <w:altName w:val="仿宋"/>
    <w:panose1 w:val="02010609030101010101"/>
    <w:charset w:val="86"/>
    <w:family w:val="auto"/>
    <w:pitch w:val="default"/>
    <w:sig w:usb0="00000000" w:usb1="00000000" w:usb2="00000000" w:usb3="00000000" w:csb0="00040000" w:csb1="00000000"/>
    <w:embedRegular r:id="rId4" w:fontKey="{E80C5F99-8AB4-48F9-81ED-835629D85FF9}"/>
  </w:font>
  <w:font w:name="微软雅黑">
    <w:panose1 w:val="020B0503020204020204"/>
    <w:charset w:val="86"/>
    <w:family w:val="swiss"/>
    <w:pitch w:val="default"/>
    <w:sig w:usb0="80000287" w:usb1="2ACF3C50" w:usb2="00000016" w:usb3="00000000" w:csb0="0004001F" w:csb1="00000000"/>
    <w:embedRegular r:id="rId5" w:fontKey="{77DC8A9A-7491-4E85-80CA-2582D680AEF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F801F"/>
    <w:multiLevelType w:val="singleLevel"/>
    <w:tmpl w:val="DA5F801F"/>
    <w:lvl w:ilvl="0" w:tentative="0">
      <w:start w:val="5"/>
      <w:numFmt w:val="chineseCounting"/>
      <w:suff w:val="nothing"/>
      <w:lvlText w:val="%1、"/>
      <w:lvlJc w:val="left"/>
      <w:rPr>
        <w:rFonts w:hint="eastAsia"/>
      </w:rPr>
    </w:lvl>
  </w:abstractNum>
  <w:abstractNum w:abstractNumId="1">
    <w:nsid w:val="5739B6B5"/>
    <w:multiLevelType w:val="singleLevel"/>
    <w:tmpl w:val="5739B6B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2B01361"/>
    <w:rsid w:val="03E45C50"/>
    <w:rsid w:val="040D7FEA"/>
    <w:rsid w:val="04683B1B"/>
    <w:rsid w:val="04A863CB"/>
    <w:rsid w:val="051379D8"/>
    <w:rsid w:val="05814B03"/>
    <w:rsid w:val="05BE40FB"/>
    <w:rsid w:val="06141C07"/>
    <w:rsid w:val="06846D8D"/>
    <w:rsid w:val="076A5F83"/>
    <w:rsid w:val="07720B9B"/>
    <w:rsid w:val="083245C7"/>
    <w:rsid w:val="08D00E36"/>
    <w:rsid w:val="0AA3355A"/>
    <w:rsid w:val="0B0A4D8C"/>
    <w:rsid w:val="0CAF4DC4"/>
    <w:rsid w:val="0E0C6FE8"/>
    <w:rsid w:val="0E2D7D0A"/>
    <w:rsid w:val="0EA9237B"/>
    <w:rsid w:val="102F1EF5"/>
    <w:rsid w:val="105C0433"/>
    <w:rsid w:val="106F0166"/>
    <w:rsid w:val="114161E7"/>
    <w:rsid w:val="128334CA"/>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02D34"/>
    <w:rsid w:val="1B177D78"/>
    <w:rsid w:val="1B4346C9"/>
    <w:rsid w:val="1DA8115B"/>
    <w:rsid w:val="1DB27CC5"/>
    <w:rsid w:val="1DD30B53"/>
    <w:rsid w:val="1E1E31CB"/>
    <w:rsid w:val="1E34479D"/>
    <w:rsid w:val="1EF87EC0"/>
    <w:rsid w:val="207E073E"/>
    <w:rsid w:val="21350F58"/>
    <w:rsid w:val="21834158"/>
    <w:rsid w:val="220426D8"/>
    <w:rsid w:val="22F5715A"/>
    <w:rsid w:val="23584D27"/>
    <w:rsid w:val="241430A6"/>
    <w:rsid w:val="2452597D"/>
    <w:rsid w:val="257B5469"/>
    <w:rsid w:val="257B685F"/>
    <w:rsid w:val="26F251F5"/>
    <w:rsid w:val="27503782"/>
    <w:rsid w:val="27897907"/>
    <w:rsid w:val="27CC3C98"/>
    <w:rsid w:val="297D7484"/>
    <w:rsid w:val="2A2E0C3A"/>
    <w:rsid w:val="2A4B3DED"/>
    <w:rsid w:val="2BF61145"/>
    <w:rsid w:val="2BF72AD0"/>
    <w:rsid w:val="2C11611D"/>
    <w:rsid w:val="2C8965FC"/>
    <w:rsid w:val="2CAD4098"/>
    <w:rsid w:val="2D331C6F"/>
    <w:rsid w:val="2DE05E9B"/>
    <w:rsid w:val="2E033918"/>
    <w:rsid w:val="2EA4771D"/>
    <w:rsid w:val="2FF64413"/>
    <w:rsid w:val="3049057C"/>
    <w:rsid w:val="30B0114B"/>
    <w:rsid w:val="31832E12"/>
    <w:rsid w:val="32A1627D"/>
    <w:rsid w:val="33260700"/>
    <w:rsid w:val="333C7F24"/>
    <w:rsid w:val="333D3C9C"/>
    <w:rsid w:val="339B5162"/>
    <w:rsid w:val="33F24A86"/>
    <w:rsid w:val="34DF16EF"/>
    <w:rsid w:val="354E1250"/>
    <w:rsid w:val="358E6037"/>
    <w:rsid w:val="36366121"/>
    <w:rsid w:val="37991DE9"/>
    <w:rsid w:val="38C369F1"/>
    <w:rsid w:val="39974106"/>
    <w:rsid w:val="3A3A65D2"/>
    <w:rsid w:val="3A561988"/>
    <w:rsid w:val="3BFF184D"/>
    <w:rsid w:val="3CB63F34"/>
    <w:rsid w:val="3CEB6517"/>
    <w:rsid w:val="3CFB6595"/>
    <w:rsid w:val="3CFD6BB7"/>
    <w:rsid w:val="3D34475C"/>
    <w:rsid w:val="3DD82F3F"/>
    <w:rsid w:val="3E3C01FF"/>
    <w:rsid w:val="3F2D1BEF"/>
    <w:rsid w:val="3F7E3672"/>
    <w:rsid w:val="3FE9293F"/>
    <w:rsid w:val="403F72A5"/>
    <w:rsid w:val="405A4224"/>
    <w:rsid w:val="427A5715"/>
    <w:rsid w:val="433C5D1E"/>
    <w:rsid w:val="44093E52"/>
    <w:rsid w:val="44107006"/>
    <w:rsid w:val="44920CB0"/>
    <w:rsid w:val="45726E52"/>
    <w:rsid w:val="45A00D58"/>
    <w:rsid w:val="460F14C8"/>
    <w:rsid w:val="46637C62"/>
    <w:rsid w:val="46933C70"/>
    <w:rsid w:val="485F64AC"/>
    <w:rsid w:val="4B896DF6"/>
    <w:rsid w:val="4CA7603D"/>
    <w:rsid w:val="4CB27A82"/>
    <w:rsid w:val="4CD03E45"/>
    <w:rsid w:val="4D66647C"/>
    <w:rsid w:val="4E6B74B7"/>
    <w:rsid w:val="4F18763F"/>
    <w:rsid w:val="4F2D1733"/>
    <w:rsid w:val="500261D8"/>
    <w:rsid w:val="50610B72"/>
    <w:rsid w:val="50897E78"/>
    <w:rsid w:val="509B2FD7"/>
    <w:rsid w:val="51D376E3"/>
    <w:rsid w:val="52214A5D"/>
    <w:rsid w:val="523676EA"/>
    <w:rsid w:val="524F1A19"/>
    <w:rsid w:val="54134879"/>
    <w:rsid w:val="54EB7CA8"/>
    <w:rsid w:val="55EF7BB3"/>
    <w:rsid w:val="55F20E2B"/>
    <w:rsid w:val="56737851"/>
    <w:rsid w:val="5680683F"/>
    <w:rsid w:val="56F815DC"/>
    <w:rsid w:val="57711FE2"/>
    <w:rsid w:val="587B479B"/>
    <w:rsid w:val="58D03336"/>
    <w:rsid w:val="59907EED"/>
    <w:rsid w:val="5A144EA7"/>
    <w:rsid w:val="5A171C7F"/>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F23D84"/>
    <w:rsid w:val="6483301F"/>
    <w:rsid w:val="64B22605"/>
    <w:rsid w:val="661E50E3"/>
    <w:rsid w:val="66452F0C"/>
    <w:rsid w:val="6667362D"/>
    <w:rsid w:val="671D4BFD"/>
    <w:rsid w:val="672C3830"/>
    <w:rsid w:val="67682688"/>
    <w:rsid w:val="68365066"/>
    <w:rsid w:val="68FE0F77"/>
    <w:rsid w:val="69495ABC"/>
    <w:rsid w:val="696F20FA"/>
    <w:rsid w:val="69B729ED"/>
    <w:rsid w:val="69E314DA"/>
    <w:rsid w:val="69ED3F14"/>
    <w:rsid w:val="69F446AA"/>
    <w:rsid w:val="6A445335"/>
    <w:rsid w:val="6BD87931"/>
    <w:rsid w:val="6C2347F8"/>
    <w:rsid w:val="6CCD1611"/>
    <w:rsid w:val="6CE26D5D"/>
    <w:rsid w:val="6DB30807"/>
    <w:rsid w:val="6DE50BDD"/>
    <w:rsid w:val="6E4D6AAA"/>
    <w:rsid w:val="6E880895"/>
    <w:rsid w:val="6EC46A44"/>
    <w:rsid w:val="6ECC76A7"/>
    <w:rsid w:val="6F4D07E7"/>
    <w:rsid w:val="6FC85D11"/>
    <w:rsid w:val="7015517E"/>
    <w:rsid w:val="703561B0"/>
    <w:rsid w:val="70626755"/>
    <w:rsid w:val="707458D8"/>
    <w:rsid w:val="72E3289C"/>
    <w:rsid w:val="7330410A"/>
    <w:rsid w:val="736305DA"/>
    <w:rsid w:val="74F87447"/>
    <w:rsid w:val="7530098F"/>
    <w:rsid w:val="76987E92"/>
    <w:rsid w:val="779B6409"/>
    <w:rsid w:val="7C6E0553"/>
    <w:rsid w:val="7CC15652"/>
    <w:rsid w:val="7D8E0949"/>
    <w:rsid w:val="7E0724A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6"/>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3948</Words>
  <Characters>4117</Characters>
  <Lines>38</Lines>
  <Paragraphs>10</Paragraphs>
  <TotalTime>100</TotalTime>
  <ScaleCrop>false</ScaleCrop>
  <LinksUpToDate>false</LinksUpToDate>
  <CharactersWithSpaces>4136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2026-04-27T08:29:00Z</cp:lastPrinted>
  <dcterms:modified xsi:type="dcterms:W3CDTF">2026-04-28T08:45:04Z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B1801EDCDA4F488E86DEC99185FEBD8B_13</vt:lpwstr>
  </property>
  <property fmtid="{D5CDD505-2E9C-101B-9397-08002B2CF9AE}" pid="4" name="KSOTemplateDocerSaveRecord">
    <vt:lpwstr>eyJoZGlkIjoiOGYyYjFjNmFmZWRiNWY0N2EyMmQwYTdkYTZiYmU2MzEiLCJ1c2VySWQiOiI2Mjg3MjA1MDUifQ==</vt:lpwstr>
  </property>
</Properties>
</file>