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849F1">
      <w:pPr>
        <w:pStyle w:val="9"/>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bookmarkStart w:id="203" w:name="_GoBack"/>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3BFA2519">
      <w:pPr>
        <w:pStyle w:val="9"/>
        <w:keepNext w:val="0"/>
        <w:keepLines w:val="0"/>
        <w:widowControl/>
        <w:suppressLineNumbers w:val="0"/>
        <w:spacing w:before="0" w:beforeAutospacing="0" w:after="0" w:afterAutospacing="0" w:line="405" w:lineRule="atLeast"/>
        <w:ind w:left="0" w:firstLine="0"/>
        <w:jc w:val="center"/>
        <w:rPr>
          <w:rStyle w:val="12"/>
          <w:rFonts w:hint="eastAsia" w:ascii="黑体" w:hAnsi="黑体" w:eastAsia="黑体" w:cs="黑体"/>
          <w:b/>
          <w:bCs w:val="0"/>
          <w:i w:val="0"/>
          <w:iCs w:val="0"/>
          <w:caps w:val="0"/>
          <w:color w:val="000000"/>
          <w:spacing w:val="0"/>
          <w:sz w:val="36"/>
          <w:szCs w:val="36"/>
          <w:lang w:val="en-US" w:eastAsia="zh-CN"/>
        </w:rPr>
      </w:pPr>
      <w:r>
        <w:rPr>
          <w:rStyle w:val="12"/>
          <w:rFonts w:hint="eastAsia" w:ascii="黑体" w:hAnsi="黑体" w:eastAsia="黑体" w:cs="黑体"/>
          <w:b/>
          <w:bCs w:val="0"/>
          <w:i w:val="0"/>
          <w:iCs w:val="0"/>
          <w:caps w:val="0"/>
          <w:color w:val="000000"/>
          <w:spacing w:val="0"/>
          <w:sz w:val="36"/>
          <w:szCs w:val="36"/>
          <w:lang w:val="en-US" w:eastAsia="zh-CN"/>
        </w:rPr>
        <w:t>2026年四月份二工区用焦沫询比采购项目</w:t>
      </w:r>
    </w:p>
    <w:p w14:paraId="3716104A">
      <w:pPr>
        <w:pStyle w:val="9"/>
        <w:keepNext w:val="0"/>
        <w:keepLines w:val="0"/>
        <w:widowControl/>
        <w:suppressLineNumbers w:val="0"/>
        <w:spacing w:before="0" w:beforeAutospacing="0" w:after="0" w:afterAutospacing="0" w:line="405" w:lineRule="atLeast"/>
        <w:ind w:left="0" w:firstLine="0"/>
        <w:jc w:val="center"/>
        <w:rPr>
          <w:rFonts w:hint="eastAsia" w:ascii="黑体" w:hAnsi="黑体" w:eastAsia="黑体" w:cs="黑体"/>
          <w:b/>
          <w:bCs w:val="0"/>
          <w:i w:val="0"/>
          <w:iCs w:val="0"/>
          <w:caps w:val="0"/>
          <w:color w:val="000000"/>
          <w:spacing w:val="0"/>
          <w:sz w:val="36"/>
          <w:szCs w:val="36"/>
          <w:lang w:val="en-US" w:eastAsia="zh-CN"/>
        </w:rPr>
      </w:pPr>
      <w:r>
        <w:rPr>
          <w:rStyle w:val="12"/>
          <w:rFonts w:hint="eastAsia" w:ascii="黑体" w:hAnsi="黑体" w:eastAsia="黑体" w:cs="黑体"/>
          <w:b/>
          <w:bCs w:val="0"/>
          <w:i w:val="0"/>
          <w:iCs w:val="0"/>
          <w:caps w:val="0"/>
          <w:color w:val="000000"/>
          <w:spacing w:val="0"/>
          <w:sz w:val="36"/>
          <w:szCs w:val="36"/>
          <w:lang w:val="en-US" w:eastAsia="zh-CN"/>
        </w:rPr>
        <w:t>二次</w:t>
      </w:r>
      <w:r>
        <w:rPr>
          <w:rStyle w:val="12"/>
          <w:rFonts w:hint="eastAsia" w:ascii="黑体" w:hAnsi="黑体" w:eastAsia="黑体" w:cs="黑体"/>
          <w:b/>
          <w:bCs w:val="0"/>
          <w:i w:val="0"/>
          <w:iCs w:val="0"/>
          <w:caps w:val="0"/>
          <w:color w:val="000000"/>
          <w:spacing w:val="0"/>
          <w:sz w:val="36"/>
          <w:szCs w:val="36"/>
        </w:rPr>
        <w:t>询比采购</w:t>
      </w:r>
      <w:r>
        <w:rPr>
          <w:rStyle w:val="12"/>
          <w:rFonts w:hint="eastAsia" w:ascii="黑体" w:hAnsi="黑体" w:eastAsia="黑体" w:cs="黑体"/>
          <w:b/>
          <w:bCs w:val="0"/>
          <w:i w:val="0"/>
          <w:iCs w:val="0"/>
          <w:caps w:val="0"/>
          <w:color w:val="000000"/>
          <w:spacing w:val="0"/>
          <w:sz w:val="36"/>
          <w:szCs w:val="36"/>
          <w:lang w:val="en-US" w:eastAsia="zh-CN"/>
        </w:rPr>
        <w:t>邀请函</w:t>
      </w:r>
    </w:p>
    <w:p w14:paraId="28DF5616">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p>
    <w:p w14:paraId="608C3DBF">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采购3000干量吨焦沫</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14:paraId="20336658">
      <w:pPr>
        <w:pStyle w:val="3"/>
        <w:pageBreakBefore w:val="0"/>
        <w:numPr>
          <w:ilvl w:val="0"/>
          <w:numId w:val="0"/>
        </w:numPr>
        <w:kinsoku/>
        <w:wordWrap/>
        <w:overflowPunct/>
        <w:topLinePunct w:val="0"/>
        <w:autoSpaceDE/>
        <w:autoSpaceDN/>
        <w:bidi w:val="0"/>
        <w:snapToGrid/>
        <w:spacing w:before="0" w:after="0" w:line="460" w:lineRule="exact"/>
        <w:ind w:firstLine="562" w:firstLineChars="200"/>
        <w:jc w:val="both"/>
        <w:rPr>
          <w:rFonts w:hint="eastAsia" w:ascii="仿宋" w:hAnsi="仿宋" w:eastAsia="仿宋" w:cs="仿宋"/>
          <w:b/>
          <w:bCs/>
          <w:color w:val="auto"/>
          <w:sz w:val="28"/>
          <w:szCs w:val="28"/>
          <w:lang w:val="en-US"/>
        </w:rPr>
      </w:pPr>
      <w:bookmarkStart w:id="0" w:name="_Toc20230"/>
      <w:bookmarkStart w:id="1" w:name="_Toc33795775"/>
      <w:bookmarkStart w:id="2" w:name="_Toc14440"/>
      <w:bookmarkStart w:id="3" w:name="_Toc4593"/>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4F6BD7C7">
      <w:pPr>
        <w:pStyle w:val="3"/>
        <w:pageBreakBefore w:val="0"/>
        <w:numPr>
          <w:ilvl w:val="0"/>
          <w:numId w:val="0"/>
        </w:numPr>
        <w:kinsoku/>
        <w:wordWrap/>
        <w:overflowPunct/>
        <w:topLinePunct w:val="0"/>
        <w:autoSpaceDE/>
        <w:autoSpaceDN/>
        <w:bidi w:val="0"/>
        <w:snapToGrid/>
        <w:spacing w:before="0" w:after="0" w:line="460" w:lineRule="exact"/>
        <w:ind w:firstLine="280" w:firstLineChars="10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29D945B0">
      <w:pPr>
        <w:pageBreakBefore w:val="0"/>
        <w:kinsoku/>
        <w:wordWrap/>
        <w:overflowPunct/>
        <w:topLinePunct w:val="0"/>
        <w:autoSpaceDE/>
        <w:autoSpaceDN/>
        <w:bidi w:val="0"/>
        <w:snapToGrid/>
        <w:spacing w:line="46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11471"/>
      <w:bookmarkStart w:id="5" w:name="_Toc33795776"/>
      <w:bookmarkStart w:id="6" w:name="_Toc14565"/>
      <w:bookmarkStart w:id="7" w:name="_Toc7037"/>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焦沫采购项目</w:t>
      </w:r>
      <w:bookmarkEnd w:id="4"/>
      <w:bookmarkEnd w:id="5"/>
      <w:bookmarkEnd w:id="6"/>
      <w:bookmarkEnd w:id="7"/>
      <w:r>
        <w:rPr>
          <w:rFonts w:hint="eastAsia" w:ascii="仿宋" w:hAnsi="仿宋" w:eastAsia="仿宋" w:cs="仿宋"/>
          <w:color w:val="auto"/>
          <w:sz w:val="28"/>
          <w:szCs w:val="28"/>
          <w:lang w:val="en-US" w:eastAsia="zh-CN"/>
        </w:rPr>
        <w:t>。</w:t>
      </w:r>
    </w:p>
    <w:p w14:paraId="11214224">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交货数量、时间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3000干量吨送完为止。在此期间，如遇采购人检修、减产、生产工艺调整等，采购人根据实际情况适时调整采购量。</w:t>
      </w:r>
    </w:p>
    <w:p w14:paraId="774E62B6">
      <w:pPr>
        <w:pageBreakBefore w:val="0"/>
        <w:kinsoku/>
        <w:wordWrap/>
        <w:overflowPunct/>
        <w:topLinePunct w:val="0"/>
        <w:autoSpaceDE/>
        <w:autoSpaceDN/>
        <w:bidi w:val="0"/>
        <w:snapToGrid/>
        <w:spacing w:line="46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（四）交货地点：采购方公司焦沫堆存场（带原始出厂磅码单）。</w:t>
      </w:r>
    </w:p>
    <w:p w14:paraId="70B87450">
      <w:pPr>
        <w:keepNext w:val="0"/>
        <w:keepLines w:val="0"/>
        <w:pageBreakBefore w:val="0"/>
        <w:widowControl w:val="0"/>
        <w:kinsoku/>
        <w:wordWrap/>
        <w:overflowPunct/>
        <w:topLinePunct w:val="0"/>
        <w:autoSpaceDE/>
        <w:autoSpaceDN/>
        <w:bidi w:val="0"/>
        <w:adjustRightInd w:val="0"/>
        <w:snapToGrid/>
        <w:spacing w:line="460" w:lineRule="exact"/>
        <w:ind w:left="0" w:firstLine="280" w:firstLineChars="10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14:paraId="4A28D605">
      <w:pPr>
        <w:keepNext w:val="0"/>
        <w:keepLines w:val="0"/>
        <w:pageBreakBefore w:val="0"/>
        <w:widowControl w:val="0"/>
        <w:kinsoku/>
        <w:wordWrap/>
        <w:overflowPunct/>
        <w:topLinePunct w:val="0"/>
        <w:autoSpaceDE/>
        <w:autoSpaceDN/>
        <w:bidi w:val="0"/>
        <w:adjustRightInd w:val="0"/>
        <w:snapToGrid/>
        <w:spacing w:line="460" w:lineRule="exact"/>
        <w:ind w:left="0" w:firstLine="560" w:firstLineChars="200"/>
        <w:jc w:val="both"/>
        <w:textAlignment w:val="baseline"/>
        <w:rPr>
          <w:rFonts w:hint="default" w:ascii="仿宋" w:hAnsi="仿宋" w:eastAsia="仿宋" w:cs="仿宋"/>
          <w:bCs/>
          <w:color w:val="auto"/>
          <w:sz w:val="28"/>
          <w:szCs w:val="28"/>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质量要求：C≥</w:t>
      </w:r>
      <w:r>
        <w:rPr>
          <w:rFonts w:hint="eastAsia" w:ascii="仿宋" w:hAnsi="仿宋" w:eastAsia="仿宋" w:cs="仿宋"/>
          <w:color w:val="auto"/>
          <w:sz w:val="28"/>
          <w:szCs w:val="28"/>
          <w:lang w:val="en-US" w:eastAsia="zh-CN"/>
        </w:rPr>
        <w:t>78</w:t>
      </w:r>
      <w:r>
        <w:rPr>
          <w:rFonts w:hint="eastAsia" w:ascii="仿宋" w:hAnsi="仿宋" w:eastAsia="仿宋" w:cs="仿宋"/>
          <w:color w:val="auto"/>
          <w:sz w:val="28"/>
          <w:szCs w:val="28"/>
        </w:rPr>
        <w:t>%，挥发份≤</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.0%，灰分≤15.0%，S≤</w:t>
      </w:r>
      <w:r>
        <w:rPr>
          <w:rFonts w:hint="eastAsia" w:ascii="仿宋" w:hAnsi="仿宋" w:eastAsia="仿宋" w:cs="仿宋"/>
          <w:color w:val="auto"/>
          <w:sz w:val="28"/>
          <w:szCs w:val="28"/>
          <w:lang w:val="en-US" w:eastAsia="zh-CN"/>
        </w:rPr>
        <w:t>0.8</w:t>
      </w:r>
      <w:r>
        <w:rPr>
          <w:rFonts w:hint="eastAsia" w:ascii="仿宋" w:hAnsi="仿宋" w:eastAsia="仿宋" w:cs="仿宋"/>
          <w:color w:val="auto"/>
          <w:sz w:val="28"/>
          <w:szCs w:val="28"/>
        </w:rPr>
        <w:t>%,水分≤</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%，粒度符合5-10mm≤</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0%</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15mm＜</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%，5mm＜</w:t>
      </w:r>
      <w:r>
        <w:rPr>
          <w:rFonts w:hint="eastAsia" w:ascii="仿宋" w:hAnsi="仿宋" w:eastAsia="仿宋" w:cs="仿宋"/>
          <w:color w:val="auto"/>
          <w:sz w:val="28"/>
          <w:szCs w:val="28"/>
          <w:lang w:val="en-US" w:eastAsia="zh-CN"/>
        </w:rPr>
        <w:t>50</w:t>
      </w:r>
      <w:r>
        <w:rPr>
          <w:rFonts w:hint="eastAsia" w:ascii="仿宋" w:hAnsi="仿宋" w:eastAsia="仿宋" w:cs="仿宋"/>
          <w:color w:val="auto"/>
          <w:sz w:val="28"/>
          <w:szCs w:val="28"/>
        </w:rPr>
        <w:t>%，且不能混入外来夹杂物（如兰炭，无烟煤），同一车内颜色粒度应一致</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 xml:space="preserve">  </w:t>
      </w:r>
    </w:p>
    <w:p w14:paraId="0B4DFD63">
      <w:pPr>
        <w:keepNext w:val="0"/>
        <w:keepLines w:val="0"/>
        <w:pageBreakBefore w:val="0"/>
        <w:widowControl w:val="0"/>
        <w:kinsoku/>
        <w:wordWrap/>
        <w:overflowPunct/>
        <w:topLinePunct w:val="0"/>
        <w:autoSpaceDE/>
        <w:autoSpaceDN/>
        <w:bidi w:val="0"/>
        <w:adjustRightInd w:val="0"/>
        <w:snapToGrid/>
        <w:spacing w:line="460" w:lineRule="exact"/>
        <w:ind w:left="0" w:firstLine="560" w:firstLineChars="2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bookmarkStart w:id="8" w:name="_Toc14196"/>
      <w:bookmarkStart w:id="9" w:name="_Toc33795778"/>
      <w:bookmarkStart w:id="10" w:name="_Toc14688"/>
      <w:bookmarkStart w:id="11" w:name="_Toc29895"/>
    </w:p>
    <w:p w14:paraId="44BCDE0E">
      <w:pPr>
        <w:keepNext w:val="0"/>
        <w:keepLines w:val="0"/>
        <w:pageBreakBefore w:val="0"/>
        <w:kinsoku/>
        <w:wordWrap/>
        <w:overflowPunct/>
        <w:topLinePunct w:val="0"/>
        <w:autoSpaceDE/>
        <w:autoSpaceDN/>
        <w:bidi w:val="0"/>
        <w:adjustRightInd/>
        <w:snapToGrid/>
        <w:spacing w:line="460" w:lineRule="exact"/>
        <w:ind w:left="513" w:leftChars="114" w:hanging="274" w:hangingChars="98"/>
        <w:textAlignment w:val="auto"/>
        <w:outlineLvl w:val="9"/>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六</w:t>
      </w:r>
      <w:r>
        <w:rPr>
          <w:rFonts w:hint="eastAsia" w:ascii="仿宋" w:hAnsi="仿宋" w:eastAsia="仿宋" w:cs="仿宋"/>
          <w:bCs/>
          <w:color w:val="auto"/>
          <w:sz w:val="28"/>
          <w:szCs w:val="28"/>
          <w:lang w:eastAsia="zh-CN"/>
        </w:rPr>
        <w:t>）运输方式及到达站港和费用负担：</w:t>
      </w:r>
      <w:r>
        <w:rPr>
          <w:rFonts w:hint="eastAsia" w:ascii="仿宋" w:hAnsi="仿宋" w:eastAsia="仿宋" w:cs="仿宋"/>
          <w:b w:val="0"/>
          <w:bCs/>
          <w:sz w:val="28"/>
          <w:szCs w:val="28"/>
        </w:rPr>
        <w:t>汽运</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车辆</w:t>
      </w:r>
      <w:r>
        <w:rPr>
          <w:rFonts w:hint="eastAsia" w:ascii="仿宋" w:hAnsi="仿宋" w:eastAsia="仿宋" w:cs="仿宋"/>
          <w:i w:val="0"/>
          <w:iCs w:val="0"/>
          <w:caps w:val="0"/>
          <w:color w:val="333333"/>
          <w:spacing w:val="0"/>
          <w:sz w:val="28"/>
          <w:szCs w:val="28"/>
          <w:shd w:val="clear" w:fill="FFFFFF"/>
        </w:rPr>
        <w:t>国五标准</w:t>
      </w:r>
      <w:r>
        <w:rPr>
          <w:rFonts w:hint="eastAsia" w:ascii="仿宋" w:hAnsi="仿宋" w:eastAsia="仿宋" w:cs="仿宋"/>
          <w:i w:val="0"/>
          <w:iCs w:val="0"/>
          <w:caps w:val="0"/>
          <w:color w:val="333333"/>
          <w:spacing w:val="0"/>
          <w:sz w:val="28"/>
          <w:szCs w:val="28"/>
          <w:shd w:val="clear" w:fill="FFFFFF"/>
          <w:lang w:val="en-US" w:eastAsia="zh-CN"/>
        </w:rPr>
        <w:t>或以</w:t>
      </w:r>
    </w:p>
    <w:p w14:paraId="507E28B5">
      <w:pPr>
        <w:keepNext w:val="0"/>
        <w:keepLines w:val="0"/>
        <w:pageBreakBefore w:val="0"/>
        <w:kinsoku/>
        <w:wordWrap/>
        <w:overflowPunct/>
        <w:topLinePunct w:val="0"/>
        <w:autoSpaceDE/>
        <w:autoSpaceDN/>
        <w:bidi w:val="0"/>
        <w:adjustRightInd/>
        <w:snapToGrid/>
        <w:spacing w:line="460" w:lineRule="exac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i w:val="0"/>
          <w:iCs w:val="0"/>
          <w:caps w:val="0"/>
          <w:color w:val="333333"/>
          <w:spacing w:val="0"/>
          <w:sz w:val="28"/>
          <w:szCs w:val="28"/>
          <w:shd w:val="clear" w:fill="FFFFFF"/>
          <w:lang w:val="en-US" w:eastAsia="zh-CN"/>
        </w:rPr>
        <w:t>上）</w:t>
      </w:r>
      <w:r>
        <w:rPr>
          <w:rFonts w:hint="eastAsia" w:ascii="仿宋" w:hAnsi="仿宋" w:eastAsia="仿宋" w:cs="仿宋"/>
          <w:b w:val="0"/>
          <w:bCs/>
          <w:sz w:val="28"/>
          <w:szCs w:val="28"/>
        </w:rPr>
        <w:t>，费用由</w:t>
      </w:r>
      <w:r>
        <w:rPr>
          <w:rFonts w:hint="eastAsia" w:ascii="仿宋" w:hAnsi="仿宋" w:eastAsia="仿宋" w:cs="仿宋"/>
          <w:b w:val="0"/>
          <w:bCs/>
          <w:sz w:val="28"/>
          <w:szCs w:val="28"/>
          <w:lang w:val="en-US" w:eastAsia="zh-CN"/>
        </w:rPr>
        <w:t>报价方</w:t>
      </w:r>
      <w:r>
        <w:rPr>
          <w:rFonts w:hint="eastAsia" w:ascii="仿宋" w:hAnsi="仿宋" w:eastAsia="仿宋" w:cs="仿宋"/>
          <w:b w:val="0"/>
          <w:bCs/>
          <w:sz w:val="28"/>
          <w:szCs w:val="28"/>
        </w:rPr>
        <w:t>承担</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运输车辆必须符合国家</w:t>
      </w:r>
      <w:r>
        <w:rPr>
          <w:rFonts w:hint="eastAsia" w:ascii="仿宋" w:hAnsi="仿宋" w:eastAsia="仿宋" w:cs="仿宋"/>
          <w:b w:val="0"/>
          <w:bCs/>
          <w:sz w:val="28"/>
          <w:szCs w:val="28"/>
          <w:lang w:val="en-US" w:eastAsia="zh-CN"/>
        </w:rPr>
        <w:t>环保</w:t>
      </w:r>
      <w:r>
        <w:rPr>
          <w:rFonts w:hint="eastAsia" w:ascii="仿宋" w:hAnsi="仿宋" w:eastAsia="仿宋" w:cs="仿宋"/>
          <w:b w:val="0"/>
          <w:bCs/>
          <w:sz w:val="28"/>
          <w:szCs w:val="28"/>
        </w:rPr>
        <w:t>安全管理需要</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加装尾气排放装置，加盖防尘及</w:t>
      </w:r>
      <w:r>
        <w:rPr>
          <w:rFonts w:hint="eastAsia" w:ascii="仿宋" w:hAnsi="仿宋" w:eastAsia="仿宋" w:cs="仿宋"/>
          <w:b w:val="0"/>
          <w:bCs/>
          <w:sz w:val="28"/>
          <w:szCs w:val="28"/>
        </w:rPr>
        <w:t>防火安全相关设备，如灭火器、防火罩等，否则</w:t>
      </w:r>
      <w:r>
        <w:rPr>
          <w:rFonts w:hint="eastAsia" w:ascii="仿宋" w:hAnsi="仿宋" w:eastAsia="仿宋" w:cs="仿宋"/>
          <w:b w:val="0"/>
          <w:bCs/>
          <w:sz w:val="28"/>
          <w:szCs w:val="28"/>
          <w:lang w:eastAsia="zh-CN"/>
        </w:rPr>
        <w:t>不得</w:t>
      </w:r>
      <w:r>
        <w:rPr>
          <w:rFonts w:hint="eastAsia" w:ascii="仿宋" w:hAnsi="仿宋" w:eastAsia="仿宋" w:cs="仿宋"/>
          <w:b w:val="0"/>
          <w:bCs/>
          <w:sz w:val="28"/>
          <w:szCs w:val="28"/>
        </w:rPr>
        <w:t>进入</w:t>
      </w:r>
      <w:r>
        <w:rPr>
          <w:rFonts w:hint="eastAsia" w:ascii="仿宋" w:hAnsi="仿宋" w:eastAsia="仿宋" w:cs="仿宋"/>
          <w:b w:val="0"/>
          <w:bCs/>
          <w:sz w:val="28"/>
          <w:szCs w:val="28"/>
          <w:lang w:val="en-US" w:eastAsia="zh-CN"/>
        </w:rPr>
        <w:t>采购方</w:t>
      </w:r>
      <w:r>
        <w:rPr>
          <w:rFonts w:hint="eastAsia" w:ascii="仿宋" w:hAnsi="仿宋" w:eastAsia="仿宋" w:cs="仿宋"/>
          <w:b w:val="0"/>
          <w:bCs/>
          <w:sz w:val="28"/>
          <w:szCs w:val="28"/>
        </w:rPr>
        <w:t>公司厂内。</w:t>
      </w:r>
    </w:p>
    <w:p w14:paraId="24BAC03C">
      <w:pPr>
        <w:keepNext w:val="0"/>
        <w:keepLines w:val="0"/>
        <w:pageBreakBefore w:val="0"/>
        <w:widowControl w:val="0"/>
        <w:kinsoku/>
        <w:wordWrap/>
        <w:overflowPunct/>
        <w:topLinePunct w:val="0"/>
        <w:autoSpaceDE/>
        <w:autoSpaceDN/>
        <w:bidi w:val="0"/>
        <w:adjustRightInd w:val="0"/>
        <w:snapToGrid/>
        <w:spacing w:line="46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）合理损耗及计算方法：无损耗，以采购方计量为准。</w:t>
      </w:r>
    </w:p>
    <w:p w14:paraId="5299E127">
      <w:pPr>
        <w:keepNext w:val="0"/>
        <w:keepLines w:val="0"/>
        <w:pageBreakBefore w:val="0"/>
        <w:widowControl w:val="0"/>
        <w:kinsoku/>
        <w:wordWrap/>
        <w:overflowPunct/>
        <w:topLinePunct w:val="0"/>
        <w:autoSpaceDE/>
        <w:autoSpaceDN/>
        <w:bidi w:val="0"/>
        <w:adjustRightInd w:val="0"/>
        <w:snapToGrid/>
        <w:spacing w:line="46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）包装标准，包装物的供应及回收：散装。</w:t>
      </w:r>
    </w:p>
    <w:p w14:paraId="66177F4C">
      <w:pPr>
        <w:keepNext w:val="0"/>
        <w:keepLines w:val="0"/>
        <w:pageBreakBefore w:val="0"/>
        <w:widowControl w:val="0"/>
        <w:kinsoku/>
        <w:wordWrap/>
        <w:overflowPunct/>
        <w:topLinePunct w:val="0"/>
        <w:autoSpaceDE/>
        <w:autoSpaceDN/>
        <w:bidi w:val="0"/>
        <w:adjustRightInd w:val="0"/>
        <w:snapToGrid/>
        <w:spacing w:line="46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五款质量标准</w:t>
      </w:r>
      <w:r>
        <w:rPr>
          <w:rFonts w:hint="eastAsia" w:ascii="仿宋" w:hAnsi="仿宋" w:eastAsia="仿宋" w:cs="仿宋"/>
          <w:bCs/>
          <w:color w:val="auto"/>
          <w:sz w:val="28"/>
          <w:szCs w:val="28"/>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14:paraId="4EE7A8B0">
      <w:pPr>
        <w:keepNext w:val="0"/>
        <w:keepLines w:val="0"/>
        <w:pageBreakBefore w:val="0"/>
        <w:widowControl w:val="0"/>
        <w:kinsoku/>
        <w:wordWrap/>
        <w:overflowPunct/>
        <w:topLinePunct w:val="0"/>
        <w:autoSpaceDE/>
        <w:autoSpaceDN/>
        <w:bidi w:val="0"/>
        <w:adjustRightInd w:val="0"/>
        <w:snapToGrid/>
        <w:spacing w:line="46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）结算方式、标准及期限：批量干量结算；含碳量每降低一个百分点，单价扣除20元/吨；灰分每上升一个百分点扣10元/吨；挥发份每上升0</w:t>
      </w:r>
      <w:r>
        <w:rPr>
          <w:rFonts w:hint="eastAsia" w:ascii="仿宋" w:hAnsi="仿宋" w:eastAsia="仿宋" w:cs="仿宋"/>
          <w:bCs/>
          <w:color w:val="auto"/>
          <w:sz w:val="28"/>
          <w:szCs w:val="28"/>
          <w:lang w:val="en-US" w:eastAsia="zh-CN"/>
        </w:rPr>
        <w:t>.</w:t>
      </w:r>
      <w:r>
        <w:rPr>
          <w:rFonts w:hint="eastAsia" w:ascii="仿宋" w:hAnsi="仿宋" w:eastAsia="仿宋" w:cs="仿宋"/>
          <w:bCs/>
          <w:color w:val="auto"/>
          <w:sz w:val="28"/>
          <w:szCs w:val="28"/>
          <w:lang w:eastAsia="zh-CN"/>
        </w:rPr>
        <w:t>1个百分点扣10元/吨； 硫每上升一个百分点扣</w:t>
      </w: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lang w:eastAsia="zh-CN"/>
        </w:rPr>
        <w:t>0元/吨，若S＞</w:t>
      </w:r>
      <w:r>
        <w:rPr>
          <w:rFonts w:hint="eastAsia" w:ascii="仿宋" w:hAnsi="仿宋" w:eastAsia="仿宋" w:cs="仿宋"/>
          <w:bCs/>
          <w:color w:val="auto"/>
          <w:sz w:val="28"/>
          <w:szCs w:val="28"/>
          <w:lang w:val="en-US" w:eastAsia="zh-CN"/>
        </w:rPr>
        <w:t>1.5</w:t>
      </w:r>
      <w:r>
        <w:rPr>
          <w:rFonts w:hint="eastAsia" w:ascii="仿宋" w:hAnsi="仿宋" w:eastAsia="仿宋" w:cs="仿宋"/>
          <w:bCs/>
          <w:color w:val="auto"/>
          <w:sz w:val="28"/>
          <w:szCs w:val="28"/>
          <w:lang w:eastAsia="zh-CN"/>
        </w:rPr>
        <w:t>%时，</w:t>
      </w:r>
      <w:r>
        <w:rPr>
          <w:rFonts w:hint="eastAsia" w:ascii="仿宋" w:hAnsi="仿宋" w:eastAsia="仿宋" w:cs="仿宋"/>
          <w:bCs/>
          <w:color w:val="auto"/>
          <w:sz w:val="28"/>
          <w:szCs w:val="28"/>
          <w:lang w:val="en-US" w:eastAsia="zh-CN"/>
        </w:rPr>
        <w:t>扣40元/吨。</w:t>
      </w:r>
      <w:r>
        <w:rPr>
          <w:rFonts w:hint="eastAsia" w:ascii="仿宋" w:hAnsi="仿宋" w:eastAsia="仿宋" w:cs="仿宋"/>
          <w:bCs/>
          <w:color w:val="auto"/>
          <w:sz w:val="28"/>
          <w:szCs w:val="28"/>
          <w:lang w:eastAsia="zh-CN"/>
        </w:rPr>
        <w:t>若</w:t>
      </w:r>
      <w:r>
        <w:rPr>
          <w:rFonts w:hint="eastAsia" w:ascii="仿宋" w:hAnsi="仿宋" w:eastAsia="仿宋" w:cs="仿宋"/>
          <w:bCs/>
          <w:color w:val="auto"/>
          <w:sz w:val="28"/>
          <w:szCs w:val="28"/>
          <w:lang w:val="en-US" w:eastAsia="zh-CN"/>
        </w:rPr>
        <w:t>二工区用焦沫</w:t>
      </w:r>
      <w:r>
        <w:rPr>
          <w:rFonts w:hint="eastAsia" w:ascii="仿宋" w:hAnsi="仿宋" w:eastAsia="仿宋" w:cs="仿宋"/>
          <w:bCs/>
          <w:color w:val="auto"/>
          <w:sz w:val="28"/>
          <w:szCs w:val="28"/>
          <w:lang w:eastAsia="zh-CN"/>
        </w:rPr>
        <w:t>单车粒度小于5mm的占整车粒度的</w:t>
      </w:r>
      <w:r>
        <w:rPr>
          <w:rFonts w:hint="eastAsia" w:ascii="仿宋" w:hAnsi="仿宋" w:eastAsia="仿宋" w:cs="仿宋"/>
          <w:bCs/>
          <w:color w:val="auto"/>
          <w:sz w:val="28"/>
          <w:szCs w:val="28"/>
          <w:lang w:val="en-US" w:eastAsia="zh-CN"/>
        </w:rPr>
        <w:t>50</w:t>
      </w:r>
      <w:r>
        <w:rPr>
          <w:rFonts w:hint="eastAsia" w:ascii="仿宋" w:hAnsi="仿宋" w:eastAsia="仿宋" w:cs="仿宋"/>
          <w:bCs/>
          <w:color w:val="auto"/>
          <w:sz w:val="28"/>
          <w:szCs w:val="28"/>
          <w:lang w:eastAsia="zh-CN"/>
        </w:rPr>
        <w:t>%以上时，拒收；在供应过程中若</w:t>
      </w:r>
      <w:r>
        <w:rPr>
          <w:rFonts w:hint="eastAsia" w:ascii="仿宋" w:hAnsi="仿宋" w:eastAsia="仿宋" w:cs="仿宋"/>
          <w:bCs/>
          <w:color w:val="auto"/>
          <w:sz w:val="28"/>
          <w:szCs w:val="28"/>
          <w:lang w:val="en-US" w:eastAsia="zh-CN"/>
        </w:rPr>
        <w:t>所送焦沫</w:t>
      </w:r>
      <w:r>
        <w:rPr>
          <w:rFonts w:hint="eastAsia" w:ascii="仿宋" w:hAnsi="仿宋" w:eastAsia="仿宋" w:cs="仿宋"/>
          <w:bCs/>
          <w:color w:val="auto"/>
          <w:sz w:val="28"/>
          <w:szCs w:val="28"/>
          <w:lang w:eastAsia="zh-CN"/>
        </w:rPr>
        <w:t>固定碳小于</w:t>
      </w:r>
      <w:r>
        <w:rPr>
          <w:rFonts w:hint="eastAsia" w:ascii="仿宋" w:hAnsi="仿宋" w:eastAsia="仿宋" w:cs="仿宋"/>
          <w:bCs/>
          <w:color w:val="auto"/>
          <w:sz w:val="28"/>
          <w:szCs w:val="28"/>
          <w:lang w:val="en-US" w:eastAsia="zh-CN"/>
        </w:rPr>
        <w:t>75</w:t>
      </w:r>
      <w:r>
        <w:rPr>
          <w:rFonts w:hint="eastAsia" w:ascii="仿宋" w:hAnsi="仿宋" w:eastAsia="仿宋" w:cs="仿宋"/>
          <w:bCs/>
          <w:color w:val="auto"/>
          <w:sz w:val="28"/>
          <w:szCs w:val="28"/>
          <w:lang w:eastAsia="zh-CN"/>
        </w:rPr>
        <w:t>%、灰分大于2</w:t>
      </w:r>
      <w:r>
        <w:rPr>
          <w:rFonts w:hint="eastAsia" w:ascii="仿宋" w:hAnsi="仿宋" w:eastAsia="仿宋" w:cs="仿宋"/>
          <w:bCs/>
          <w:color w:val="auto"/>
          <w:sz w:val="28"/>
          <w:szCs w:val="28"/>
          <w:lang w:val="en-US" w:eastAsia="zh-CN"/>
        </w:rPr>
        <w:t>0</w:t>
      </w:r>
      <w:r>
        <w:rPr>
          <w:rFonts w:hint="eastAsia" w:ascii="仿宋" w:hAnsi="仿宋" w:eastAsia="仿宋" w:cs="仿宋"/>
          <w:bCs/>
          <w:color w:val="auto"/>
          <w:sz w:val="28"/>
          <w:szCs w:val="28"/>
          <w:lang w:eastAsia="zh-CN"/>
        </w:rPr>
        <w:t>%、挥发份大于</w:t>
      </w:r>
      <w:r>
        <w:rPr>
          <w:rFonts w:hint="eastAsia" w:ascii="仿宋" w:hAnsi="仿宋" w:eastAsia="仿宋" w:cs="仿宋"/>
          <w:bCs/>
          <w:color w:val="auto"/>
          <w:sz w:val="28"/>
          <w:szCs w:val="28"/>
          <w:lang w:val="en-US" w:eastAsia="zh-CN"/>
        </w:rPr>
        <w:t>6.5</w:t>
      </w:r>
      <w:r>
        <w:rPr>
          <w:rFonts w:hint="eastAsia" w:ascii="仿宋" w:hAnsi="仿宋" w:eastAsia="仿宋" w:cs="仿宋"/>
          <w:bCs/>
          <w:color w:val="auto"/>
          <w:sz w:val="28"/>
          <w:szCs w:val="28"/>
          <w:lang w:eastAsia="zh-CN"/>
        </w:rPr>
        <w:t>%、硫大于</w:t>
      </w: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lang w:eastAsia="zh-CN"/>
        </w:rPr>
        <w:t>%时，单项指标任意一项超标，超标总量占该批送货量的5%时，终止其供货资格；对于超标数量结算时，结算价按合同价先降低100元/吨，其余单项超标再按合同约定扣款结算；</w:t>
      </w:r>
    </w:p>
    <w:p w14:paraId="016A8CBC">
      <w:pPr>
        <w:pageBreakBefore w:val="0"/>
        <w:kinsoku/>
        <w:wordWrap/>
        <w:overflowPunct/>
        <w:topLinePunct w:val="0"/>
        <w:autoSpaceDE/>
        <w:autoSpaceDN/>
        <w:bidi w:val="0"/>
        <w:snapToGrid/>
        <w:spacing w:line="46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十一</w:t>
      </w:r>
      <w:r>
        <w:rPr>
          <w:rFonts w:hint="eastAsia" w:ascii="仿宋" w:hAnsi="仿宋" w:eastAsia="仿宋" w:cs="仿宋"/>
          <w:color w:val="auto"/>
          <w:sz w:val="28"/>
          <w:szCs w:val="28"/>
          <w:lang w:eastAsia="zh-CN"/>
        </w:rPr>
        <w:t>）付款</w:t>
      </w:r>
      <w:r>
        <w:rPr>
          <w:rFonts w:hint="eastAsia" w:ascii="仿宋" w:hAnsi="仿宋" w:eastAsia="仿宋" w:cs="仿宋"/>
          <w:color w:val="auto"/>
          <w:sz w:val="28"/>
          <w:szCs w:val="28"/>
          <w:lang w:val="en-US" w:eastAsia="zh-CN"/>
        </w:rPr>
        <w:t>期限、</w:t>
      </w:r>
      <w:r>
        <w:rPr>
          <w:rFonts w:hint="eastAsia" w:ascii="仿宋" w:hAnsi="仿宋" w:eastAsia="仿宋" w:cs="仿宋"/>
          <w:color w:val="auto"/>
          <w:sz w:val="28"/>
          <w:szCs w:val="28"/>
          <w:lang w:eastAsia="zh-CN"/>
        </w:rPr>
        <w:t>方式：</w:t>
      </w:r>
    </w:p>
    <w:p w14:paraId="2E13BF54">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结算后供应商开具</w:t>
      </w:r>
      <w:r>
        <w:rPr>
          <w:rFonts w:hint="eastAsia" w:ascii="仿宋" w:hAnsi="仿宋" w:eastAsia="仿宋" w:cs="仿宋"/>
          <w:color w:val="auto"/>
          <w:sz w:val="28"/>
          <w:szCs w:val="28"/>
          <w:lang w:eastAsia="zh-CN"/>
        </w:rPr>
        <w:t>全额增值税发票，票到</w:t>
      </w:r>
      <w:r>
        <w:rPr>
          <w:rFonts w:hint="eastAsia" w:ascii="仿宋" w:hAnsi="仿宋" w:eastAsia="仿宋" w:cs="仿宋"/>
          <w:color w:val="auto"/>
          <w:sz w:val="28"/>
          <w:szCs w:val="28"/>
          <w:lang w:val="en-US" w:eastAsia="zh-CN"/>
        </w:rPr>
        <w:t>采购方财务挂账后三月付款。</w:t>
      </w:r>
    </w:p>
    <w:p w14:paraId="7AC338B0">
      <w:pPr>
        <w:pageBreakBefore w:val="0"/>
        <w:kinsoku/>
        <w:wordWrap/>
        <w:overflowPunct/>
        <w:topLinePunct w:val="0"/>
        <w:autoSpaceDE/>
        <w:autoSpaceDN/>
        <w:bidi w:val="0"/>
        <w:snapToGrid/>
        <w:spacing w:line="46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14:paraId="60A712A5">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0B1579C7">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供应商须为中华人民共和国境内依法注册的法人或者其他组织，有能力完成本项目的厂家或经销商，具备合法的营业执照及经营范围； </w:t>
      </w:r>
    </w:p>
    <w:p w14:paraId="7625647E">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2114E8D9">
      <w:pPr>
        <w:pageBreakBefore w:val="0"/>
        <w:numPr>
          <w:ilvl w:val="0"/>
          <w:numId w:val="0"/>
        </w:numPr>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4B12258A">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13289040">
      <w:pPr>
        <w:pageBreakBefore w:val="0"/>
        <w:kinsoku/>
        <w:wordWrap/>
        <w:overflowPunct/>
        <w:topLinePunct w:val="0"/>
        <w:autoSpaceDE/>
        <w:autoSpaceDN/>
        <w:bidi w:val="0"/>
        <w:snapToGrid/>
        <w:spacing w:line="460" w:lineRule="exact"/>
        <w:ind w:left="0" w:firstLine="560" w:firstLineChars="200"/>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供应商2023年5月至今具有焦沫业绩（提供合同复印件，时间以合同签订时间为准），未提供有效业绩报价无效。</w:t>
      </w:r>
    </w:p>
    <w:p w14:paraId="04C0E152">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241F152A">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5C6CE151">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539C389B">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77F56EEC">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373FA8A4">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0A7B11CA">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4BFC61E0">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2D194507">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1717BC4F">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455A7313">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755844E9">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4A04484A">
      <w:pPr>
        <w:pStyle w:val="4"/>
        <w:pageBreakBefore w:val="0"/>
        <w:kinsoku/>
        <w:wordWrap/>
        <w:overflowPunct/>
        <w:topLinePunct w:val="0"/>
        <w:autoSpaceDE/>
        <w:autoSpaceDN/>
        <w:bidi w:val="0"/>
        <w:snapToGrid/>
        <w:spacing w:before="0" w:after="0" w:line="460" w:lineRule="exact"/>
        <w:ind w:left="0" w:leftChars="0" w:firstLine="562" w:firstLineChars="2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1782172A">
      <w:pPr>
        <w:pageBreakBefore w:val="0"/>
        <w:kinsoku/>
        <w:wordWrap/>
        <w:overflowPunct/>
        <w:topLinePunct w:val="0"/>
        <w:autoSpaceDE/>
        <w:autoSpaceDN/>
        <w:bidi w:val="0"/>
        <w:snapToGrid/>
        <w:spacing w:line="460" w:lineRule="exact"/>
        <w:rPr>
          <w:rFonts w:hint="eastAsia" w:ascii="仿宋" w:hAnsi="仿宋" w:eastAsia="仿宋" w:cs="仿宋"/>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14:paraId="5313A595">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14:paraId="7B2E97F6">
      <w:pPr>
        <w:pStyle w:val="6"/>
        <w:pageBreakBefore w:val="0"/>
        <w:numPr>
          <w:ilvl w:val="0"/>
          <w:numId w:val="0"/>
        </w:numPr>
        <w:kinsoku/>
        <w:wordWrap/>
        <w:overflowPunct/>
        <w:topLinePunct w:val="0"/>
        <w:autoSpaceDE/>
        <w:autoSpaceDN/>
        <w:bidi w:val="0"/>
        <w:snapToGrid/>
        <w:spacing w:after="0" w:line="46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235BE6B8">
      <w:pPr>
        <w:pStyle w:val="6"/>
        <w:pageBreakBefore w:val="0"/>
        <w:numPr>
          <w:ilvl w:val="0"/>
          <w:numId w:val="0"/>
        </w:numPr>
        <w:kinsoku/>
        <w:wordWrap/>
        <w:overflowPunct/>
        <w:topLinePunct w:val="0"/>
        <w:autoSpaceDE/>
        <w:autoSpaceDN/>
        <w:bidi w:val="0"/>
        <w:snapToGrid/>
        <w:spacing w:after="0"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300834963"/>
      <w:bookmarkStart w:id="13" w:name="_Toc352691486"/>
      <w:bookmarkStart w:id="14" w:name="_Toc369531529"/>
      <w:bookmarkStart w:id="15" w:name="_Toc384308223"/>
      <w:bookmarkStart w:id="16" w:name="_Toc152045542"/>
      <w:bookmarkStart w:id="17" w:name="_Toc247527567"/>
      <w:bookmarkStart w:id="18" w:name="_Toc247513966"/>
      <w:bookmarkStart w:id="19" w:name="_Toc361508598"/>
      <w:bookmarkStart w:id="20" w:name="_Toc152042318"/>
      <w:bookmarkStart w:id="21" w:name="_Toc25772"/>
      <w:bookmarkStart w:id="22" w:name="_Toc144974510"/>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300834964"/>
      <w:bookmarkStart w:id="24" w:name="_Toc152042319"/>
      <w:bookmarkStart w:id="25" w:name="_Toc361508599"/>
      <w:bookmarkStart w:id="26" w:name="_Toc152045543"/>
      <w:bookmarkStart w:id="27" w:name="_Toc247513967"/>
      <w:bookmarkStart w:id="28" w:name="_Toc144974511"/>
      <w:bookmarkStart w:id="29" w:name="_Toc15242"/>
      <w:bookmarkStart w:id="30" w:name="_Toc352691487"/>
      <w:bookmarkStart w:id="31" w:name="_Toc247527568"/>
      <w:bookmarkStart w:id="32" w:name="_Toc369531530"/>
      <w:bookmarkStart w:id="33" w:name="_Toc384308224"/>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14:paraId="63CE80D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14:paraId="0DD43B6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14:paraId="214512F2">
      <w:pPr>
        <w:pStyle w:val="4"/>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0AF4E8E6">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60</w:t>
      </w:r>
      <w:r>
        <w:rPr>
          <w:rFonts w:hint="eastAsia" w:ascii="仿宋" w:hAnsi="仿宋" w:eastAsia="仿宋" w:cs="仿宋"/>
          <w:color w:val="auto"/>
          <w:sz w:val="28"/>
          <w:szCs w:val="28"/>
        </w:rPr>
        <w:t>天。</w:t>
      </w:r>
    </w:p>
    <w:p w14:paraId="3EAC3C8A">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7AFA829E">
      <w:pPr>
        <w:pStyle w:val="4"/>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41BB020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5万元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1F2D4B60">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3E46E54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2EE1F492">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61A009E4">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19F5C2D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6A97589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60CB570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5D9A16CB">
      <w:pPr>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4" w:name="_Toc152042322"/>
      <w:bookmarkStart w:id="35" w:name="_Toc14751"/>
      <w:bookmarkStart w:id="36" w:name="_Toc361508603"/>
      <w:bookmarkStart w:id="37" w:name="_Toc144974514"/>
      <w:bookmarkStart w:id="38" w:name="_Toc247527571"/>
      <w:bookmarkStart w:id="39" w:name="_Toc352691491"/>
      <w:bookmarkStart w:id="40" w:name="_Toc247513970"/>
      <w:bookmarkStart w:id="41" w:name="_Toc369531534"/>
      <w:bookmarkStart w:id="42" w:name="_Toc300834967"/>
      <w:bookmarkStart w:id="43" w:name="_Toc152045546"/>
      <w:bookmarkStart w:id="44" w:name="_Toc384308228"/>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4"/>
      <w:bookmarkEnd w:id="35"/>
      <w:bookmarkEnd w:id="36"/>
      <w:bookmarkEnd w:id="37"/>
      <w:bookmarkEnd w:id="38"/>
      <w:bookmarkEnd w:id="39"/>
      <w:bookmarkEnd w:id="40"/>
      <w:bookmarkEnd w:id="41"/>
      <w:bookmarkEnd w:id="42"/>
      <w:bookmarkEnd w:id="43"/>
      <w:bookmarkEnd w:id="44"/>
      <w:r>
        <w:rPr>
          <w:rFonts w:hint="eastAsia" w:ascii="仿宋" w:hAnsi="仿宋" w:eastAsia="仿宋" w:cs="仿宋"/>
          <w:color w:val="auto"/>
          <w:sz w:val="28"/>
          <w:szCs w:val="28"/>
        </w:rPr>
        <w:t>内</w:t>
      </w:r>
      <w:bookmarkStart w:id="45" w:name="_Toc369531535"/>
      <w:bookmarkStart w:id="46" w:name="_Toc361508604"/>
      <w:bookmarkStart w:id="47" w:name="_Toc352691492"/>
      <w:bookmarkStart w:id="48" w:name="_Toc384308229"/>
      <w:bookmarkStart w:id="49" w:name="_Toc247527572"/>
      <w:bookmarkStart w:id="50" w:name="_Toc144974515"/>
      <w:bookmarkStart w:id="51" w:name="_Toc300834968"/>
      <w:bookmarkStart w:id="52" w:name="_Toc247513971"/>
      <w:bookmarkStart w:id="53" w:name="_Toc152042323"/>
      <w:bookmarkStart w:id="54" w:name="_Toc152045547"/>
      <w:bookmarkStart w:id="55" w:name="_Toc17952"/>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45"/>
      <w:bookmarkEnd w:id="46"/>
      <w:bookmarkEnd w:id="47"/>
      <w:bookmarkEnd w:id="48"/>
      <w:bookmarkEnd w:id="49"/>
      <w:bookmarkEnd w:id="50"/>
      <w:bookmarkEnd w:id="51"/>
      <w:bookmarkEnd w:id="52"/>
      <w:bookmarkEnd w:id="53"/>
      <w:bookmarkEnd w:id="54"/>
      <w:bookmarkEnd w:id="55"/>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717C6550">
      <w:pPr>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56AE7978">
      <w:pPr>
        <w:pageBreakBefore w:val="0"/>
        <w:widowControl w:val="0"/>
        <w:kinsoku/>
        <w:wordWrap/>
        <w:overflowPunct/>
        <w:topLinePunct w:val="0"/>
        <w:autoSpaceDE/>
        <w:autoSpaceDN/>
        <w:bidi w:val="0"/>
        <w:adjustRightInd/>
        <w:snapToGrid/>
        <w:spacing w:line="46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1495D0EA">
      <w:pPr>
        <w:pageBreakBefore w:val="0"/>
        <w:widowControl w:val="0"/>
        <w:kinsoku/>
        <w:wordWrap/>
        <w:overflowPunct/>
        <w:topLinePunct w:val="0"/>
        <w:autoSpaceDE/>
        <w:autoSpaceDN/>
        <w:bidi w:val="0"/>
        <w:adjustRightInd/>
        <w:snapToGrid/>
        <w:spacing w:line="46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14:paraId="4F81DA31">
      <w:pPr>
        <w:pStyle w:val="4"/>
        <w:pageBreakBefore w:val="0"/>
        <w:widowControl w:val="0"/>
        <w:kinsoku/>
        <w:wordWrap/>
        <w:overflowPunct/>
        <w:topLinePunct w:val="0"/>
        <w:autoSpaceDE/>
        <w:autoSpaceDN/>
        <w:bidi w:val="0"/>
        <w:adjustRightInd/>
        <w:snapToGrid/>
        <w:spacing w:before="0" w:after="0" w:line="460" w:lineRule="exact"/>
        <w:ind w:left="0" w:firstLine="280" w:firstLineChars="100"/>
        <w:jc w:val="both"/>
        <w:textAlignment w:val="auto"/>
        <w:rPr>
          <w:rFonts w:hint="eastAsia" w:ascii="仿宋" w:hAnsi="仿宋" w:eastAsia="仿宋" w:cs="仿宋"/>
          <w:color w:val="auto"/>
          <w:sz w:val="28"/>
          <w:szCs w:val="28"/>
        </w:rPr>
      </w:pPr>
      <w:bookmarkStart w:id="56" w:name="_Toc28216"/>
      <w:bookmarkStart w:id="57" w:name="_Toc21871"/>
      <w:bookmarkStart w:id="58" w:name="_Toc33795794"/>
      <w:bookmarkStart w:id="59" w:name="_Toc2451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56"/>
      <w:bookmarkEnd w:id="57"/>
      <w:bookmarkEnd w:id="58"/>
      <w:bookmarkEnd w:id="59"/>
    </w:p>
    <w:p w14:paraId="043634F3">
      <w:pPr>
        <w:pStyle w:val="4"/>
        <w:pageBreakBefore w:val="0"/>
        <w:kinsoku/>
        <w:wordWrap/>
        <w:overflowPunct/>
        <w:topLinePunct w:val="0"/>
        <w:autoSpaceDE/>
        <w:autoSpaceDN/>
        <w:bidi w:val="0"/>
        <w:snapToGrid/>
        <w:spacing w:before="0" w:after="0"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20DFEFDE">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17CE213D">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“近年财务状况表”应</w:t>
      </w:r>
      <w:r>
        <w:rPr>
          <w:rFonts w:hint="eastAsia" w:ascii="仿宋" w:hAnsi="仿宋" w:eastAsia="仿宋" w:cs="仿宋"/>
          <w:color w:val="auto"/>
          <w:sz w:val="28"/>
          <w:szCs w:val="28"/>
          <w:lang w:val="en-US" w:eastAsia="zh-CN"/>
        </w:rPr>
        <w:t>附近两年来的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lang w:val="en-US" w:eastAsia="zh-CN"/>
        </w:rPr>
        <w:t>两年</w:t>
      </w:r>
      <w:r>
        <w:rPr>
          <w:rFonts w:hint="eastAsia" w:ascii="仿宋" w:hAnsi="仿宋" w:eastAsia="仿宋" w:cs="仿宋"/>
          <w:color w:val="auto"/>
          <w:sz w:val="28"/>
          <w:szCs w:val="28"/>
        </w:rPr>
        <w:t>的，应提供成立以来的财务状况。</w:t>
      </w:r>
    </w:p>
    <w:p w14:paraId="1CAC86D4">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175F370D">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14:paraId="256E6A23">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5、线下响应文件需胶装密封，封面需注明参与项目名称及公司盖章。快递件不作为密封条件，以快递件内的密封胶装响应文件为准。</w:t>
      </w:r>
    </w:p>
    <w:p w14:paraId="3B32EB3B">
      <w:pPr>
        <w:pageBreakBefore w:val="0"/>
        <w:kinsoku/>
        <w:wordWrap/>
        <w:topLinePunct w:val="0"/>
        <w:autoSpaceDE/>
        <w:autoSpaceDN/>
        <w:bidi w:val="0"/>
        <w:snapToGrid/>
        <w:spacing w:line="46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6、资格审查不合格的报价无效。</w:t>
      </w:r>
    </w:p>
    <w:p w14:paraId="55CF8B55">
      <w:pPr>
        <w:pageBreakBefore w:val="0"/>
        <w:kinsoku/>
        <w:wordWrap/>
        <w:topLinePunct w:val="0"/>
        <w:autoSpaceDE/>
        <w:autoSpaceDN/>
        <w:bidi w:val="0"/>
        <w:snapToGrid/>
        <w:spacing w:line="460" w:lineRule="exact"/>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73FD4F22">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响应文件提交截止时间：2026年4月30日15时（北京时间）；</w:t>
      </w:r>
    </w:p>
    <w:p w14:paraId="284D564E">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b w:val="0"/>
          <w:bCs w:val="0"/>
          <w:i w:val="0"/>
          <w:iCs w:val="0"/>
          <w:caps w:val="0"/>
          <w:color w:val="333333"/>
          <w:spacing w:val="0"/>
          <w:sz w:val="28"/>
          <w:szCs w:val="28"/>
          <w:shd w:val="clear" w:fill="FEFEFE"/>
        </w:rPr>
      </w:pPr>
      <w:r>
        <w:rPr>
          <w:rFonts w:hint="eastAsia" w:ascii="仿宋" w:hAnsi="仿宋" w:eastAsia="仿宋" w:cs="仿宋"/>
          <w:color w:val="auto"/>
          <w:spacing w:val="1"/>
          <w:sz w:val="28"/>
          <w:szCs w:val="28"/>
          <w:highlight w:val="none"/>
          <w:lang w:val="en-US" w:eastAsia="zh-CN"/>
        </w:rPr>
        <w:t>2.线上提交方法：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3"/>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73FFC3C4">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i w:val="0"/>
          <w:iCs w:val="0"/>
          <w:caps w:val="0"/>
          <w:color w:val="333333"/>
          <w:spacing w:val="0"/>
          <w:sz w:val="28"/>
          <w:szCs w:val="28"/>
          <w:shd w:val="clear" w:fill="FEFEFE"/>
          <w:lang w:val="en-US" w:eastAsia="zh-CN"/>
        </w:rPr>
        <w:t>3、</w:t>
      </w:r>
      <w:r>
        <w:rPr>
          <w:rFonts w:hint="eastAsia" w:ascii="仿宋" w:hAnsi="仿宋" w:eastAsia="仿宋" w:cs="仿宋"/>
          <w:color w:val="auto"/>
          <w:sz w:val="28"/>
          <w:szCs w:val="28"/>
          <w:lang w:val="en-US" w:eastAsia="zh-CN"/>
        </w:rPr>
        <w:t>线下提交方法：将响应文件一式两份一正一副密封后直接送达或邮寄至陕西锌业有限公司一楼招投标办公室。</w:t>
      </w:r>
    </w:p>
    <w:p w14:paraId="02A3D446">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4、报价单位可任选线上或线下任意一种方法提交</w:t>
      </w:r>
      <w:r>
        <w:rPr>
          <w:rFonts w:hint="eastAsia" w:ascii="仿宋" w:hAnsi="仿宋" w:eastAsia="仿宋" w:cs="仿宋"/>
          <w:b w:val="0"/>
          <w:bCs w:val="0"/>
          <w:color w:val="auto"/>
          <w:spacing w:val="1"/>
          <w:sz w:val="28"/>
          <w:szCs w:val="28"/>
          <w:highlight w:val="none"/>
          <w:lang w:eastAsia="zh-CN"/>
        </w:rPr>
        <w:t>响应文件</w:t>
      </w:r>
      <w:r>
        <w:rPr>
          <w:rFonts w:hint="eastAsia" w:ascii="仿宋" w:hAnsi="仿宋" w:eastAsia="仿宋" w:cs="仿宋"/>
          <w:color w:val="auto"/>
          <w:sz w:val="28"/>
          <w:szCs w:val="28"/>
          <w:lang w:val="en-US" w:eastAsia="zh-CN"/>
        </w:rPr>
        <w:t>。</w:t>
      </w:r>
    </w:p>
    <w:p w14:paraId="2B63749B">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14:paraId="37C1302B">
      <w:pPr>
        <w:keepNext w:val="0"/>
        <w:keepLines w:val="0"/>
        <w:pageBreakBefore w:val="0"/>
        <w:widowControl w:val="0"/>
        <w:kinsoku/>
        <w:wordWrap/>
        <w:overflowPunct w:val="0"/>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color w:val="auto"/>
          <w:sz w:val="28"/>
          <w:szCs w:val="28"/>
          <w:lang w:val="en-US" w:eastAsia="zh-CN"/>
        </w:rPr>
        <w:t>收标联系人：白浩楠     电话：18329587208</w:t>
      </w:r>
    </w:p>
    <w:p w14:paraId="6FB19940">
      <w:pPr>
        <w:pStyle w:val="14"/>
        <w:keepNext w:val="0"/>
        <w:keepLines w:val="0"/>
        <w:pageBreakBefore w:val="0"/>
        <w:shd w:val="clear" w:color="auto" w:fill="auto"/>
        <w:kinsoku/>
        <w:wordWrap/>
        <w:overflowPunct/>
        <w:topLinePunct w:val="0"/>
        <w:autoSpaceDE/>
        <w:autoSpaceDN/>
        <w:bidi w:val="0"/>
        <w:adjustRightInd/>
        <w:snapToGrid/>
        <w:spacing w:before="0" w:after="120" w:line="460" w:lineRule="exact"/>
        <w:ind w:firstLine="566"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479A7A29">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2026年4月30日15时</w:t>
      </w:r>
      <w:r>
        <w:rPr>
          <w:rFonts w:hint="eastAsia" w:ascii="仿宋" w:hAnsi="仿宋" w:eastAsia="仿宋" w:cs="仿宋"/>
          <w:color w:val="auto"/>
          <w:spacing w:val="1"/>
          <w:kern w:val="0"/>
          <w:sz w:val="28"/>
          <w:szCs w:val="28"/>
          <w:highlight w:val="none"/>
          <w:lang w:val="en-US" w:eastAsia="zh-CN" w:bidi="ar-SA"/>
        </w:rPr>
        <w:t>；</w:t>
      </w:r>
    </w:p>
    <w:p w14:paraId="3989E8E9">
      <w:pPr>
        <w:pageBreakBefore w:val="0"/>
        <w:kinsoku/>
        <w:wordWrap/>
        <w:topLinePunct w:val="0"/>
        <w:autoSpaceDE/>
        <w:autoSpaceDN/>
        <w:bidi w:val="0"/>
        <w:snapToGrid/>
        <w:spacing w:line="460" w:lineRule="exact"/>
        <w:ind w:firstLine="564" w:firstLineChars="200"/>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2F4B5F07">
      <w:pPr>
        <w:pStyle w:val="3"/>
        <w:pageBreakBefore w:val="0"/>
        <w:widowControl w:val="0"/>
        <w:kinsoku/>
        <w:wordWrap/>
        <w:overflowPunct/>
        <w:topLinePunct w:val="0"/>
        <w:autoSpaceDE/>
        <w:autoSpaceDN/>
        <w:bidi w:val="0"/>
        <w:adjustRightInd/>
        <w:snapToGrid/>
        <w:spacing w:before="0" w:after="0" w:line="460" w:lineRule="exact"/>
        <w:ind w:firstLine="562" w:firstLineChars="200"/>
        <w:jc w:val="both"/>
        <w:textAlignment w:val="auto"/>
        <w:rPr>
          <w:rFonts w:hint="eastAsia" w:ascii="仿宋" w:hAnsi="仿宋" w:eastAsia="仿宋" w:cs="仿宋"/>
          <w:color w:val="auto"/>
          <w:sz w:val="28"/>
          <w:szCs w:val="28"/>
          <w:lang w:val="en-US" w:eastAsia="zh-CN"/>
        </w:rPr>
      </w:pPr>
      <w:r>
        <w:rPr>
          <w:rStyle w:val="12"/>
          <w:rFonts w:hint="eastAsia" w:ascii="仿宋" w:hAnsi="仿宋" w:eastAsia="仿宋" w:cs="仿宋"/>
          <w:b/>
          <w:i w:val="0"/>
          <w:iCs w:val="0"/>
          <w:caps w:val="0"/>
          <w:color w:val="000000"/>
          <w:spacing w:val="0"/>
          <w:sz w:val="28"/>
          <w:szCs w:val="28"/>
          <w:lang w:val="en-US" w:eastAsia="zh-CN"/>
        </w:rPr>
        <w:t>五</w:t>
      </w:r>
      <w:r>
        <w:rPr>
          <w:rStyle w:val="12"/>
          <w:rFonts w:hint="eastAsia" w:ascii="仿宋" w:hAnsi="仿宋" w:eastAsia="仿宋" w:cs="仿宋"/>
          <w:b/>
          <w:i w:val="0"/>
          <w:iCs w:val="0"/>
          <w:caps w:val="0"/>
          <w:color w:val="000000"/>
          <w:spacing w:val="0"/>
          <w:sz w:val="28"/>
          <w:szCs w:val="28"/>
        </w:rPr>
        <w:t>、</w:t>
      </w:r>
      <w:r>
        <w:rPr>
          <w:rStyle w:val="12"/>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14:paraId="160DA3BB">
      <w:pPr>
        <w:pageBreakBefore w:val="0"/>
        <w:kinsoku/>
        <w:wordWrap/>
        <w:overflowPunct/>
        <w:topLinePunct w:val="0"/>
        <w:autoSpaceDE/>
        <w:autoSpaceDN/>
        <w:bidi w:val="0"/>
        <w:adjustRightInd/>
        <w:snapToGrid/>
        <w:spacing w:line="460" w:lineRule="exact"/>
        <w:ind w:firstLine="56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（一）响应文件评审办法</w:t>
      </w:r>
    </w:p>
    <w:p w14:paraId="426693E3">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i w:val="0"/>
          <w:iCs w:val="0"/>
          <w:caps w:val="0"/>
          <w:color w:val="333333"/>
          <w:spacing w:val="0"/>
          <w:sz w:val="28"/>
          <w:szCs w:val="28"/>
          <w:shd w:val="clear" w:fill="FEFEFE"/>
        </w:rPr>
      </w:pPr>
      <w:r>
        <w:rPr>
          <w:rFonts w:hint="eastAsia" w:ascii="仿宋" w:hAnsi="仿宋" w:eastAsia="仿宋" w:cs="仿宋"/>
          <w:i w:val="0"/>
          <w:iCs w:val="0"/>
          <w:caps w:val="0"/>
          <w:color w:val="333333"/>
          <w:spacing w:val="0"/>
          <w:sz w:val="28"/>
          <w:szCs w:val="28"/>
          <w:shd w:val="clear" w:fill="FEFEFE"/>
        </w:rPr>
        <w:t>1.综合评分法。是在响应文件满足采购文件实质性要求的前提下，评审小组对通过初步评审的供应商的响应文件进行详细评审后，根据响应服务机构综合得分从高到低推荐成交候选人。</w:t>
      </w:r>
    </w:p>
    <w:p w14:paraId="3443B7A1">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2、</w:t>
      </w:r>
      <w:r>
        <w:rPr>
          <w:rFonts w:hint="eastAsia" w:ascii="仿宋" w:hAnsi="仿宋" w:eastAsia="仿宋" w:cs="仿宋"/>
          <w:color w:val="auto"/>
          <w:sz w:val="28"/>
          <w:szCs w:val="28"/>
          <w:highlight w:val="none"/>
        </w:rPr>
        <w:t>分值构成(总分100分</w:t>
      </w:r>
      <w:r>
        <w:rPr>
          <w:rFonts w:hint="eastAsia" w:ascii="仿宋" w:hAnsi="仿宋" w:eastAsia="仿宋" w:cs="仿宋"/>
          <w:color w:val="auto"/>
          <w:sz w:val="28"/>
          <w:szCs w:val="28"/>
          <w:highlight w:val="none"/>
          <w:lang w:eastAsia="zh-CN"/>
        </w:rPr>
        <w:t>）</w:t>
      </w:r>
    </w:p>
    <w:p w14:paraId="04C7A28E">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商务部分：10分</w:t>
      </w:r>
      <w:r>
        <w:rPr>
          <w:rFonts w:hint="eastAsia" w:ascii="仿宋" w:hAnsi="仿宋" w:eastAsia="仿宋" w:cs="仿宋"/>
          <w:color w:val="auto"/>
          <w:sz w:val="28"/>
          <w:szCs w:val="28"/>
          <w:highlight w:val="none"/>
          <w:lang w:eastAsia="zh-CN"/>
        </w:rPr>
        <w:t>，</w:t>
      </w:r>
    </w:p>
    <w:p w14:paraId="0FF5D554">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技术部分：45分</w:t>
      </w:r>
    </w:p>
    <w:p w14:paraId="51EC4F10">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投标报价：45分</w:t>
      </w:r>
    </w:p>
    <w:p w14:paraId="5761A7B8">
      <w:pPr>
        <w:keepNext w:val="0"/>
        <w:keepLines w:val="0"/>
        <w:pageBreakBefore w:val="0"/>
        <w:numPr>
          <w:ilvl w:val="0"/>
          <w:numId w:val="1"/>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评标基准价计算方法</w:t>
      </w:r>
    </w:p>
    <w:p w14:paraId="7CE54D59">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val="0"/>
          <w:color w:val="auto"/>
          <w:kern w:val="2"/>
          <w:sz w:val="28"/>
          <w:szCs w:val="28"/>
          <w:highlight w:val="none"/>
          <w:lang w:val="zh-CN" w:eastAsia="zh-CN" w:bidi="ar-SA"/>
        </w:rPr>
      </w:pPr>
      <w:r>
        <w:rPr>
          <w:rFonts w:hint="eastAsia" w:ascii="仿宋" w:hAnsi="仿宋" w:eastAsia="仿宋" w:cs="仿宋"/>
          <w:color w:val="auto"/>
          <w:sz w:val="28"/>
          <w:szCs w:val="28"/>
          <w:highlight w:val="none"/>
        </w:rPr>
        <w:t>所有有效报价的算术平均值（有效报价即通过初步评审的</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的报价，当通过初步评审的</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大于 5 个时，去掉</w:t>
      </w:r>
      <w:r>
        <w:rPr>
          <w:rFonts w:hint="eastAsia" w:ascii="仿宋" w:hAnsi="仿宋" w:eastAsia="仿宋" w:cs="仿宋"/>
          <w:color w:val="auto"/>
          <w:sz w:val="28"/>
          <w:szCs w:val="28"/>
          <w:highlight w:val="none"/>
          <w:lang w:val="en-US" w:eastAsia="zh-CN"/>
        </w:rPr>
        <w:t>一个</w:t>
      </w:r>
      <w:r>
        <w:rPr>
          <w:rFonts w:hint="eastAsia" w:ascii="仿宋" w:hAnsi="仿宋" w:eastAsia="仿宋" w:cs="仿宋"/>
          <w:color w:val="auto"/>
          <w:sz w:val="28"/>
          <w:szCs w:val="28"/>
          <w:highlight w:val="none"/>
        </w:rPr>
        <w:t>最高与</w:t>
      </w:r>
      <w:r>
        <w:rPr>
          <w:rFonts w:hint="eastAsia" w:ascii="仿宋" w:hAnsi="仿宋" w:eastAsia="仿宋" w:cs="仿宋"/>
          <w:color w:val="auto"/>
          <w:sz w:val="28"/>
          <w:szCs w:val="28"/>
          <w:highlight w:val="none"/>
          <w:lang w:val="en-US" w:eastAsia="zh-CN"/>
        </w:rPr>
        <w:t>一个</w:t>
      </w:r>
      <w:r>
        <w:rPr>
          <w:rFonts w:hint="eastAsia" w:ascii="仿宋" w:hAnsi="仿宋" w:eastAsia="仿宋" w:cs="仿宋"/>
          <w:color w:val="auto"/>
          <w:sz w:val="28"/>
          <w:szCs w:val="28"/>
          <w:highlight w:val="none"/>
        </w:rPr>
        <w:t>最低报价）。打分保留小数点后两位。</w:t>
      </w:r>
      <w:r>
        <w:rPr>
          <w:rFonts w:hint="eastAsia" w:ascii="仿宋" w:hAnsi="仿宋" w:eastAsia="仿宋" w:cs="仿宋"/>
          <w:color w:val="auto"/>
          <w:sz w:val="28"/>
          <w:szCs w:val="28"/>
          <w:highlight w:val="none"/>
          <w:lang w:val="en-US" w:eastAsia="zh-CN"/>
        </w:rPr>
        <w:t>采购</w:t>
      </w:r>
      <w:r>
        <w:rPr>
          <w:rFonts w:hint="eastAsia" w:ascii="仿宋" w:hAnsi="仿宋" w:eastAsia="仿宋" w:cs="仿宋"/>
          <w:b w:val="0"/>
          <w:bCs w:val="0"/>
          <w:color w:val="auto"/>
          <w:kern w:val="2"/>
          <w:sz w:val="28"/>
          <w:szCs w:val="28"/>
          <w:highlight w:val="none"/>
          <w:lang w:val="zh-CN" w:eastAsia="zh-CN" w:bidi="ar-SA"/>
        </w:rPr>
        <w:t>报价的偏差率=（</w:t>
      </w:r>
      <w:r>
        <w:rPr>
          <w:rFonts w:hint="eastAsia" w:ascii="仿宋" w:hAnsi="仿宋" w:eastAsia="仿宋" w:cs="仿宋"/>
          <w:b w:val="0"/>
          <w:bCs w:val="0"/>
          <w:color w:val="auto"/>
          <w:kern w:val="2"/>
          <w:sz w:val="28"/>
          <w:szCs w:val="28"/>
          <w:highlight w:val="none"/>
          <w:lang w:val="en-US" w:eastAsia="zh-CN" w:bidi="ar-SA"/>
        </w:rPr>
        <w:t>采购</w:t>
      </w:r>
      <w:r>
        <w:rPr>
          <w:rFonts w:hint="eastAsia" w:ascii="仿宋" w:hAnsi="仿宋" w:eastAsia="仿宋" w:cs="仿宋"/>
          <w:b w:val="0"/>
          <w:bCs w:val="0"/>
          <w:color w:val="auto"/>
          <w:kern w:val="2"/>
          <w:sz w:val="28"/>
          <w:szCs w:val="28"/>
          <w:highlight w:val="none"/>
          <w:lang w:val="zh-CN" w:eastAsia="zh-CN" w:bidi="ar-SA"/>
        </w:rPr>
        <w:t>报价-评标基准价）/评标基准价。</w:t>
      </w:r>
    </w:p>
    <w:p w14:paraId="09946EA5">
      <w:pPr>
        <w:keepNext w:val="0"/>
        <w:keepLines w:val="0"/>
        <w:pageBreakBefore w:val="0"/>
        <w:kinsoku/>
        <w:wordWrap/>
        <w:overflowPunct/>
        <w:topLinePunct w:val="0"/>
        <w:autoSpaceDE/>
        <w:autoSpaceDN/>
        <w:bidi w:val="0"/>
        <w:adjustRightInd/>
        <w:snapToGrid/>
        <w:spacing w:line="460" w:lineRule="exact"/>
        <w:ind w:firstLine="280" w:firstLineChars="1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 xml:space="preserve"> 4、</w:t>
      </w:r>
      <w:r>
        <w:rPr>
          <w:rFonts w:hint="eastAsia" w:ascii="仿宋" w:hAnsi="仿宋" w:eastAsia="仿宋" w:cs="仿宋"/>
          <w:color w:val="auto"/>
          <w:sz w:val="28"/>
          <w:szCs w:val="28"/>
          <w:highlight w:val="none"/>
        </w:rPr>
        <w:t>商务评分标准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10分</w:t>
      </w:r>
      <w:r>
        <w:rPr>
          <w:rFonts w:hint="eastAsia" w:ascii="仿宋" w:hAnsi="仿宋" w:eastAsia="仿宋" w:cs="仿宋"/>
          <w:color w:val="auto"/>
          <w:sz w:val="28"/>
          <w:szCs w:val="28"/>
          <w:highlight w:val="none"/>
          <w:lang w:eastAsia="zh-CN"/>
        </w:rPr>
        <w:t>）</w:t>
      </w:r>
    </w:p>
    <w:p w14:paraId="031EF838">
      <w:pPr>
        <w:keepNext w:val="0"/>
        <w:keepLines w:val="0"/>
        <w:pageBreakBefore w:val="0"/>
        <w:widowControl/>
        <w:numPr>
          <w:ilvl w:val="0"/>
          <w:numId w:val="2"/>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业绩</w:t>
      </w:r>
      <w:r>
        <w:rPr>
          <w:rFonts w:hint="eastAsia" w:ascii="仿宋" w:hAnsi="仿宋" w:eastAsia="仿宋" w:cs="仿宋"/>
          <w:color w:val="auto"/>
          <w:sz w:val="28"/>
          <w:szCs w:val="28"/>
          <w:highlight w:val="none"/>
          <w:shd w:val="clear" w:color="auto" w:fill="FFFFFF"/>
          <w:lang w:val="en-US" w:eastAsia="zh-CN"/>
        </w:rPr>
        <w:t>4分：</w:t>
      </w:r>
      <w:r>
        <w:rPr>
          <w:rFonts w:hint="eastAsia" w:ascii="仿宋" w:hAnsi="仿宋" w:eastAsia="仿宋" w:cs="仿宋"/>
          <w:color w:val="auto"/>
          <w:sz w:val="28"/>
          <w:szCs w:val="28"/>
          <w:highlight w:val="none"/>
          <w:shd w:val="clear" w:color="auto" w:fill="FFFFFF"/>
        </w:rPr>
        <w:t>每提供一份业绩合同得2分，此项最高</w:t>
      </w:r>
      <w:r>
        <w:rPr>
          <w:rFonts w:hint="eastAsia" w:ascii="仿宋" w:hAnsi="仿宋" w:eastAsia="仿宋" w:cs="仿宋"/>
          <w:color w:val="auto"/>
          <w:sz w:val="28"/>
          <w:szCs w:val="28"/>
          <w:highlight w:val="none"/>
          <w:shd w:val="clear" w:color="auto" w:fill="FFFFFF"/>
          <w:lang w:val="en-US" w:eastAsia="zh-CN"/>
        </w:rPr>
        <w:t>4</w:t>
      </w:r>
      <w:r>
        <w:rPr>
          <w:rFonts w:hint="eastAsia" w:ascii="仿宋" w:hAnsi="仿宋" w:eastAsia="仿宋" w:cs="仿宋"/>
          <w:color w:val="auto"/>
          <w:sz w:val="28"/>
          <w:szCs w:val="28"/>
          <w:highlight w:val="none"/>
          <w:shd w:val="clear" w:color="auto" w:fill="FFFFFF"/>
        </w:rPr>
        <w:t>分。</w:t>
      </w:r>
    </w:p>
    <w:p w14:paraId="761BF7D0">
      <w:pPr>
        <w:keepNext w:val="0"/>
        <w:keepLines w:val="0"/>
        <w:pageBreakBefore w:val="0"/>
        <w:widowControl/>
        <w:numPr>
          <w:ilvl w:val="0"/>
          <w:numId w:val="2"/>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文件商务条款的响应程度</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shd w:val="clear" w:color="auto" w:fill="FFFFFF"/>
        </w:rPr>
        <w:t>分</w:t>
      </w:r>
      <w:r>
        <w:rPr>
          <w:rFonts w:hint="eastAsia" w:ascii="仿宋" w:hAnsi="仿宋" w:eastAsia="仿宋" w:cs="仿宋"/>
          <w:color w:val="auto"/>
          <w:sz w:val="28"/>
          <w:szCs w:val="28"/>
          <w:highlight w:val="none"/>
          <w:shd w:val="clear" w:color="auto" w:fill="FFFFFF"/>
          <w:lang w:eastAsia="zh-CN"/>
        </w:rPr>
        <w:t>：</w:t>
      </w:r>
    </w:p>
    <w:p w14:paraId="56599F47">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shd w:val="clear" w:color="auto" w:fill="FFFFFF"/>
          <w:lang w:val="en-US" w:eastAsia="zh-CN"/>
        </w:rPr>
        <w:t>采购</w:t>
      </w:r>
      <w:r>
        <w:rPr>
          <w:rFonts w:hint="eastAsia" w:ascii="仿宋" w:hAnsi="仿宋" w:eastAsia="仿宋" w:cs="仿宋"/>
          <w:color w:val="auto"/>
          <w:sz w:val="28"/>
          <w:szCs w:val="28"/>
          <w:highlight w:val="none"/>
        </w:rPr>
        <w:t>文件中对付款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结算方式、验收质检等</w:t>
      </w:r>
      <w:r>
        <w:rPr>
          <w:rFonts w:hint="eastAsia" w:ascii="仿宋" w:hAnsi="仿宋" w:eastAsia="仿宋" w:cs="仿宋"/>
          <w:color w:val="auto"/>
          <w:sz w:val="28"/>
          <w:szCs w:val="28"/>
          <w:highlight w:val="none"/>
        </w:rPr>
        <w:t>商务要求进行响应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不符合</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文件要求的，每负偏离一项，扣2分，扣完为止</w:t>
      </w:r>
      <w:r>
        <w:rPr>
          <w:rFonts w:hint="eastAsia" w:ascii="仿宋" w:hAnsi="仿宋" w:eastAsia="仿宋" w:cs="仿宋"/>
          <w:color w:val="auto"/>
          <w:sz w:val="28"/>
          <w:szCs w:val="28"/>
          <w:highlight w:val="none"/>
          <w:lang w:eastAsia="zh-CN"/>
        </w:rPr>
        <w:t>。</w:t>
      </w:r>
    </w:p>
    <w:p w14:paraId="7834BA5E">
      <w:pPr>
        <w:keepNext w:val="0"/>
        <w:keepLines w:val="0"/>
        <w:pageBreakBefore w:val="0"/>
        <w:numPr>
          <w:ilvl w:val="0"/>
          <w:numId w:val="0"/>
        </w:numPr>
        <w:kinsoku/>
        <w:wordWrap/>
        <w:overflowPunct/>
        <w:topLinePunct w:val="0"/>
        <w:autoSpaceDE/>
        <w:autoSpaceDN/>
        <w:bidi w:val="0"/>
        <w:adjustRightInd/>
        <w:snapToGrid/>
        <w:spacing w:line="460" w:lineRule="exact"/>
        <w:ind w:left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技术评分标准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45分</w:t>
      </w:r>
      <w:r>
        <w:rPr>
          <w:rFonts w:hint="eastAsia" w:ascii="仿宋" w:hAnsi="仿宋" w:eastAsia="仿宋" w:cs="仿宋"/>
          <w:color w:val="auto"/>
          <w:sz w:val="28"/>
          <w:szCs w:val="28"/>
          <w:highlight w:val="none"/>
          <w:lang w:eastAsia="zh-CN"/>
        </w:rPr>
        <w:t>）</w:t>
      </w:r>
    </w:p>
    <w:p w14:paraId="7FD43015">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rPr>
        <w:t>）投标货物技术参数清楚、明确。</w:t>
      </w:r>
      <w:r>
        <w:rPr>
          <w:rFonts w:hint="eastAsia" w:ascii="仿宋" w:hAnsi="仿宋" w:eastAsia="仿宋" w:cs="仿宋"/>
          <w:color w:val="auto"/>
          <w:sz w:val="28"/>
          <w:szCs w:val="28"/>
          <w:highlight w:val="none"/>
        </w:rPr>
        <w:t>评标委员会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02C6D81E">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val="en-US" w:eastAsia="zh-CN"/>
        </w:rPr>
        <w:t>（2）报价单位</w:t>
      </w:r>
      <w:r>
        <w:rPr>
          <w:rFonts w:hint="eastAsia" w:ascii="仿宋" w:hAnsi="仿宋" w:eastAsia="仿宋" w:cs="仿宋"/>
          <w:color w:val="auto"/>
          <w:sz w:val="28"/>
          <w:szCs w:val="28"/>
          <w:highlight w:val="none"/>
          <w:lang w:val="zh-CN"/>
        </w:rPr>
        <w:t>有</w:t>
      </w:r>
      <w:r>
        <w:rPr>
          <w:rFonts w:hint="eastAsia" w:ascii="仿宋" w:hAnsi="仿宋" w:eastAsia="仿宋" w:cs="仿宋"/>
          <w:color w:val="auto"/>
          <w:sz w:val="28"/>
          <w:szCs w:val="28"/>
          <w:highlight w:val="none"/>
          <w:lang w:val="en-US" w:eastAsia="zh-CN"/>
        </w:rPr>
        <w:t>资质供应，具有</w:t>
      </w:r>
      <w:r>
        <w:rPr>
          <w:rFonts w:hint="eastAsia" w:ascii="仿宋" w:hAnsi="仿宋" w:eastAsia="仿宋" w:cs="仿宋"/>
          <w:color w:val="auto"/>
          <w:sz w:val="28"/>
          <w:szCs w:val="28"/>
          <w:highlight w:val="none"/>
          <w:lang w:val="zh-CN"/>
        </w:rPr>
        <w:t>可靠、完备的质量管理体系、</w:t>
      </w:r>
      <w:r>
        <w:rPr>
          <w:rFonts w:hint="eastAsia" w:ascii="仿宋" w:hAnsi="仿宋" w:eastAsia="仿宋" w:cs="仿宋"/>
          <w:color w:val="auto"/>
          <w:sz w:val="28"/>
          <w:szCs w:val="28"/>
          <w:highlight w:val="none"/>
          <w:lang w:val="en-US" w:eastAsia="zh-CN"/>
        </w:rPr>
        <w:t>加工能力、</w:t>
      </w:r>
      <w:r>
        <w:rPr>
          <w:rFonts w:hint="eastAsia" w:ascii="仿宋" w:hAnsi="仿宋" w:eastAsia="仿宋" w:cs="仿宋"/>
          <w:color w:val="auto"/>
          <w:sz w:val="28"/>
          <w:szCs w:val="28"/>
          <w:highlight w:val="none"/>
          <w:lang w:val="zh-CN"/>
        </w:rPr>
        <w:t>检验</w:t>
      </w:r>
      <w:r>
        <w:rPr>
          <w:rFonts w:hint="eastAsia" w:ascii="仿宋" w:hAnsi="仿宋" w:eastAsia="仿宋" w:cs="仿宋"/>
          <w:color w:val="auto"/>
          <w:sz w:val="28"/>
          <w:szCs w:val="28"/>
          <w:highlight w:val="none"/>
          <w:lang w:val="en-US" w:eastAsia="zh-CN"/>
        </w:rPr>
        <w:t>能力</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场地要求、相应设备等</w:t>
      </w:r>
      <w:r>
        <w:rPr>
          <w:rFonts w:hint="eastAsia" w:ascii="仿宋" w:hAnsi="仿宋" w:eastAsia="仿宋" w:cs="仿宋"/>
          <w:color w:val="auto"/>
          <w:sz w:val="28"/>
          <w:szCs w:val="28"/>
          <w:highlight w:val="none"/>
          <w:lang w:val="zh-CN"/>
        </w:rPr>
        <w:t>符合</w:t>
      </w:r>
      <w:r>
        <w:rPr>
          <w:rFonts w:hint="eastAsia" w:ascii="仿宋" w:hAnsi="仿宋" w:eastAsia="仿宋" w:cs="仿宋"/>
          <w:color w:val="auto"/>
          <w:sz w:val="28"/>
          <w:szCs w:val="28"/>
          <w:highlight w:val="none"/>
          <w:lang w:val="en-US" w:eastAsia="zh-CN"/>
        </w:rPr>
        <w:t>招标人要求的条件</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0FFC536B">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报价单位了解采购方的焦沫工况使用环境，货物质量技术指标要求，</w:t>
      </w:r>
      <w:r>
        <w:rPr>
          <w:rFonts w:hint="eastAsia" w:ascii="仿宋" w:hAnsi="仿宋" w:eastAsia="仿宋" w:cs="仿宋"/>
          <w:color w:val="auto"/>
          <w:sz w:val="28"/>
          <w:szCs w:val="28"/>
          <w:highlight w:val="none"/>
        </w:rPr>
        <w:t>所</w:t>
      </w:r>
      <w:r>
        <w:rPr>
          <w:rFonts w:hint="eastAsia" w:ascii="仿宋" w:hAnsi="仿宋" w:eastAsia="仿宋" w:cs="仿宋"/>
          <w:color w:val="auto"/>
          <w:sz w:val="28"/>
          <w:szCs w:val="28"/>
          <w:highlight w:val="none"/>
          <w:lang w:val="en-US" w:eastAsia="zh-CN"/>
        </w:rPr>
        <w:t>报</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完全符合采购方生产要求</w:t>
      </w:r>
      <w:r>
        <w:rPr>
          <w:rFonts w:hint="eastAsia" w:ascii="仿宋" w:hAnsi="仿宋" w:eastAsia="仿宋" w:cs="仿宋"/>
          <w:color w:val="auto"/>
          <w:sz w:val="28"/>
          <w:szCs w:val="28"/>
          <w:highlight w:val="none"/>
          <w:lang w:val="zh-CN"/>
        </w:rPr>
        <w:t>横向比较（0-</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val="zh-CN"/>
        </w:rPr>
        <w:t>分）</w:t>
      </w:r>
    </w:p>
    <w:p w14:paraId="5EF93C3B">
      <w:pPr>
        <w:keepNext w:val="0"/>
        <w:keepLines w:val="0"/>
        <w:pageBreakBefore w:val="0"/>
        <w:kinsoku/>
        <w:wordWrap/>
        <w:overflowPunct/>
        <w:topLinePunct w:val="0"/>
        <w:autoSpaceDE/>
        <w:autoSpaceDN/>
        <w:bidi w:val="0"/>
        <w:adjustRightInd/>
        <w:snapToGrid/>
        <w:spacing w:line="460" w:lineRule="exact"/>
        <w:ind w:left="210" w:leftChars="100" w:firstLine="280" w:firstLineChars="1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交货保证：</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具有可靠、完备的交货保证措施，能</w:t>
      </w:r>
    </w:p>
    <w:p w14:paraId="2ADF1DB4">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rPr>
        <w:t>保证整体交货进度。</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39958FA8">
      <w:pPr>
        <w:keepNext w:val="0"/>
        <w:keepLines w:val="0"/>
        <w:pageBreakBefore w:val="0"/>
        <w:kinsoku/>
        <w:wordWrap/>
        <w:overflowPunct/>
        <w:topLinePunct w:val="0"/>
        <w:autoSpaceDE/>
        <w:autoSpaceDN/>
        <w:bidi w:val="0"/>
        <w:adjustRightInd/>
        <w:snapToGrid/>
        <w:spacing w:line="460" w:lineRule="exact"/>
        <w:ind w:left="210" w:leftChars="100" w:firstLine="280" w:firstLineChars="1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售后服务：有较好的售后服务承诺和保证措施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评审小组</w:t>
      </w:r>
    </w:p>
    <w:p w14:paraId="488B85F4">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shd w:val="clear" w:color="auto" w:fill="FFFFFF"/>
          <w:lang w:eastAsia="zh-CN"/>
        </w:rPr>
      </w:pP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（0-5</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5818585B">
      <w:pPr>
        <w:keepNext w:val="0"/>
        <w:keepLines w:val="0"/>
        <w:pageBreakBefore w:val="0"/>
        <w:kinsoku/>
        <w:wordWrap/>
        <w:overflowPunct/>
        <w:topLinePunct w:val="0"/>
        <w:autoSpaceDE/>
        <w:autoSpaceDN/>
        <w:bidi w:val="0"/>
        <w:adjustRightInd/>
        <w:snapToGrid/>
        <w:spacing w:line="460" w:lineRule="exact"/>
        <w:ind w:left="210" w:leftChars="100" w:firstLine="280" w:firstLineChars="100"/>
        <w:jc w:val="left"/>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color w:val="auto"/>
          <w:sz w:val="28"/>
          <w:szCs w:val="28"/>
          <w:highlight w:val="none"/>
          <w:shd w:val="clear" w:color="auto" w:fill="FFFFFF"/>
          <w:lang w:val="en-US" w:eastAsia="zh-CN"/>
        </w:rPr>
        <w:t>6、采购</w:t>
      </w:r>
      <w:r>
        <w:rPr>
          <w:rFonts w:hint="eastAsia" w:ascii="仿宋" w:hAnsi="仿宋" w:eastAsia="仿宋" w:cs="仿宋"/>
          <w:b w:val="0"/>
          <w:bCs w:val="0"/>
          <w:color w:val="auto"/>
          <w:sz w:val="28"/>
          <w:szCs w:val="28"/>
          <w:highlight w:val="none"/>
        </w:rPr>
        <w:t>报价评分标准</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45分</w:t>
      </w:r>
      <w:r>
        <w:rPr>
          <w:rFonts w:hint="eastAsia" w:ascii="仿宋" w:hAnsi="仿宋" w:eastAsia="仿宋" w:cs="仿宋"/>
          <w:b w:val="0"/>
          <w:bCs w:val="0"/>
          <w:color w:val="auto"/>
          <w:sz w:val="28"/>
          <w:szCs w:val="28"/>
          <w:highlight w:val="none"/>
          <w:lang w:eastAsia="zh-CN"/>
        </w:rPr>
        <w:t>）</w:t>
      </w:r>
    </w:p>
    <w:p w14:paraId="7B11824D">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color w:val="auto"/>
          <w:sz w:val="28"/>
          <w:szCs w:val="28"/>
          <w:highlight w:val="none"/>
          <w:shd w:val="clear" w:color="auto" w:fill="FFFFFF"/>
        </w:rPr>
        <w:t>等于评标基准价的报价得45分；高于基准价的，每高一个百分点扣0.5分</w:t>
      </w:r>
      <w:r>
        <w:rPr>
          <w:rFonts w:hint="eastAsia" w:ascii="仿宋" w:hAnsi="仿宋" w:eastAsia="仿宋" w:cs="仿宋"/>
          <w:b w:val="0"/>
          <w:bCs w:val="0"/>
          <w:color w:val="auto"/>
          <w:sz w:val="28"/>
          <w:szCs w:val="28"/>
          <w:highlight w:val="none"/>
          <w:shd w:val="clear" w:color="auto" w:fill="FFFFFF"/>
          <w:lang w:eastAsia="zh-CN"/>
        </w:rPr>
        <w:t>；</w:t>
      </w:r>
      <w:r>
        <w:rPr>
          <w:rFonts w:hint="eastAsia" w:ascii="仿宋" w:hAnsi="仿宋" w:eastAsia="仿宋" w:cs="仿宋"/>
          <w:b w:val="0"/>
          <w:bCs w:val="0"/>
          <w:color w:val="auto"/>
          <w:sz w:val="28"/>
          <w:szCs w:val="28"/>
          <w:highlight w:val="none"/>
          <w:shd w:val="clear" w:color="auto" w:fill="FFFFFF"/>
          <w:lang w:val="en-US" w:eastAsia="zh-CN"/>
        </w:rPr>
        <w:t>低于基准价的，每低一个百分点扣0.25分</w:t>
      </w:r>
      <w:r>
        <w:rPr>
          <w:rFonts w:hint="eastAsia" w:ascii="仿宋" w:hAnsi="仿宋" w:eastAsia="仿宋" w:cs="仿宋"/>
          <w:b w:val="0"/>
          <w:bCs w:val="0"/>
          <w:color w:val="auto"/>
          <w:sz w:val="28"/>
          <w:szCs w:val="28"/>
          <w:highlight w:val="none"/>
          <w:shd w:val="clear" w:color="auto" w:fill="FFFFFF"/>
        </w:rPr>
        <w:t>。评标赋分采用插入法计算，扣完为止。</w:t>
      </w:r>
    </w:p>
    <w:p w14:paraId="64F3630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14:paraId="6B22F52F">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6E609514">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14:paraId="042E257F">
      <w:pPr>
        <w:keepNext w:val="0"/>
        <w:keepLines w:val="0"/>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14:paraId="719500DB">
      <w:pPr>
        <w:keepNext w:val="0"/>
        <w:keepLines w:val="0"/>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14:paraId="3719410D">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71EECFF1">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72C9D508">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6FAFDF5D">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08E6B81B">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1BC8E2AC">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74F4B648">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12D28E6C">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0" w:name="_Toc247514027"/>
      <w:bookmarkStart w:id="61" w:name="_Toc152045603"/>
      <w:bookmarkStart w:id="62" w:name="_Toc352691538"/>
      <w:bookmarkStart w:id="63" w:name="_Toc2907"/>
      <w:bookmarkStart w:id="64" w:name="_Toc384308277"/>
      <w:bookmarkStart w:id="65" w:name="_Toc144974570"/>
      <w:bookmarkStart w:id="66" w:name="_Toc369531582"/>
      <w:bookmarkStart w:id="67" w:name="_Toc247527628"/>
      <w:bookmarkStart w:id="68" w:name="_Toc361508651"/>
      <w:bookmarkStart w:id="69" w:name="_Toc300835013"/>
      <w:bookmarkStart w:id="70" w:name="_Toc152042380"/>
      <w:r>
        <w:rPr>
          <w:rFonts w:hint="eastAsia" w:ascii="仿宋" w:hAnsi="仿宋" w:eastAsia="仿宋" w:cs="仿宋"/>
          <w:color w:val="auto"/>
          <w:sz w:val="28"/>
          <w:szCs w:val="28"/>
        </w:rPr>
        <w:t>行书面澄清确认。</w:t>
      </w:r>
      <w:bookmarkEnd w:id="60"/>
      <w:bookmarkEnd w:id="61"/>
      <w:bookmarkEnd w:id="62"/>
      <w:bookmarkEnd w:id="63"/>
      <w:bookmarkEnd w:id="64"/>
      <w:bookmarkEnd w:id="65"/>
      <w:bookmarkEnd w:id="66"/>
      <w:bookmarkEnd w:id="67"/>
      <w:bookmarkEnd w:id="68"/>
      <w:bookmarkEnd w:id="69"/>
      <w:bookmarkEnd w:id="70"/>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1" w:name="_Toc29291"/>
      <w:bookmarkStart w:id="72" w:name="_Toc16955"/>
      <w:bookmarkStart w:id="73" w:name="_Toc13563"/>
      <w:bookmarkStart w:id="74" w:name="_Toc33795835"/>
    </w:p>
    <w:p w14:paraId="74649D2E">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73DAB5ED">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5857DEF0">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1"/>
      <w:bookmarkEnd w:id="72"/>
      <w:bookmarkEnd w:id="73"/>
      <w:bookmarkEnd w:id="74"/>
    </w:p>
    <w:p w14:paraId="5205E1B7">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4A1A65B6">
      <w:pPr>
        <w:pStyle w:val="4"/>
        <w:pageBreakBefore w:val="0"/>
        <w:widowControl w:val="0"/>
        <w:kinsoku/>
        <w:wordWrap/>
        <w:overflowPunct/>
        <w:topLinePunct w:val="0"/>
        <w:autoSpaceDE/>
        <w:autoSpaceDN/>
        <w:bidi w:val="0"/>
        <w:adjustRightInd/>
        <w:snapToGrid/>
        <w:spacing w:before="0" w:after="0" w:line="460" w:lineRule="exact"/>
        <w:ind w:left="0" w:leftChars="0" w:firstLine="280" w:firstLineChars="100"/>
        <w:jc w:val="both"/>
        <w:textAlignment w:val="auto"/>
        <w:rPr>
          <w:rFonts w:hint="eastAsia" w:ascii="仿宋" w:hAnsi="仿宋" w:eastAsia="仿宋" w:cs="仿宋"/>
          <w:color w:val="auto"/>
          <w:sz w:val="28"/>
          <w:szCs w:val="28"/>
        </w:rPr>
      </w:pPr>
      <w:bookmarkStart w:id="75" w:name="_Toc32669"/>
      <w:bookmarkStart w:id="76" w:name="_Toc33795836"/>
      <w:bookmarkStart w:id="77" w:name="_Toc15253"/>
      <w:bookmarkStart w:id="78" w:name="_Toc336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75"/>
      <w:bookmarkEnd w:id="76"/>
      <w:bookmarkEnd w:id="77"/>
      <w:bookmarkEnd w:id="78"/>
    </w:p>
    <w:p w14:paraId="51119C01">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5651EB10">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0CD387AD">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07BDA1A1">
      <w:pPr>
        <w:pStyle w:val="4"/>
        <w:pageBreakBefore w:val="0"/>
        <w:widowControl w:val="0"/>
        <w:kinsoku/>
        <w:wordWrap/>
        <w:overflowPunct/>
        <w:topLinePunct w:val="0"/>
        <w:autoSpaceDE/>
        <w:autoSpaceDN/>
        <w:bidi w:val="0"/>
        <w:adjustRightInd/>
        <w:snapToGrid/>
        <w:spacing w:before="0" w:after="0" w:line="46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35D8C7D2">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en-US" w:eastAsia="zh-CN"/>
        </w:rPr>
        <w:t>评分由高到低</w:t>
      </w:r>
      <w:r>
        <w:rPr>
          <w:rFonts w:hint="eastAsia" w:ascii="仿宋" w:hAnsi="仿宋" w:eastAsia="仿宋" w:cs="仿宋"/>
          <w:color w:val="auto"/>
          <w:sz w:val="28"/>
          <w:szCs w:val="28"/>
          <w:highlight w:val="none"/>
        </w:rPr>
        <w:t>的顺序推荐</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，并标明排序。</w:t>
      </w:r>
    </w:p>
    <w:p w14:paraId="5E9664BB">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应当</w:t>
      </w:r>
      <w:r>
        <w:rPr>
          <w:rFonts w:hint="eastAsia" w:ascii="仿宋" w:hAnsi="仿宋" w:eastAsia="仿宋" w:cs="仿宋"/>
          <w:color w:val="auto"/>
          <w:sz w:val="28"/>
          <w:szCs w:val="28"/>
          <w:lang w:val="en-US" w:eastAsia="zh-CN"/>
        </w:rPr>
        <w:t>出具</w:t>
      </w:r>
      <w:r>
        <w:rPr>
          <w:rFonts w:hint="eastAsia" w:ascii="仿宋" w:hAnsi="仿宋" w:eastAsia="仿宋" w:cs="仿宋"/>
          <w:color w:val="auto"/>
          <w:sz w:val="28"/>
          <w:szCs w:val="28"/>
        </w:rPr>
        <w:t>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提交招投标领导小组审批。</w:t>
      </w:r>
    </w:p>
    <w:p w14:paraId="5470B6F9">
      <w:pPr>
        <w:pStyle w:val="3"/>
        <w:pageBreakBefore w:val="0"/>
        <w:kinsoku/>
        <w:wordWrap/>
        <w:overflowPunct/>
        <w:topLinePunct w:val="0"/>
        <w:autoSpaceDE/>
        <w:autoSpaceDN/>
        <w:bidi w:val="0"/>
        <w:snapToGrid/>
        <w:spacing w:before="0" w:after="0" w:line="460" w:lineRule="exact"/>
        <w:ind w:left="0" w:firstLine="562" w:firstLineChars="200"/>
        <w:jc w:val="both"/>
        <w:rPr>
          <w:rFonts w:hint="eastAsia" w:ascii="仿宋" w:hAnsi="仿宋" w:eastAsia="仿宋" w:cs="仿宋"/>
          <w:color w:val="auto"/>
          <w:sz w:val="28"/>
          <w:szCs w:val="28"/>
        </w:rPr>
      </w:pPr>
      <w:bookmarkStart w:id="79" w:name="_Toc8518"/>
      <w:bookmarkStart w:id="80" w:name="_Toc9481"/>
      <w:bookmarkStart w:id="81" w:name="_Toc33795807"/>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79"/>
      <w:bookmarkEnd w:id="80"/>
      <w:bookmarkEnd w:id="81"/>
    </w:p>
    <w:p w14:paraId="5DD0CD31">
      <w:pPr>
        <w:pStyle w:val="4"/>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82" w:name="_Toc30852"/>
      <w:bookmarkStart w:id="83" w:name="_Toc33795808"/>
      <w:bookmarkStart w:id="84" w:name="_Toc21093"/>
      <w:bookmarkStart w:id="85" w:name="_Toc1609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2"/>
      <w:bookmarkEnd w:id="83"/>
      <w:bookmarkEnd w:id="84"/>
      <w:bookmarkEnd w:id="85"/>
    </w:p>
    <w:p w14:paraId="447CDBF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14:paraId="536712FF">
      <w:pPr>
        <w:pStyle w:val="4"/>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86" w:name="_Toc10372"/>
      <w:bookmarkStart w:id="87" w:name="_Toc7018"/>
      <w:bookmarkStart w:id="88" w:name="_Toc33795809"/>
      <w:bookmarkStart w:id="89" w:name="_Toc19079"/>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86"/>
      <w:bookmarkEnd w:id="87"/>
      <w:bookmarkEnd w:id="88"/>
      <w:bookmarkEnd w:id="89"/>
    </w:p>
    <w:p w14:paraId="386CD98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0" w:name="_Toc361508618"/>
      <w:bookmarkStart w:id="91" w:name="_Toc152042337"/>
      <w:bookmarkStart w:id="92" w:name="_Toc300834982"/>
      <w:bookmarkStart w:id="93" w:name="_Toc369531549"/>
      <w:bookmarkStart w:id="94" w:name="_Toc247527586"/>
      <w:bookmarkStart w:id="95" w:name="_Toc30095"/>
      <w:bookmarkStart w:id="96" w:name="_Toc144974529"/>
      <w:bookmarkStart w:id="97" w:name="_Toc352691505"/>
      <w:bookmarkStart w:id="98" w:name="_Toc384308243"/>
      <w:bookmarkStart w:id="99" w:name="_Toc247513985"/>
      <w:bookmarkStart w:id="100" w:name="_Toc152045561"/>
      <w:r>
        <w:rPr>
          <w:rFonts w:hint="eastAsia" w:ascii="仿宋" w:hAnsi="仿宋" w:eastAsia="仿宋" w:cs="仿宋"/>
          <w:color w:val="auto"/>
          <w:sz w:val="28"/>
          <w:szCs w:val="28"/>
        </w:rPr>
        <w:t>害关系人对</w:t>
      </w:r>
      <w:bookmarkEnd w:id="90"/>
      <w:bookmarkEnd w:id="91"/>
      <w:bookmarkEnd w:id="92"/>
      <w:bookmarkEnd w:id="93"/>
      <w:bookmarkEnd w:id="94"/>
      <w:bookmarkEnd w:id="95"/>
      <w:bookmarkEnd w:id="96"/>
      <w:bookmarkEnd w:id="97"/>
      <w:bookmarkEnd w:id="98"/>
      <w:bookmarkEnd w:id="99"/>
      <w:bookmarkEnd w:id="100"/>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6516C05B">
      <w:pPr>
        <w:pStyle w:val="4"/>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101" w:name="_Toc25590"/>
      <w:bookmarkStart w:id="102" w:name="_Toc33795810"/>
      <w:bookmarkStart w:id="103" w:name="_Toc28756"/>
      <w:bookmarkStart w:id="104" w:name="_Toc2164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1"/>
      <w:bookmarkEnd w:id="102"/>
      <w:bookmarkEnd w:id="103"/>
      <w:bookmarkEnd w:id="104"/>
    </w:p>
    <w:p w14:paraId="7CC24F1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37470340">
      <w:pPr>
        <w:pStyle w:val="4"/>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lang w:val="en-US"/>
        </w:rPr>
      </w:pPr>
      <w:bookmarkStart w:id="105" w:name="_Toc33795811"/>
      <w:bookmarkStart w:id="106" w:name="_Toc24665"/>
      <w:bookmarkStart w:id="107" w:name="_Toc19470"/>
      <w:bookmarkStart w:id="108" w:name="_Toc219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05"/>
      <w:bookmarkEnd w:id="106"/>
      <w:bookmarkEnd w:id="107"/>
      <w:bookmarkEnd w:id="108"/>
      <w:r>
        <w:rPr>
          <w:rFonts w:hint="eastAsia" w:ascii="仿宋" w:hAnsi="仿宋" w:eastAsia="仿宋" w:cs="仿宋"/>
          <w:color w:val="auto"/>
          <w:sz w:val="28"/>
          <w:szCs w:val="28"/>
          <w:lang w:val="en-US" w:eastAsia="zh-CN"/>
        </w:rPr>
        <w:t>确定成交人</w:t>
      </w:r>
    </w:p>
    <w:p w14:paraId="32C19CEE">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7115E858">
      <w:pPr>
        <w:pStyle w:val="4"/>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109" w:name="_Toc6928"/>
      <w:bookmarkStart w:id="110" w:name="_Toc33795812"/>
      <w:bookmarkStart w:id="111" w:name="_Toc31681"/>
      <w:bookmarkStart w:id="112" w:name="_Toc1081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09"/>
      <w:bookmarkEnd w:id="110"/>
      <w:bookmarkEnd w:id="111"/>
      <w:bookmarkEnd w:id="112"/>
    </w:p>
    <w:p w14:paraId="3F599C4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3" w:name="_Toc369531550"/>
      <w:bookmarkStart w:id="114" w:name="_Toc384308244"/>
      <w:bookmarkStart w:id="115" w:name="_Toc361508619"/>
      <w:bookmarkStart w:id="116" w:name="_Toc300834983"/>
      <w:bookmarkStart w:id="117" w:name="_Toc5668"/>
      <w:bookmarkStart w:id="118" w:name="_Toc352691506"/>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3"/>
      <w:bookmarkEnd w:id="114"/>
      <w:bookmarkEnd w:id="115"/>
      <w:bookmarkEnd w:id="116"/>
      <w:bookmarkEnd w:id="117"/>
      <w:bookmarkEnd w:id="118"/>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14:paraId="1D715526">
      <w:pPr>
        <w:pStyle w:val="4"/>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119" w:name="_Toc30705"/>
      <w:bookmarkStart w:id="120" w:name="_Toc4342"/>
      <w:bookmarkStart w:id="121" w:name="_Toc21613"/>
      <w:bookmarkStart w:id="122" w:name="_Toc3379581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19"/>
      <w:bookmarkEnd w:id="120"/>
      <w:bookmarkEnd w:id="121"/>
      <w:bookmarkEnd w:id="122"/>
    </w:p>
    <w:p w14:paraId="6AD00B7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414205B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29BA9A4D">
      <w:pPr>
        <w:pStyle w:val="4"/>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123" w:name="_Toc3671"/>
      <w:bookmarkStart w:id="124" w:name="_Toc14362"/>
      <w:bookmarkStart w:id="125" w:name="_Toc11183"/>
      <w:bookmarkStart w:id="126" w:name="_Toc3379581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3"/>
      <w:bookmarkEnd w:id="124"/>
      <w:bookmarkEnd w:id="125"/>
      <w:bookmarkEnd w:id="126"/>
    </w:p>
    <w:p w14:paraId="5CAEA86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27" w:name="_Toc300834986"/>
      <w:bookmarkStart w:id="128" w:name="_Toc144974532"/>
      <w:bookmarkStart w:id="129" w:name="_Toc369531553"/>
      <w:bookmarkStart w:id="130" w:name="_Toc152042340"/>
      <w:bookmarkStart w:id="131" w:name="_Toc247527589"/>
      <w:bookmarkStart w:id="132" w:name="_Toc247513988"/>
      <w:bookmarkStart w:id="133" w:name="_Toc152045564"/>
      <w:bookmarkStart w:id="134" w:name="_Toc384308247"/>
      <w:bookmarkStart w:id="135" w:name="_Toc4656"/>
      <w:bookmarkStart w:id="136" w:name="_Toc352691509"/>
      <w:bookmarkStart w:id="137" w:name="_Toc361508622"/>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27"/>
      <w:bookmarkEnd w:id="128"/>
      <w:bookmarkEnd w:id="129"/>
      <w:bookmarkEnd w:id="130"/>
      <w:bookmarkEnd w:id="131"/>
      <w:bookmarkEnd w:id="132"/>
      <w:bookmarkEnd w:id="133"/>
      <w:bookmarkEnd w:id="134"/>
      <w:bookmarkEnd w:id="135"/>
      <w:bookmarkEnd w:id="136"/>
      <w:bookmarkEnd w:id="137"/>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38" w:name="_Toc384308248"/>
      <w:bookmarkStart w:id="139" w:name="_Toc152042341"/>
      <w:bookmarkStart w:id="140" w:name="_Toc144974533"/>
      <w:bookmarkStart w:id="141" w:name="_Toc18247"/>
      <w:bookmarkStart w:id="142" w:name="_Toc352691510"/>
      <w:bookmarkStart w:id="143" w:name="_Toc247513989"/>
      <w:bookmarkStart w:id="144" w:name="_Toc361508623"/>
      <w:bookmarkStart w:id="145" w:name="_Toc152045565"/>
      <w:bookmarkStart w:id="146" w:name="_Toc247527590"/>
      <w:bookmarkStart w:id="147" w:name="_Toc369531554"/>
      <w:bookmarkStart w:id="148" w:name="_Toc300834987"/>
      <w:r>
        <w:rPr>
          <w:rFonts w:hint="eastAsia" w:ascii="仿宋" w:hAnsi="仿宋" w:eastAsia="仿宋" w:cs="仿宋"/>
          <w:color w:val="auto"/>
          <w:sz w:val="28"/>
          <w:szCs w:val="28"/>
        </w:rPr>
        <w:t>当理由拒签合</w:t>
      </w:r>
      <w:bookmarkEnd w:id="138"/>
      <w:bookmarkEnd w:id="139"/>
      <w:bookmarkEnd w:id="140"/>
      <w:bookmarkEnd w:id="141"/>
      <w:bookmarkEnd w:id="142"/>
      <w:bookmarkEnd w:id="143"/>
      <w:bookmarkEnd w:id="144"/>
      <w:bookmarkEnd w:id="145"/>
      <w:bookmarkEnd w:id="146"/>
      <w:bookmarkEnd w:id="147"/>
      <w:bookmarkEnd w:id="148"/>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40DECB45">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49" w:name="_Toc361508627"/>
      <w:bookmarkStart w:id="150" w:name="_Toc384308252"/>
      <w:bookmarkStart w:id="151" w:name="_Toc24067"/>
      <w:bookmarkStart w:id="152" w:name="_Toc247527593"/>
      <w:bookmarkStart w:id="153" w:name="_Toc300834991"/>
      <w:bookmarkStart w:id="154" w:name="_Toc247513992"/>
      <w:bookmarkStart w:id="155" w:name="_Toc152042344"/>
      <w:bookmarkStart w:id="156" w:name="_Toc152045568"/>
      <w:bookmarkStart w:id="157" w:name="_Toc144974536"/>
    </w:p>
    <w:bookmarkEnd w:id="149"/>
    <w:bookmarkEnd w:id="150"/>
    <w:bookmarkEnd w:id="151"/>
    <w:p w14:paraId="5C60697D">
      <w:pPr>
        <w:pStyle w:val="3"/>
        <w:pageBreakBefore w:val="0"/>
        <w:kinsoku/>
        <w:wordWrap/>
        <w:overflowPunct/>
        <w:topLinePunct w:val="0"/>
        <w:autoSpaceDE/>
        <w:autoSpaceDN/>
        <w:bidi w:val="0"/>
        <w:snapToGrid/>
        <w:spacing w:before="0" w:after="0" w:line="460" w:lineRule="exact"/>
        <w:ind w:left="0" w:firstLine="562" w:firstLineChars="200"/>
        <w:jc w:val="both"/>
        <w:rPr>
          <w:rFonts w:hint="eastAsia" w:ascii="仿宋" w:hAnsi="仿宋" w:eastAsia="仿宋" w:cs="仿宋"/>
          <w:color w:val="auto"/>
          <w:sz w:val="28"/>
          <w:szCs w:val="28"/>
        </w:rPr>
      </w:pPr>
      <w:bookmarkStart w:id="158" w:name="_Toc14752"/>
      <w:bookmarkStart w:id="159" w:name="_Toc33795815"/>
      <w:bookmarkStart w:id="160" w:name="_Toc25347"/>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58"/>
      <w:bookmarkEnd w:id="159"/>
      <w:bookmarkEnd w:id="160"/>
    </w:p>
    <w:p w14:paraId="4FC2A52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23D83AAD">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1" w:name="_Toc352691515"/>
      <w:bookmarkStart w:id="162" w:name="_Toc369531559"/>
      <w:bookmarkStart w:id="163" w:name="_Toc361508628"/>
      <w:bookmarkStart w:id="164" w:name="_Toc384308253"/>
      <w:bookmarkStart w:id="165" w:name="_Toc13644"/>
      <w:r>
        <w:rPr>
          <w:rFonts w:hint="eastAsia" w:ascii="仿宋" w:hAnsi="仿宋" w:eastAsia="仿宋" w:cs="仿宋"/>
          <w:color w:val="auto"/>
          <w:sz w:val="28"/>
          <w:szCs w:val="28"/>
        </w:rPr>
        <w:t>和比较、</w:t>
      </w:r>
      <w:bookmarkEnd w:id="152"/>
      <w:bookmarkEnd w:id="153"/>
      <w:bookmarkEnd w:id="154"/>
      <w:bookmarkEnd w:id="155"/>
      <w:bookmarkEnd w:id="156"/>
      <w:bookmarkEnd w:id="157"/>
      <w:bookmarkEnd w:id="161"/>
      <w:bookmarkEnd w:id="162"/>
      <w:bookmarkEnd w:id="163"/>
      <w:bookmarkEnd w:id="164"/>
      <w:bookmarkEnd w:id="165"/>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w:t>
      </w:r>
    </w:p>
    <w:p w14:paraId="6F9A454E">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240F81DF">
      <w:pPr>
        <w:pStyle w:val="4"/>
        <w:pageBreakBefore w:val="0"/>
        <w:numPr>
          <w:ilvl w:val="0"/>
          <w:numId w:val="0"/>
        </w:numPr>
        <w:kinsoku/>
        <w:wordWrap/>
        <w:overflowPunct/>
        <w:topLinePunct w:val="0"/>
        <w:autoSpaceDE/>
        <w:autoSpaceDN/>
        <w:bidi w:val="0"/>
        <w:snapToGrid/>
        <w:spacing w:before="0" w:after="0" w:line="460" w:lineRule="exact"/>
        <w:ind w:left="0" w:firstLine="560" w:firstLineChars="200"/>
        <w:jc w:val="both"/>
        <w:rPr>
          <w:rFonts w:hint="eastAsia" w:ascii="仿宋" w:hAnsi="仿宋" w:eastAsia="仿宋" w:cs="仿宋"/>
          <w:color w:val="auto"/>
          <w:sz w:val="28"/>
          <w:szCs w:val="28"/>
        </w:rPr>
      </w:pPr>
      <w:bookmarkStart w:id="166" w:name="_Toc18070"/>
      <w:bookmarkStart w:id="167" w:name="_Toc24957"/>
      <w:bookmarkStart w:id="168" w:name="_Toc33795820"/>
      <w:bookmarkStart w:id="169" w:name="_Toc22294"/>
      <w:r>
        <w:rPr>
          <w:rFonts w:hint="eastAsia" w:ascii="仿宋" w:hAnsi="仿宋" w:eastAsia="仿宋" w:cs="仿宋"/>
          <w:color w:val="auto"/>
          <w:sz w:val="28"/>
          <w:szCs w:val="28"/>
          <w:lang w:val="en-US" w:eastAsia="zh-CN"/>
        </w:rPr>
        <w:t>（三）异议</w:t>
      </w:r>
      <w:bookmarkEnd w:id="166"/>
      <w:bookmarkEnd w:id="167"/>
      <w:bookmarkEnd w:id="168"/>
      <w:bookmarkEnd w:id="169"/>
    </w:p>
    <w:p w14:paraId="54AC1E59">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084D4BAE">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ECFC845">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034962C4">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p>
    <w:p w14:paraId="30A95894">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p>
    <w:p w14:paraId="7346215F">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p>
    <w:p w14:paraId="14D21383">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4200" w:firstLineChars="1500"/>
        <w:jc w:val="both"/>
        <w:rPr>
          <w:rFonts w:hint="eastAsia" w:ascii="仿宋" w:hAnsi="仿宋" w:eastAsia="仿宋" w:cs="仿宋"/>
          <w:color w:val="auto"/>
          <w:kern w:val="0"/>
          <w:sz w:val="28"/>
          <w:szCs w:val="28"/>
          <w:lang w:val="en-US" w:eastAsia="zh-CN" w:bidi="ar"/>
        </w:rPr>
      </w:pPr>
    </w:p>
    <w:p w14:paraId="16110F9C">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4200" w:firstLineChars="1500"/>
        <w:jc w:val="both"/>
        <w:rPr>
          <w:rFonts w:hint="eastAsia" w:ascii="仿宋" w:hAnsi="仿宋" w:eastAsia="仿宋" w:cs="仿宋"/>
          <w:color w:val="auto"/>
          <w:kern w:val="0"/>
          <w:sz w:val="28"/>
          <w:szCs w:val="28"/>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4200" w:firstLineChars="15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34EDF711">
      <w:pPr>
        <w:keepNext w:val="0"/>
        <w:keepLines w:val="0"/>
        <w:pageBreakBefore w:val="0"/>
        <w:widowControl w:val="0"/>
        <w:suppressLineNumbers w:val="0"/>
        <w:kinsoku/>
        <w:wordWrap/>
        <w:overflowPunct/>
        <w:topLinePunct w:val="0"/>
        <w:autoSpaceDE/>
        <w:autoSpaceDN/>
        <w:bidi w:val="0"/>
        <w:adjustRightInd/>
        <w:snapToGrid/>
        <w:spacing w:line="460" w:lineRule="exact"/>
        <w:ind w:firstLine="4200" w:firstLineChars="15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2026年4月28日</w:t>
      </w:r>
    </w:p>
    <w:p w14:paraId="09DD35AC">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p>
    <w:p w14:paraId="6FFD5EAA">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44"/>
          <w:szCs w:val="44"/>
          <w:lang w:val="en-US" w:eastAsia="zh-CN"/>
        </w:rPr>
      </w:pPr>
    </w:p>
    <w:p w14:paraId="2BC07FA3">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44"/>
          <w:szCs w:val="44"/>
          <w:lang w:val="en-US" w:eastAsia="zh-CN"/>
        </w:rPr>
      </w:pPr>
    </w:p>
    <w:p w14:paraId="5CF8F73E">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44"/>
          <w:szCs w:val="44"/>
          <w:lang w:val="en-US" w:eastAsia="zh-CN"/>
        </w:rPr>
      </w:pPr>
    </w:p>
    <w:p w14:paraId="39C533DF">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44"/>
          <w:szCs w:val="44"/>
          <w:lang w:val="en-US" w:eastAsia="zh-CN"/>
        </w:rPr>
      </w:pPr>
    </w:p>
    <w:p w14:paraId="0A8023C6">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44"/>
          <w:szCs w:val="44"/>
          <w:lang w:val="en-US" w:eastAsia="zh-CN"/>
        </w:rPr>
      </w:pPr>
    </w:p>
    <w:p w14:paraId="704C27F1">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44"/>
          <w:szCs w:val="44"/>
          <w:lang w:val="en-US" w:eastAsia="zh-CN"/>
        </w:rPr>
      </w:pPr>
    </w:p>
    <w:p w14:paraId="6902C70A">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44"/>
          <w:szCs w:val="44"/>
          <w:lang w:val="en-US" w:eastAsia="zh-CN"/>
        </w:rPr>
      </w:pPr>
    </w:p>
    <w:p w14:paraId="4E5B3C1D">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44"/>
          <w:szCs w:val="44"/>
          <w:lang w:val="en-US" w:eastAsia="zh-CN"/>
        </w:rPr>
      </w:pPr>
    </w:p>
    <w:p w14:paraId="5F9B6549">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44"/>
          <w:szCs w:val="44"/>
        </w:rPr>
      </w:pPr>
      <w:r>
        <w:rPr>
          <w:rFonts w:hint="eastAsia" w:ascii="仿宋" w:hAnsi="仿宋" w:eastAsia="仿宋" w:cs="仿宋"/>
          <w:b/>
          <w:bCs/>
          <w:color w:val="auto"/>
          <w:sz w:val="44"/>
          <w:szCs w:val="44"/>
          <w:lang w:val="en-US" w:eastAsia="zh-CN"/>
        </w:rPr>
        <w:t>附：</w:t>
      </w:r>
      <w:r>
        <w:rPr>
          <w:rFonts w:hint="eastAsia" w:ascii="仿宋" w:hAnsi="仿宋" w:eastAsia="仿宋" w:cs="仿宋"/>
          <w:b/>
          <w:bCs/>
          <w:color w:val="auto"/>
          <w:sz w:val="44"/>
          <w:szCs w:val="44"/>
          <w:lang w:eastAsia="zh-CN"/>
        </w:rPr>
        <w:t>响应文件</w:t>
      </w:r>
      <w:r>
        <w:rPr>
          <w:rFonts w:hint="eastAsia" w:ascii="仿宋" w:hAnsi="仿宋" w:eastAsia="仿宋" w:cs="仿宋"/>
          <w:b/>
          <w:bCs/>
          <w:color w:val="auto"/>
          <w:sz w:val="44"/>
          <w:szCs w:val="44"/>
        </w:rPr>
        <w:t>格式</w:t>
      </w:r>
    </w:p>
    <w:p w14:paraId="05CD95BA">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bookmarkEnd w:id="203"/>
    <w:p w14:paraId="2864BE28">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14:paraId="47667630">
      <w:pPr>
        <w:spacing w:line="400" w:lineRule="exact"/>
        <w:rPr>
          <w:rFonts w:hint="eastAsia" w:ascii="仿宋" w:hAnsi="仿宋" w:eastAsia="仿宋" w:cs="仿宋"/>
          <w:color w:val="auto"/>
          <w:sz w:val="32"/>
          <w:szCs w:val="32"/>
        </w:rPr>
      </w:pPr>
    </w:p>
    <w:p w14:paraId="4A0D8476">
      <w:pPr>
        <w:spacing w:line="400" w:lineRule="exact"/>
        <w:rPr>
          <w:rFonts w:hint="eastAsia" w:ascii="仿宋" w:hAnsi="仿宋" w:eastAsia="仿宋" w:cs="仿宋"/>
          <w:color w:val="auto"/>
          <w:sz w:val="32"/>
          <w:szCs w:val="32"/>
        </w:rPr>
      </w:pPr>
    </w:p>
    <w:p w14:paraId="457F6DD8">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2BBDDAE3">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 xml:space="preserve">2026年四月份二工区用3000吨干量焦沫 </w:t>
      </w:r>
    </w:p>
    <w:p w14:paraId="0A2ED61B">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二次采购项目询比</w:t>
      </w:r>
      <w:r>
        <w:rPr>
          <w:rFonts w:hint="eastAsia" w:ascii="黑体" w:hAnsi="黑体" w:eastAsia="黑体" w:cs="黑体"/>
          <w:b/>
          <w:bCs/>
          <w:color w:val="auto"/>
          <w:sz w:val="44"/>
          <w:szCs w:val="44"/>
          <w:lang w:eastAsia="zh-CN"/>
        </w:rPr>
        <w:t>采购</w:t>
      </w:r>
    </w:p>
    <w:p w14:paraId="5F3D1E2F">
      <w:pPr>
        <w:rPr>
          <w:rFonts w:hint="eastAsia" w:ascii="黑体" w:hAnsi="黑体" w:eastAsia="黑体" w:cs="黑体"/>
          <w:b/>
          <w:bCs/>
          <w:color w:val="auto"/>
          <w:sz w:val="44"/>
          <w:szCs w:val="44"/>
        </w:rPr>
      </w:pPr>
    </w:p>
    <w:p w14:paraId="1A478983">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53EF10D">
      <w:pPr>
        <w:jc w:val="center"/>
        <w:rPr>
          <w:rFonts w:hint="eastAsia" w:ascii="黑体" w:hAnsi="黑体" w:eastAsia="黑体" w:cs="黑体"/>
          <w:b/>
          <w:bCs/>
          <w:color w:val="auto"/>
          <w:sz w:val="44"/>
          <w:szCs w:val="44"/>
        </w:rPr>
      </w:pPr>
    </w:p>
    <w:p w14:paraId="0300E953">
      <w:pPr>
        <w:rPr>
          <w:rFonts w:hint="eastAsia" w:ascii="仿宋" w:hAnsi="仿宋" w:eastAsia="仿宋" w:cs="仿宋"/>
          <w:color w:val="auto"/>
          <w:sz w:val="32"/>
          <w:szCs w:val="32"/>
        </w:rPr>
      </w:pPr>
    </w:p>
    <w:p w14:paraId="11720602">
      <w:pPr>
        <w:rPr>
          <w:rFonts w:hint="eastAsia" w:ascii="仿宋" w:hAnsi="仿宋" w:eastAsia="仿宋" w:cs="仿宋"/>
          <w:color w:val="auto"/>
          <w:sz w:val="32"/>
          <w:szCs w:val="32"/>
        </w:rPr>
      </w:pPr>
    </w:p>
    <w:p w14:paraId="62D8C30C">
      <w:pPr>
        <w:rPr>
          <w:rFonts w:hint="eastAsia" w:ascii="仿宋" w:hAnsi="仿宋" w:eastAsia="仿宋" w:cs="仿宋"/>
          <w:color w:val="auto"/>
          <w:sz w:val="32"/>
          <w:szCs w:val="32"/>
        </w:rPr>
      </w:pPr>
    </w:p>
    <w:p w14:paraId="694BAE84">
      <w:pPr>
        <w:rPr>
          <w:rFonts w:hint="eastAsia" w:ascii="仿宋" w:hAnsi="仿宋" w:eastAsia="仿宋" w:cs="仿宋"/>
          <w:color w:val="auto"/>
          <w:sz w:val="32"/>
          <w:szCs w:val="32"/>
        </w:rPr>
      </w:pPr>
    </w:p>
    <w:p w14:paraId="7DAE68CA">
      <w:pPr>
        <w:rPr>
          <w:rFonts w:hint="eastAsia" w:ascii="仿宋" w:hAnsi="仿宋" w:eastAsia="仿宋" w:cs="仿宋"/>
          <w:color w:val="auto"/>
          <w:sz w:val="32"/>
          <w:szCs w:val="32"/>
        </w:rPr>
      </w:pPr>
    </w:p>
    <w:p w14:paraId="518FFCD5">
      <w:pPr>
        <w:rPr>
          <w:rFonts w:hint="eastAsia" w:ascii="仿宋" w:hAnsi="仿宋" w:eastAsia="仿宋" w:cs="仿宋"/>
          <w:color w:val="auto"/>
          <w:sz w:val="32"/>
          <w:szCs w:val="32"/>
        </w:rPr>
      </w:pPr>
    </w:p>
    <w:p w14:paraId="4EB3FDE6">
      <w:pPr>
        <w:rPr>
          <w:rFonts w:hint="eastAsia" w:ascii="仿宋" w:hAnsi="仿宋" w:eastAsia="仿宋" w:cs="仿宋"/>
          <w:color w:val="auto"/>
          <w:sz w:val="32"/>
          <w:szCs w:val="32"/>
        </w:rPr>
      </w:pPr>
    </w:p>
    <w:p w14:paraId="5F090E4A">
      <w:pPr>
        <w:rPr>
          <w:rFonts w:hint="eastAsia" w:ascii="仿宋" w:hAnsi="仿宋" w:eastAsia="仿宋" w:cs="仿宋"/>
          <w:color w:val="auto"/>
          <w:sz w:val="32"/>
          <w:szCs w:val="32"/>
        </w:rPr>
      </w:pPr>
    </w:p>
    <w:p w14:paraId="18E9FA2F">
      <w:pPr>
        <w:spacing w:line="360" w:lineRule="auto"/>
        <w:rPr>
          <w:rFonts w:hint="eastAsia" w:ascii="仿宋" w:hAnsi="仿宋" w:eastAsia="仿宋" w:cs="仿宋"/>
          <w:color w:val="auto"/>
          <w:sz w:val="32"/>
          <w:szCs w:val="32"/>
        </w:rPr>
      </w:pPr>
    </w:p>
    <w:p w14:paraId="4A5E63A2">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3541048">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72790AF9">
      <w:pPr>
        <w:jc w:val="center"/>
        <w:rPr>
          <w:rFonts w:hint="eastAsia" w:ascii="宋体" w:hAnsi="宋体" w:eastAsia="宋体" w:cs="宋体"/>
          <w:b/>
          <w:bCs/>
          <w:color w:val="auto"/>
          <w:sz w:val="32"/>
          <w:szCs w:val="32"/>
        </w:rPr>
      </w:pPr>
    </w:p>
    <w:p w14:paraId="5474366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3119778">
      <w:pPr>
        <w:pStyle w:val="3"/>
        <w:jc w:val="center"/>
        <w:rPr>
          <w:rFonts w:hint="eastAsia" w:ascii="黑体" w:hAnsi="黑体" w:eastAsia="黑体" w:cs="黑体"/>
          <w:b/>
          <w:bCs w:val="0"/>
          <w:color w:val="auto"/>
          <w:sz w:val="36"/>
          <w:szCs w:val="36"/>
        </w:rPr>
      </w:pPr>
      <w:bookmarkStart w:id="170" w:name="_Toc3885"/>
      <w:bookmarkStart w:id="171"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0"/>
      <w:bookmarkEnd w:id="171"/>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3"/>
        <w:jc w:val="center"/>
        <w:rPr>
          <w:rFonts w:hint="eastAsia" w:ascii="黑体" w:hAnsi="黑体" w:eastAsia="黑体" w:cs="黑体"/>
          <w:b w:val="0"/>
          <w:bCs/>
          <w:color w:val="auto"/>
          <w:sz w:val="36"/>
          <w:szCs w:val="36"/>
        </w:rPr>
      </w:pPr>
      <w:bookmarkStart w:id="172" w:name="_Toc504488768"/>
      <w:bookmarkStart w:id="173" w:name="_Toc16531"/>
      <w:r>
        <w:rPr>
          <w:rFonts w:hint="eastAsia" w:ascii="黑体" w:hAnsi="黑体" w:eastAsia="黑体" w:cs="黑体"/>
          <w:b w:val="0"/>
          <w:bCs/>
          <w:color w:val="auto"/>
          <w:sz w:val="36"/>
          <w:szCs w:val="36"/>
        </w:rPr>
        <w:t>一、</w:t>
      </w:r>
      <w:bookmarkEnd w:id="172"/>
      <w:bookmarkEnd w:id="173"/>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41D48A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62ADD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C9CC23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EEFF8A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7919F3C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1A1617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163045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3266E1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65E929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20A4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1C4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B3C764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6DE065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65166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AB2BC8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B255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00E562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4" w:name="_Toc504488769"/>
      <w:bookmarkStart w:id="175" w:name="_Toc28734"/>
    </w:p>
    <w:p w14:paraId="51AE4CE2">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4"/>
      <w:bookmarkEnd w:id="175"/>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76" w:name="_Toc27897"/>
      <w:bookmarkStart w:id="177" w:name="_Toc352691662"/>
      <w:bookmarkStart w:id="178"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76"/>
      <w:bookmarkEnd w:id="177"/>
      <w:bookmarkEnd w:id="178"/>
      <w:r>
        <w:rPr>
          <w:rFonts w:hint="eastAsia" w:ascii="仿宋" w:hAnsi="仿宋" w:eastAsia="仿宋" w:cs="仿宋"/>
          <w:color w:val="auto"/>
          <w:sz w:val="32"/>
          <w:szCs w:val="32"/>
        </w:rPr>
        <w:t>龄</w:t>
      </w:r>
      <w:bookmarkStart w:id="179" w:name="_Toc352691663"/>
      <w:bookmarkStart w:id="180" w:name="_Toc384308377"/>
      <w:bookmarkStart w:id="181" w:name="_Toc247514248"/>
      <w:bookmarkStart w:id="182" w:name="_Toc152045789"/>
      <w:bookmarkStart w:id="183" w:name="_Toc300835211"/>
      <w:bookmarkStart w:id="184" w:name="_Toc369531699"/>
      <w:bookmarkStart w:id="185" w:name="_Toc15573"/>
      <w:bookmarkStart w:id="186" w:name="_Toc247527829"/>
      <w:bookmarkStart w:id="187" w:name="_Toc361508754"/>
      <w:bookmarkStart w:id="188" w:name="_Toc152042578"/>
      <w:bookmarkStart w:id="189" w:name="_Toc144974858"/>
      <w:r>
        <w:rPr>
          <w:rFonts w:hint="eastAsia" w:ascii="仿宋" w:hAnsi="仿宋" w:eastAsia="仿宋" w:cs="仿宋"/>
          <w:color w:val="auto"/>
          <w:sz w:val="32"/>
          <w:szCs w:val="32"/>
        </w:rPr>
        <w:t>：</w:t>
      </w:r>
      <w:bookmarkEnd w:id="179"/>
      <w:bookmarkEnd w:id="180"/>
      <w:bookmarkEnd w:id="181"/>
      <w:bookmarkEnd w:id="182"/>
      <w:bookmarkEnd w:id="183"/>
      <w:bookmarkEnd w:id="184"/>
      <w:bookmarkEnd w:id="185"/>
      <w:bookmarkEnd w:id="186"/>
      <w:bookmarkEnd w:id="187"/>
      <w:bookmarkEnd w:id="188"/>
      <w:bookmarkEnd w:id="189"/>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3"/>
        <w:jc w:val="center"/>
        <w:rPr>
          <w:rFonts w:hint="eastAsia" w:ascii="黑体" w:hAnsi="黑体" w:eastAsia="黑体" w:cs="黑体"/>
          <w:color w:val="auto"/>
          <w:sz w:val="36"/>
          <w:szCs w:val="36"/>
        </w:rPr>
      </w:pPr>
      <w:bookmarkStart w:id="190" w:name="_Toc504488770"/>
      <w:bookmarkStart w:id="191" w:name="_Toc2777"/>
      <w:r>
        <w:rPr>
          <w:rFonts w:hint="eastAsia" w:ascii="黑体" w:hAnsi="黑体" w:eastAsia="黑体" w:cs="黑体"/>
          <w:color w:val="auto"/>
          <w:sz w:val="36"/>
          <w:szCs w:val="36"/>
        </w:rPr>
        <w:t>二、授权委托书</w:t>
      </w:r>
      <w:bookmarkEnd w:id="190"/>
      <w:bookmarkEnd w:id="191"/>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3"/>
        <w:spacing w:after="0" w:line="413" w:lineRule="auto"/>
        <w:jc w:val="center"/>
        <w:rPr>
          <w:rFonts w:hint="eastAsia" w:ascii="黑体" w:hAnsi="黑体" w:eastAsia="黑体" w:cs="黑体"/>
          <w:color w:val="auto"/>
          <w:sz w:val="36"/>
          <w:szCs w:val="36"/>
          <w:u w:val="single"/>
          <w:lang w:eastAsia="zh-CN"/>
        </w:rPr>
      </w:pPr>
      <w:bookmarkStart w:id="192" w:name="_Toc504488772"/>
      <w:bookmarkStart w:id="193"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2"/>
      <w:bookmarkEnd w:id="193"/>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84C033E">
      <w:pPr>
        <w:spacing w:line="440" w:lineRule="exact"/>
        <w:rPr>
          <w:rFonts w:hint="eastAsia" w:ascii="仿宋" w:hAnsi="仿宋" w:eastAsia="仿宋" w:cs="仿宋"/>
          <w:color w:val="auto"/>
          <w:sz w:val="32"/>
          <w:szCs w:val="32"/>
          <w:u w:val="single"/>
        </w:rPr>
      </w:pPr>
    </w:p>
    <w:p w14:paraId="7CFCA7C1">
      <w:pPr>
        <w:pStyle w:val="3"/>
        <w:pageBreakBefore/>
        <w:snapToGrid w:val="0"/>
        <w:spacing w:before="0" w:after="0" w:line="288" w:lineRule="auto"/>
        <w:rPr>
          <w:rFonts w:hint="eastAsia" w:ascii="仿宋" w:hAnsi="仿宋" w:eastAsia="仿宋" w:cs="仿宋"/>
          <w:color w:val="auto"/>
          <w:sz w:val="32"/>
          <w:szCs w:val="32"/>
        </w:rPr>
      </w:pPr>
      <w:bookmarkStart w:id="194"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4"/>
    </w:p>
    <w:p w14:paraId="2076046E">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6FFCB8D">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8CB9897">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D6BCE7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F741C0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180518D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46A5A02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34F9C6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5ED75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15CDC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12F3403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3B70ACE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032269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2D913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0CCDC3C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D31F15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63AF07F8">
      <w:pPr>
        <w:snapToGrid w:val="0"/>
        <w:spacing w:line="312" w:lineRule="auto"/>
        <w:rPr>
          <w:rFonts w:hint="eastAsia" w:ascii="仿宋" w:hAnsi="仿宋" w:eastAsia="仿宋" w:cs="仿宋"/>
          <w:color w:val="auto"/>
          <w:sz w:val="32"/>
          <w:szCs w:val="32"/>
        </w:rPr>
      </w:pPr>
    </w:p>
    <w:p w14:paraId="3A352031">
      <w:pPr>
        <w:snapToGrid w:val="0"/>
        <w:spacing w:line="312" w:lineRule="auto"/>
        <w:rPr>
          <w:rFonts w:hint="eastAsia" w:ascii="仿宋" w:hAnsi="仿宋" w:eastAsia="仿宋" w:cs="仿宋"/>
          <w:color w:val="auto"/>
          <w:sz w:val="32"/>
          <w:szCs w:val="32"/>
        </w:rPr>
      </w:pPr>
    </w:p>
    <w:p w14:paraId="3BB7865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5CA1FF4">
      <w:pPr>
        <w:snapToGrid w:val="0"/>
        <w:spacing w:line="312" w:lineRule="auto"/>
        <w:rPr>
          <w:rFonts w:hint="eastAsia" w:ascii="仿宋" w:hAnsi="仿宋" w:eastAsia="仿宋" w:cs="仿宋"/>
          <w:color w:val="auto"/>
          <w:sz w:val="32"/>
          <w:szCs w:val="32"/>
        </w:rPr>
      </w:pPr>
    </w:p>
    <w:p w14:paraId="7848A6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4A2C114">
      <w:pPr>
        <w:snapToGrid w:val="0"/>
        <w:spacing w:line="312" w:lineRule="auto"/>
        <w:rPr>
          <w:rFonts w:hint="eastAsia" w:ascii="仿宋" w:hAnsi="仿宋" w:eastAsia="仿宋" w:cs="仿宋"/>
          <w:color w:val="auto"/>
          <w:sz w:val="32"/>
          <w:szCs w:val="32"/>
        </w:rPr>
      </w:pPr>
    </w:p>
    <w:p w14:paraId="1107C65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F12BAA4">
      <w:pPr>
        <w:snapToGrid w:val="0"/>
        <w:spacing w:line="312" w:lineRule="auto"/>
        <w:ind w:firstLine="1280" w:firstLineChars="400"/>
        <w:rPr>
          <w:rFonts w:hint="eastAsia" w:ascii="仿宋" w:hAnsi="仿宋" w:eastAsia="仿宋" w:cs="仿宋"/>
          <w:color w:val="auto"/>
          <w:sz w:val="32"/>
          <w:szCs w:val="32"/>
        </w:rPr>
      </w:pPr>
    </w:p>
    <w:p w14:paraId="5949AFF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5955BD0">
      <w:pPr>
        <w:pStyle w:val="9"/>
        <w:snapToGrid w:val="0"/>
        <w:spacing w:after="120"/>
        <w:ind w:firstLine="0" w:firstLineChars="0"/>
        <w:jc w:val="both"/>
        <w:rPr>
          <w:rFonts w:hint="eastAsia" w:ascii="仿宋" w:hAnsi="仿宋" w:eastAsia="仿宋" w:cs="仿宋"/>
          <w:color w:val="auto"/>
          <w:sz w:val="32"/>
          <w:szCs w:val="32"/>
        </w:rPr>
      </w:pPr>
    </w:p>
    <w:p w14:paraId="47F7429D">
      <w:pPr>
        <w:pStyle w:val="9"/>
        <w:snapToGrid w:val="0"/>
        <w:spacing w:after="120"/>
        <w:ind w:firstLine="0" w:firstLineChars="0"/>
        <w:jc w:val="both"/>
        <w:rPr>
          <w:rFonts w:hint="eastAsia" w:ascii="仿宋" w:hAnsi="仿宋" w:eastAsia="仿宋" w:cs="仿宋"/>
          <w:color w:val="auto"/>
          <w:sz w:val="32"/>
          <w:szCs w:val="32"/>
        </w:rPr>
      </w:pPr>
    </w:p>
    <w:p w14:paraId="1ACC8AFD">
      <w:pPr>
        <w:pStyle w:val="9"/>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61C97240">
      <w:pPr>
        <w:widowControl/>
        <w:jc w:val="left"/>
        <w:rPr>
          <w:rFonts w:ascii="Times New Roman" w:hAnsi="Times New Roman"/>
          <w:color w:val="auto"/>
          <w:sz w:val="24"/>
          <w:szCs w:val="24"/>
        </w:rPr>
      </w:pPr>
    </w:p>
    <w:p w14:paraId="4D60DD34">
      <w:pPr>
        <w:spacing w:line="440" w:lineRule="exact"/>
        <w:jc w:val="center"/>
        <w:rPr>
          <w:rFonts w:ascii="Times New Roman" w:hAnsi="Times New Roman" w:eastAsia="黑体"/>
          <w:color w:val="auto"/>
          <w:sz w:val="27"/>
          <w:szCs w:val="27"/>
        </w:rPr>
      </w:pPr>
    </w:p>
    <w:p w14:paraId="48B71C22">
      <w:pPr>
        <w:spacing w:line="440" w:lineRule="exact"/>
        <w:ind w:firstLine="420" w:firstLineChars="200"/>
        <w:rPr>
          <w:rFonts w:ascii="Times New Roman" w:hAnsi="Times New Roman"/>
          <w:color w:val="auto"/>
          <w:szCs w:val="21"/>
        </w:rPr>
      </w:pPr>
    </w:p>
    <w:p w14:paraId="7C53B2A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32F2DD20">
      <w:pPr>
        <w:pStyle w:val="3"/>
        <w:numPr>
          <w:ilvl w:val="0"/>
          <w:numId w:val="0"/>
        </w:numPr>
        <w:ind w:left="0" w:leftChars="0" w:firstLine="723" w:firstLineChars="200"/>
        <w:jc w:val="left"/>
        <w:rPr>
          <w:rFonts w:hint="default" w:ascii="Times New Roman" w:hAnsi="Times New Roman" w:eastAsia="宋体" w:cs="Times New Roman"/>
          <w:b/>
          <w:bCs/>
          <w:color w:val="auto"/>
          <w:kern w:val="2"/>
          <w:sz w:val="36"/>
          <w:szCs w:val="36"/>
          <w:lang w:val="en-US" w:eastAsia="zh-CN" w:bidi="ar-SA"/>
        </w:rPr>
      </w:pPr>
      <w:bookmarkStart w:id="195" w:name="_Toc1755"/>
      <w:bookmarkStart w:id="196" w:name="_Toc504488775"/>
      <w:r>
        <w:rPr>
          <w:rFonts w:hint="eastAsia" w:ascii="Times New Roman" w:hAnsi="Times New Roman" w:eastAsia="宋体" w:cs="Times New Roman"/>
          <w:b/>
          <w:bCs/>
          <w:color w:val="auto"/>
          <w:kern w:val="2"/>
          <w:sz w:val="36"/>
          <w:szCs w:val="36"/>
          <w:lang w:val="en-US" w:eastAsia="zh-CN" w:bidi="ar-SA"/>
        </w:rPr>
        <w:t>五、分项报价表</w:t>
      </w:r>
    </w:p>
    <w:tbl>
      <w:tblPr>
        <w:tblStyle w:val="10"/>
        <w:tblpPr w:leftFromText="180" w:rightFromText="180" w:vertAnchor="page" w:horzAnchor="page" w:tblpX="1592" w:tblpY="2612"/>
        <w:tblOverlap w:val="never"/>
        <w:tblW w:w="87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4"/>
        <w:gridCol w:w="1112"/>
        <w:gridCol w:w="3148"/>
        <w:gridCol w:w="1244"/>
        <w:gridCol w:w="1200"/>
        <w:gridCol w:w="1540"/>
      </w:tblGrid>
      <w:tr w14:paraId="2B19D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504" w:type="dxa"/>
            <w:tcBorders>
              <w:top w:val="single" w:color="auto" w:sz="6" w:space="0"/>
              <w:left w:val="single" w:color="auto" w:sz="6" w:space="0"/>
              <w:bottom w:val="single" w:color="auto" w:sz="4" w:space="0"/>
              <w:right w:val="single" w:color="auto" w:sz="6" w:space="0"/>
              <w:tl2br w:val="nil"/>
              <w:tr2bl w:val="nil"/>
            </w:tcBorders>
            <w:noWrap w:val="0"/>
            <w:vAlign w:val="center"/>
          </w:tcPr>
          <w:p w14:paraId="72321B1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1112" w:type="dxa"/>
            <w:tcBorders>
              <w:top w:val="single" w:color="auto" w:sz="6" w:space="0"/>
              <w:left w:val="single" w:color="auto" w:sz="6" w:space="0"/>
              <w:bottom w:val="single" w:color="auto" w:sz="4" w:space="0"/>
              <w:right w:val="single" w:color="auto" w:sz="6" w:space="0"/>
              <w:tl2br w:val="nil"/>
              <w:tr2bl w:val="nil"/>
            </w:tcBorders>
            <w:noWrap w:val="0"/>
            <w:vAlign w:val="center"/>
          </w:tcPr>
          <w:p w14:paraId="7B7E0C6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货物</w:t>
            </w:r>
          </w:p>
          <w:p w14:paraId="3BC0CE4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31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33B76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规格型号</w:t>
            </w:r>
          </w:p>
        </w:tc>
        <w:tc>
          <w:tcPr>
            <w:tcW w:w="124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4E089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数量</w:t>
            </w:r>
            <w:r>
              <w:rPr>
                <w:rFonts w:hint="eastAsia" w:ascii="宋体" w:hAnsi="宋体" w:cs="宋体"/>
                <w:color w:val="000000"/>
                <w:sz w:val="24"/>
                <w:szCs w:val="24"/>
                <w:lang w:val="en-US" w:eastAsia="zh-CN"/>
              </w:rPr>
              <w:t xml:space="preserve">    </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干量吨</w:t>
            </w:r>
            <w:r>
              <w:rPr>
                <w:rFonts w:hint="eastAsia" w:ascii="宋体" w:hAnsi="宋体" w:cs="宋体"/>
                <w:color w:val="000000"/>
                <w:sz w:val="21"/>
                <w:szCs w:val="21"/>
                <w:lang w:eastAsia="zh-CN"/>
              </w:rPr>
              <w:t>）</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D91EB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送到价</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（元/吨）</w:t>
            </w:r>
          </w:p>
        </w:tc>
        <w:tc>
          <w:tcPr>
            <w:tcW w:w="15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2FCA0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总</w:t>
            </w:r>
            <w:r>
              <w:rPr>
                <w:rFonts w:hint="eastAsia" w:ascii="宋体" w:hAnsi="宋体" w:eastAsia="宋体" w:cs="宋体"/>
                <w:color w:val="000000"/>
                <w:sz w:val="24"/>
                <w:szCs w:val="24"/>
              </w:rPr>
              <w:t>金额（元）</w:t>
            </w:r>
          </w:p>
        </w:tc>
      </w:tr>
      <w:tr w14:paraId="2AE58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5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DA22D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1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C56E8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二工区用</w:t>
            </w:r>
            <w:r>
              <w:rPr>
                <w:rFonts w:hint="eastAsia" w:ascii="宋体" w:hAnsi="宋体" w:eastAsia="宋体" w:cs="宋体"/>
                <w:color w:val="000000"/>
                <w:sz w:val="24"/>
                <w:szCs w:val="24"/>
                <w:lang w:val="en-US" w:eastAsia="zh-CN"/>
              </w:rPr>
              <w:t>焦沫</w:t>
            </w:r>
          </w:p>
        </w:tc>
        <w:tc>
          <w:tcPr>
            <w:tcW w:w="3148" w:type="dxa"/>
            <w:tcBorders>
              <w:top w:val="single" w:color="auto" w:sz="6" w:space="0"/>
              <w:left w:val="single" w:color="auto" w:sz="4" w:space="0"/>
              <w:bottom w:val="single" w:color="auto" w:sz="6" w:space="0"/>
              <w:right w:val="single" w:color="auto" w:sz="6" w:space="0"/>
              <w:tl2br w:val="nil"/>
              <w:tr2bl w:val="nil"/>
            </w:tcBorders>
            <w:noWrap w:val="0"/>
            <w:vAlign w:val="center"/>
          </w:tcPr>
          <w:p w14:paraId="47CB0F04">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sz w:val="21"/>
                <w:szCs w:val="21"/>
              </w:rPr>
            </w:pPr>
            <w:r>
              <w:rPr>
                <w:rFonts w:hint="eastAsia" w:ascii="仿宋" w:hAnsi="仿宋" w:eastAsia="仿宋" w:cs="仿宋"/>
                <w:color w:val="auto"/>
                <w:sz w:val="28"/>
                <w:szCs w:val="28"/>
              </w:rPr>
              <w:t>C≥</w:t>
            </w:r>
            <w:r>
              <w:rPr>
                <w:rFonts w:hint="eastAsia" w:ascii="仿宋" w:hAnsi="仿宋" w:eastAsia="仿宋" w:cs="仿宋"/>
                <w:color w:val="auto"/>
                <w:sz w:val="28"/>
                <w:szCs w:val="28"/>
                <w:lang w:val="en-US" w:eastAsia="zh-CN"/>
              </w:rPr>
              <w:t>78</w:t>
            </w:r>
            <w:r>
              <w:rPr>
                <w:rFonts w:hint="eastAsia" w:ascii="仿宋" w:hAnsi="仿宋" w:eastAsia="仿宋" w:cs="仿宋"/>
                <w:color w:val="auto"/>
                <w:sz w:val="28"/>
                <w:szCs w:val="28"/>
              </w:rPr>
              <w:t>%，挥发份≤</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.0%，灰分≤15.0%，S≤</w:t>
            </w:r>
            <w:r>
              <w:rPr>
                <w:rFonts w:hint="eastAsia" w:ascii="仿宋" w:hAnsi="仿宋" w:eastAsia="仿宋" w:cs="仿宋"/>
                <w:color w:val="auto"/>
                <w:sz w:val="28"/>
                <w:szCs w:val="28"/>
                <w:lang w:val="en-US" w:eastAsia="zh-CN"/>
              </w:rPr>
              <w:t>0.8</w:t>
            </w:r>
            <w:r>
              <w:rPr>
                <w:rFonts w:hint="eastAsia" w:ascii="仿宋" w:hAnsi="仿宋" w:eastAsia="仿宋" w:cs="仿宋"/>
                <w:color w:val="auto"/>
                <w:sz w:val="28"/>
                <w:szCs w:val="28"/>
              </w:rPr>
              <w:t>%,水分≤</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%，粒度符合5-10mm≤</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0%</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15mm＜</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%，5mm＜</w:t>
            </w:r>
            <w:r>
              <w:rPr>
                <w:rFonts w:hint="eastAsia" w:ascii="仿宋" w:hAnsi="仿宋" w:eastAsia="仿宋" w:cs="仿宋"/>
                <w:color w:val="auto"/>
                <w:sz w:val="28"/>
                <w:szCs w:val="28"/>
                <w:lang w:val="en-US" w:eastAsia="zh-CN"/>
              </w:rPr>
              <w:t>50</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w:t>
            </w:r>
          </w:p>
        </w:tc>
        <w:tc>
          <w:tcPr>
            <w:tcW w:w="124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8A053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3000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9BCB4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p>
        </w:tc>
        <w:tc>
          <w:tcPr>
            <w:tcW w:w="15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E5A5F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p>
        </w:tc>
      </w:tr>
    </w:tbl>
    <w:p w14:paraId="6DD097D9">
      <w:pPr>
        <w:bidi w:val="0"/>
        <w:ind w:firstLine="300" w:firstLineChars="100"/>
        <w:jc w:val="left"/>
        <w:rPr>
          <w:rFonts w:hint="eastAsia" w:ascii="Times New Roman" w:hAnsi="Times New Roman"/>
          <w:color w:val="auto"/>
          <w:kern w:val="0"/>
          <w:sz w:val="30"/>
          <w:szCs w:val="30"/>
          <w:lang w:val="en-US" w:eastAsia="zh-CN"/>
        </w:rPr>
      </w:pPr>
    </w:p>
    <w:p w14:paraId="413685F5">
      <w:pPr>
        <w:bidi w:val="0"/>
        <w:ind w:firstLine="1500" w:firstLineChars="500"/>
        <w:jc w:val="left"/>
        <w:rPr>
          <w:rFonts w:hint="default" w:ascii="Times New Roman" w:hAnsi="Times New Roman"/>
          <w:color w:val="auto"/>
          <w:kern w:val="0"/>
          <w:sz w:val="30"/>
          <w:szCs w:val="30"/>
          <w:u w:val="single"/>
          <w:lang w:val="en-US" w:eastAsia="zh-CN"/>
        </w:rPr>
      </w:pPr>
      <w:r>
        <w:rPr>
          <w:rFonts w:hint="eastAsia" w:ascii="Times New Roman" w:hAnsi="Times New Roman"/>
          <w:color w:val="auto"/>
          <w:kern w:val="0"/>
          <w:sz w:val="30"/>
          <w:szCs w:val="30"/>
          <w:lang w:val="en-US" w:eastAsia="zh-CN"/>
        </w:rPr>
        <w:t xml:space="preserve">报价单位签字盖章： </w:t>
      </w:r>
      <w:r>
        <w:rPr>
          <w:rFonts w:hint="eastAsia" w:ascii="Times New Roman" w:hAnsi="Times New Roman"/>
          <w:color w:val="auto"/>
          <w:kern w:val="0"/>
          <w:sz w:val="30"/>
          <w:szCs w:val="30"/>
          <w:u w:val="single"/>
          <w:lang w:val="en-US" w:eastAsia="zh-CN"/>
        </w:rPr>
        <w:t xml:space="preserve">                           </w:t>
      </w:r>
    </w:p>
    <w:p w14:paraId="0C4F7D97">
      <w:pPr>
        <w:pStyle w:val="3"/>
        <w:spacing w:after="0"/>
        <w:ind w:firstLine="4800" w:firstLineChars="1600"/>
        <w:jc w:val="both"/>
        <w:rPr>
          <w:rFonts w:ascii="Times New Roman" w:hAnsi="Times New Roman"/>
          <w:color w:val="auto"/>
        </w:rPr>
      </w:pP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年</w:t>
      </w: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月</w:t>
      </w: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日</w:t>
      </w:r>
      <w:r>
        <w:rPr>
          <w:rFonts w:hint="eastAsia" w:ascii="Times New Roman" w:hAnsi="Times New Roman"/>
          <w:b w:val="0"/>
          <w:bCs/>
          <w:color w:val="auto"/>
          <w:kern w:val="0"/>
          <w:sz w:val="30"/>
          <w:szCs w:val="30"/>
        </w:rPr>
        <w:br w:type="page"/>
      </w: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195"/>
      <w:bookmarkEnd w:id="196"/>
    </w:p>
    <w:p w14:paraId="097D03FF">
      <w:pPr>
        <w:pStyle w:val="4"/>
        <w:spacing w:before="20" w:after="0"/>
        <w:ind w:firstLine="103"/>
        <w:rPr>
          <w:rFonts w:ascii="Times New Roman"/>
          <w:color w:val="auto"/>
          <w:sz w:val="32"/>
          <w:szCs w:val="32"/>
        </w:rPr>
      </w:pPr>
      <w:bookmarkStart w:id="197" w:name="_Toc13906"/>
      <w:bookmarkStart w:id="198" w:name="_Toc504488776"/>
      <w:r>
        <w:rPr>
          <w:rFonts w:hint="eastAsia" w:ascii="Times New Roman"/>
          <w:color w:val="auto"/>
          <w:sz w:val="32"/>
          <w:szCs w:val="32"/>
        </w:rPr>
        <w:t>（一）基本情况表</w:t>
      </w:r>
      <w:bookmarkEnd w:id="197"/>
      <w:bookmarkEnd w:id="198"/>
    </w:p>
    <w:tbl>
      <w:tblPr>
        <w:tblStyle w:val="10"/>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2"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27EE9404">
      <w:pPr>
        <w:spacing w:line="360" w:lineRule="auto"/>
        <w:ind w:firstLine="480" w:firstLineChars="200"/>
        <w:rPr>
          <w:rFonts w:hint="eastAsia" w:ascii="宋体" w:hAnsi="宋体" w:eastAsia="宋体" w:cs="宋体"/>
          <w:color w:val="auto"/>
          <w:sz w:val="24"/>
          <w:szCs w:val="24"/>
        </w:rPr>
      </w:pPr>
    </w:p>
    <w:p w14:paraId="6F9C9DC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2C5D0474">
      <w:pPr>
        <w:pStyle w:val="4"/>
        <w:ind w:firstLine="103"/>
        <w:rPr>
          <w:rFonts w:ascii="Times New Roman"/>
          <w:color w:val="auto"/>
          <w:sz w:val="32"/>
          <w:szCs w:val="32"/>
        </w:rPr>
      </w:pPr>
      <w:bookmarkStart w:id="199" w:name="_Toc19475"/>
      <w:bookmarkStart w:id="200"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199"/>
      <w:bookmarkEnd w:id="200"/>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74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87F7E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23430E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89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3B09DB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0FC7D5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1D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5F7D86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175394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90C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7F40F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B4883F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DB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D54678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507F0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A0EDDE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E09C4E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F42CB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9C640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B655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53010C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7A4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393F8A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2873B14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1F6D48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7AEFDC3">
      <w:pPr>
        <w:spacing w:line="440" w:lineRule="exact"/>
        <w:ind w:firstLine="480" w:firstLineChars="200"/>
        <w:rPr>
          <w:color w:val="auto"/>
          <w:sz w:val="24"/>
          <w:szCs w:val="24"/>
        </w:rPr>
      </w:pPr>
    </w:p>
    <w:p w14:paraId="5D07889C">
      <w:pPr>
        <w:spacing w:line="440" w:lineRule="exact"/>
        <w:rPr>
          <w:rFonts w:ascii="Times New Roman" w:hAnsi="Times New Roman"/>
          <w:color w:val="auto"/>
        </w:rPr>
      </w:pPr>
    </w:p>
    <w:p w14:paraId="6ECAF8ED">
      <w:pPr>
        <w:spacing w:line="440" w:lineRule="exact"/>
        <w:rPr>
          <w:rFonts w:ascii="Times New Roman" w:hAnsi="Times New Roman"/>
          <w:color w:val="auto"/>
        </w:rPr>
      </w:pPr>
    </w:p>
    <w:p w14:paraId="0EB9854E">
      <w:pPr>
        <w:topLinePunct/>
        <w:spacing w:line="440" w:lineRule="exact"/>
        <w:rPr>
          <w:rFonts w:ascii="Times New Roman" w:hAnsi="Times New Roman"/>
          <w:color w:val="auto"/>
        </w:rPr>
      </w:pPr>
      <w:r>
        <w:rPr>
          <w:rFonts w:ascii="Times New Roman" w:hAnsi="Times New Roman"/>
          <w:color w:val="auto"/>
        </w:rPr>
        <w:br w:type="page"/>
      </w:r>
    </w:p>
    <w:p w14:paraId="1DBB3D05">
      <w:pPr>
        <w:spacing w:line="440" w:lineRule="exact"/>
        <w:rPr>
          <w:rFonts w:ascii="Times New Roman"/>
          <w:b/>
          <w:bCs/>
          <w:color w:val="auto"/>
          <w:sz w:val="32"/>
          <w:szCs w:val="32"/>
        </w:rPr>
      </w:pPr>
      <w:bookmarkStart w:id="201" w:name="_Toc14234"/>
      <w:bookmarkStart w:id="202" w:name="_Toc504488780"/>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1"/>
      <w:bookmarkEnd w:id="202"/>
    </w:p>
    <w:p w14:paraId="63A0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31F8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530A0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32ED3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714653E0">
      <w:pPr>
        <w:rPr>
          <w:rFonts w:hint="eastAsia" w:ascii="Times New Roman" w:hAnsi="Times New Roman"/>
          <w:color w:val="auto"/>
        </w:rPr>
      </w:pPr>
    </w:p>
    <w:p w14:paraId="6A74097B">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br w:type="page"/>
      </w:r>
    </w:p>
    <w:p w14:paraId="02CCFC85">
      <w:pPr>
        <w:spacing w:line="440" w:lineRule="exact"/>
        <w:rPr>
          <w:rFonts w:hint="default" w:ascii="Times New Roman" w:eastAsiaTheme="minorEastAsia"/>
          <w:b/>
          <w:bCs/>
          <w:color w:val="auto"/>
          <w:sz w:val="32"/>
          <w:szCs w:val="32"/>
          <w:lang w:val="en-US" w:eastAsia="zh-CN"/>
        </w:rPr>
      </w:pPr>
      <w:r>
        <w:rPr>
          <w:rFonts w:hint="eastAsia" w:ascii="Times New Roman"/>
          <w:b/>
          <w:bCs/>
          <w:color w:val="auto"/>
          <w:sz w:val="32"/>
          <w:szCs w:val="32"/>
        </w:rPr>
        <w:t>（</w:t>
      </w:r>
      <w:r>
        <w:rPr>
          <w:rFonts w:hint="eastAsia" w:ascii="Times New Roman"/>
          <w:b/>
          <w:bCs/>
          <w:color w:val="auto"/>
          <w:sz w:val="32"/>
          <w:szCs w:val="32"/>
          <w:lang w:val="en-US" w:eastAsia="zh-CN"/>
        </w:rPr>
        <w:t>四</w:t>
      </w:r>
      <w:r>
        <w:rPr>
          <w:rFonts w:hint="eastAsia" w:ascii="Times New Roman"/>
          <w:b/>
          <w:bCs/>
          <w:color w:val="auto"/>
          <w:sz w:val="32"/>
          <w:szCs w:val="32"/>
        </w:rPr>
        <w:t>）</w:t>
      </w:r>
      <w:r>
        <w:rPr>
          <w:rFonts w:hint="eastAsia" w:ascii="Times New Roman"/>
          <w:b/>
          <w:bCs/>
          <w:color w:val="auto"/>
          <w:sz w:val="32"/>
          <w:szCs w:val="32"/>
          <w:lang w:val="en-US" w:eastAsia="zh-CN"/>
        </w:rPr>
        <w:t>投标方案及产品检验报告</w:t>
      </w:r>
    </w:p>
    <w:p w14:paraId="0449940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ACCB84C">
      <w:pPr>
        <w:spacing w:line="440" w:lineRule="exact"/>
        <w:rPr>
          <w:rFonts w:hint="default" w:ascii="Times New Roman" w:eastAsiaTheme="minorEastAsia"/>
          <w:b/>
          <w:bCs/>
          <w:color w:val="auto"/>
          <w:sz w:val="32"/>
          <w:szCs w:val="32"/>
          <w:lang w:val="en-US" w:eastAsia="zh-CN"/>
        </w:rPr>
      </w:pPr>
      <w:r>
        <w:rPr>
          <w:rFonts w:hint="eastAsia" w:ascii="Times New Roman"/>
          <w:b/>
          <w:bCs/>
          <w:color w:val="auto"/>
          <w:sz w:val="32"/>
          <w:szCs w:val="32"/>
        </w:rPr>
        <w:t>（</w:t>
      </w:r>
      <w:r>
        <w:rPr>
          <w:rFonts w:hint="eastAsia" w:ascii="Times New Roman"/>
          <w:b/>
          <w:bCs/>
          <w:color w:val="auto"/>
          <w:sz w:val="32"/>
          <w:szCs w:val="32"/>
          <w:lang w:val="en-US" w:eastAsia="zh-CN"/>
        </w:rPr>
        <w:t>五</w:t>
      </w:r>
      <w:r>
        <w:rPr>
          <w:rFonts w:hint="eastAsia" w:ascii="Times New Roman"/>
          <w:b/>
          <w:bCs/>
          <w:color w:val="auto"/>
          <w:sz w:val="32"/>
          <w:szCs w:val="32"/>
        </w:rPr>
        <w:t>）</w:t>
      </w:r>
      <w:r>
        <w:rPr>
          <w:rFonts w:hint="eastAsia" w:ascii="Times New Roman"/>
          <w:b/>
          <w:bCs/>
          <w:color w:val="auto"/>
          <w:sz w:val="32"/>
          <w:szCs w:val="32"/>
          <w:lang w:val="en-US" w:eastAsia="zh-CN"/>
        </w:rPr>
        <w:t>其他资料</w:t>
      </w:r>
    </w:p>
    <w:p w14:paraId="0B0133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注</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lang w:val="en-US" w:eastAsia="zh-CN"/>
        </w:rPr>
        <w:t>自行提供认为需要提供的其他业务资料。</w:t>
      </w:r>
    </w:p>
    <w:p w14:paraId="7F6D56F0">
      <w:pPr>
        <w:rPr>
          <w:rFonts w:hint="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74454A-D7B1-4B4F-B50C-B10D15B8E3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89D3C17A-BDF4-4B08-81C5-DDE5DAC1AEFB}"/>
  </w:font>
  <w:font w:name="仿宋">
    <w:panose1 w:val="02010609060101010101"/>
    <w:charset w:val="86"/>
    <w:family w:val="auto"/>
    <w:pitch w:val="default"/>
    <w:sig w:usb0="800002BF" w:usb1="38CF7CFA" w:usb2="00000016" w:usb3="00000000" w:csb0="00040001" w:csb1="00000000"/>
    <w:embedRegular r:id="rId3" w:fontKey="{95C1C5DE-15C9-4647-B004-FDB5CB4E4F7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5CA1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82D4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782D4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A14B2">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00B14F"/>
    <w:multiLevelType w:val="singleLevel"/>
    <w:tmpl w:val="1700B14F"/>
    <w:lvl w:ilvl="0" w:tentative="0">
      <w:start w:val="3"/>
      <w:numFmt w:val="decimal"/>
      <w:suff w:val="nothing"/>
      <w:lvlText w:val="%1、"/>
      <w:lvlJc w:val="left"/>
    </w:lvl>
  </w:abstractNum>
  <w:abstractNum w:abstractNumId="1">
    <w:nsid w:val="323A9E63"/>
    <w:multiLevelType w:val="singleLevel"/>
    <w:tmpl w:val="323A9E6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F72CA9"/>
    <w:rsid w:val="023E2922"/>
    <w:rsid w:val="026E6F9B"/>
    <w:rsid w:val="0453071C"/>
    <w:rsid w:val="05BE40FB"/>
    <w:rsid w:val="08C03178"/>
    <w:rsid w:val="0B1E43C0"/>
    <w:rsid w:val="0DD7718C"/>
    <w:rsid w:val="0F295B98"/>
    <w:rsid w:val="102F1EF5"/>
    <w:rsid w:val="10785328"/>
    <w:rsid w:val="10D43734"/>
    <w:rsid w:val="15350822"/>
    <w:rsid w:val="15D01836"/>
    <w:rsid w:val="190044E4"/>
    <w:rsid w:val="19BF0744"/>
    <w:rsid w:val="19BF485E"/>
    <w:rsid w:val="1B3D3D5E"/>
    <w:rsid w:val="1C25356A"/>
    <w:rsid w:val="1CEF3596"/>
    <w:rsid w:val="1DB27CC5"/>
    <w:rsid w:val="1E34479D"/>
    <w:rsid w:val="211454BC"/>
    <w:rsid w:val="21834158"/>
    <w:rsid w:val="241430A6"/>
    <w:rsid w:val="297D7484"/>
    <w:rsid w:val="2EF137DE"/>
    <w:rsid w:val="31832E12"/>
    <w:rsid w:val="333C7F24"/>
    <w:rsid w:val="333D3C9C"/>
    <w:rsid w:val="339B5162"/>
    <w:rsid w:val="3A4A486F"/>
    <w:rsid w:val="3A561988"/>
    <w:rsid w:val="3BE13D5E"/>
    <w:rsid w:val="3CB63F34"/>
    <w:rsid w:val="3E8053A1"/>
    <w:rsid w:val="433C5D1E"/>
    <w:rsid w:val="438C17CA"/>
    <w:rsid w:val="460F14C8"/>
    <w:rsid w:val="4B896DF6"/>
    <w:rsid w:val="4C221D14"/>
    <w:rsid w:val="4CB27A82"/>
    <w:rsid w:val="4CF60560"/>
    <w:rsid w:val="4D66647C"/>
    <w:rsid w:val="503C6593"/>
    <w:rsid w:val="509B2FD7"/>
    <w:rsid w:val="524F1A19"/>
    <w:rsid w:val="53954879"/>
    <w:rsid w:val="542B2540"/>
    <w:rsid w:val="56F815DC"/>
    <w:rsid w:val="57711FE2"/>
    <w:rsid w:val="5890296F"/>
    <w:rsid w:val="5B97061C"/>
    <w:rsid w:val="5C2B04AE"/>
    <w:rsid w:val="5E325758"/>
    <w:rsid w:val="5F28567D"/>
    <w:rsid w:val="5F8C5DB5"/>
    <w:rsid w:val="61137C66"/>
    <w:rsid w:val="62BE332E"/>
    <w:rsid w:val="639D41AF"/>
    <w:rsid w:val="63BD4A30"/>
    <w:rsid w:val="65850A73"/>
    <w:rsid w:val="66452F0C"/>
    <w:rsid w:val="66777708"/>
    <w:rsid w:val="66E24CB0"/>
    <w:rsid w:val="67806D62"/>
    <w:rsid w:val="69E314DA"/>
    <w:rsid w:val="69F446AA"/>
    <w:rsid w:val="6DB30807"/>
    <w:rsid w:val="6E0D596E"/>
    <w:rsid w:val="76987E92"/>
    <w:rsid w:val="7B085B7C"/>
    <w:rsid w:val="7B316119"/>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7287</Words>
  <Characters>7541</Characters>
  <Lines>0</Lines>
  <Paragraphs>0</Paragraphs>
  <TotalTime>3</TotalTime>
  <ScaleCrop>false</ScaleCrop>
  <LinksUpToDate>false</LinksUpToDate>
  <CharactersWithSpaces>7806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李晶</cp:lastModifiedBy>
  <cp:lastPrinted>2026-04-20T09:12:00Z</cp:lastPrinted>
  <dcterms:modified xsi:type="dcterms:W3CDTF">2026-04-28T09:24:04Z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99C532C8C18C4FCA96263150A373C5EC_13</vt:lpwstr>
  </property>
  <property fmtid="{D5CDD505-2E9C-101B-9397-08002B2CF9AE}" pid="4" name="KSOTemplateDocerSaveRecord">
    <vt:lpwstr>eyJoZGlkIjoiOGYyYjFjNmFmZWRiNWY0N2EyMmQwYTdkYTZiYmU2MzEiLCJ1c2VySWQiOiI2Mjg3MjA1MDUifQ==</vt:lpwstr>
  </property>
</Properties>
</file>