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30"/>
          <w:szCs w:val="30"/>
        </w:rPr>
      </w:pPr>
      <w:bookmarkStart w:id="206" w:name="_GoBack"/>
      <w:bookmarkEnd w:id="206"/>
      <w:r>
        <w:rPr>
          <w:rFonts w:hint="eastAsia" w:ascii="仿宋" w:hAnsi="仿宋" w:eastAsia="仿宋" w:cs="仿宋"/>
          <w:b/>
          <w:bCs/>
          <w:sz w:val="30"/>
          <w:szCs w:val="30"/>
        </w:rPr>
        <w:t>陕西锌业有限公司</w:t>
      </w:r>
    </w:p>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firstLine="0"/>
        <w:jc w:val="center"/>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2026年下半年果壳活性炭</w:t>
      </w:r>
      <w:r>
        <w:rPr>
          <w:rStyle w:val="12"/>
          <w:rFonts w:hint="eastAsia" w:ascii="仿宋" w:hAnsi="仿宋" w:eastAsia="仿宋" w:cs="仿宋"/>
          <w:i w:val="0"/>
          <w:iCs w:val="0"/>
          <w:caps w:val="0"/>
          <w:color w:val="000000"/>
          <w:spacing w:val="0"/>
          <w:sz w:val="30"/>
          <w:szCs w:val="30"/>
          <w:lang w:val="en-US" w:eastAsia="zh-CN"/>
        </w:rPr>
        <w:t>采购项目</w:t>
      </w:r>
      <w:r>
        <w:rPr>
          <w:rStyle w:val="12"/>
          <w:rFonts w:hint="eastAsia" w:ascii="仿宋" w:hAnsi="仿宋" w:eastAsia="仿宋" w:cs="仿宋"/>
          <w:i w:val="0"/>
          <w:iCs w:val="0"/>
          <w:caps w:val="0"/>
          <w:color w:val="000000"/>
          <w:spacing w:val="0"/>
          <w:sz w:val="30"/>
          <w:szCs w:val="30"/>
        </w:rPr>
        <w:t>询比采购</w:t>
      </w:r>
      <w:r>
        <w:rPr>
          <w:rStyle w:val="12"/>
          <w:rFonts w:hint="eastAsia" w:ascii="仿宋" w:hAnsi="仿宋" w:eastAsia="仿宋" w:cs="仿宋"/>
          <w:i w:val="0"/>
          <w:iCs w:val="0"/>
          <w:caps w:val="0"/>
          <w:color w:val="000000"/>
          <w:spacing w:val="0"/>
          <w:sz w:val="30"/>
          <w:szCs w:val="30"/>
          <w:lang w:val="en-US" w:eastAsia="zh-CN"/>
        </w:rPr>
        <w:t>文件</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b w:val="0"/>
          <w:bCs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b w:val="0"/>
          <w:bCs w:val="0"/>
          <w:sz w:val="28"/>
          <w:szCs w:val="28"/>
        </w:rPr>
        <w:t>（以下称</w:t>
      </w:r>
      <w:r>
        <w:rPr>
          <w:rFonts w:hint="eastAsia" w:ascii="仿宋" w:hAnsi="仿宋" w:eastAsia="仿宋" w:cs="仿宋"/>
          <w:b w:val="0"/>
          <w:bCs w:val="0"/>
          <w:sz w:val="28"/>
          <w:szCs w:val="28"/>
          <w:lang w:val="en-US" w:eastAsia="zh-CN"/>
        </w:rPr>
        <w:t>采购</w:t>
      </w:r>
      <w:r>
        <w:rPr>
          <w:rFonts w:hint="eastAsia" w:ascii="仿宋" w:hAnsi="仿宋" w:eastAsia="仿宋" w:cs="仿宋"/>
          <w:b w:val="0"/>
          <w:bCs w:val="0"/>
          <w:sz w:val="28"/>
          <w:szCs w:val="28"/>
        </w:rPr>
        <w:t>方）</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b w:val="0"/>
          <w:bCs w:val="0"/>
          <w:sz w:val="28"/>
          <w:szCs w:val="28"/>
        </w:rPr>
        <w:t>拟采购</w:t>
      </w:r>
      <w:r>
        <w:rPr>
          <w:rFonts w:hint="eastAsia" w:ascii="仿宋" w:hAnsi="仿宋" w:eastAsia="仿宋" w:cs="仿宋"/>
          <w:b w:val="0"/>
          <w:bCs w:val="0"/>
          <w:sz w:val="28"/>
          <w:szCs w:val="28"/>
          <w:lang w:val="en-US" w:eastAsia="zh-CN"/>
        </w:rPr>
        <w:t>果壳活性炭若干</w:t>
      </w:r>
      <w:r>
        <w:rPr>
          <w:rFonts w:hint="eastAsia" w:ascii="仿宋" w:hAnsi="仿宋" w:eastAsia="仿宋" w:cs="仿宋"/>
          <w:b w:val="0"/>
          <w:bCs w:val="0"/>
          <w:sz w:val="28"/>
          <w:szCs w:val="28"/>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pPr>
        <w:pStyle w:val="2"/>
        <w:pageBreakBefore w:val="0"/>
        <w:numPr>
          <w:ilvl w:val="0"/>
          <w:numId w:val="0"/>
        </w:numPr>
        <w:kinsoku/>
        <w:wordWrap/>
        <w:overflowPunct/>
        <w:topLinePunct w:val="0"/>
        <w:autoSpaceDE/>
        <w:autoSpaceDN/>
        <w:bidi w:val="0"/>
        <w:snapToGrid/>
        <w:spacing w:before="0" w:after="0" w:line="440" w:lineRule="exact"/>
        <w:ind w:firstLine="562" w:firstLineChars="200"/>
        <w:jc w:val="both"/>
        <w:textAlignment w:val="auto"/>
        <w:rPr>
          <w:rFonts w:hint="eastAsia" w:ascii="仿宋" w:hAnsi="仿宋" w:eastAsia="仿宋" w:cs="仿宋"/>
          <w:b/>
          <w:bCs/>
          <w:color w:val="auto"/>
          <w:sz w:val="28"/>
          <w:szCs w:val="28"/>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pPr>
        <w:pStyle w:val="2"/>
        <w:pageBreakBefore w:val="0"/>
        <w:numPr>
          <w:ilvl w:val="0"/>
          <w:numId w:val="0"/>
        </w:numPr>
        <w:kinsoku/>
        <w:wordWrap/>
        <w:overflowPunct/>
        <w:topLinePunct w:val="0"/>
        <w:autoSpaceDE/>
        <w:autoSpaceDN/>
        <w:bidi w:val="0"/>
        <w:snapToGrid/>
        <w:spacing w:before="0" w:after="0" w:line="440" w:lineRule="exact"/>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pPr>
        <w:pageBreakBefore w:val="0"/>
        <w:kinsoku/>
        <w:wordWrap/>
        <w:overflowPunct/>
        <w:topLinePunct w:val="0"/>
        <w:autoSpaceDE/>
        <w:autoSpaceDN/>
        <w:bidi w:val="0"/>
        <w:snapToGrid/>
        <w:spacing w:line="44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7037"/>
      <w:bookmarkStart w:id="6" w:name="_Toc14565"/>
      <w:bookmarkStart w:id="7" w:name="_Toc11471"/>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2026年下半年果壳活性炭采购项目</w:t>
      </w:r>
      <w:bookmarkEnd w:id="4"/>
      <w:bookmarkEnd w:id="5"/>
      <w:bookmarkEnd w:id="6"/>
      <w:bookmarkEnd w:id="7"/>
      <w:r>
        <w:rPr>
          <w:rFonts w:hint="eastAsia" w:ascii="仿宋" w:hAnsi="仿宋" w:eastAsia="仿宋" w:cs="仿宋"/>
          <w:color w:val="auto"/>
          <w:sz w:val="28"/>
          <w:szCs w:val="28"/>
          <w:lang w:val="en-US" w:eastAsia="zh-CN"/>
        </w:rPr>
        <w:t>。</w:t>
      </w:r>
    </w:p>
    <w:p>
      <w:pPr>
        <w:pageBreakBefore w:val="0"/>
        <w:kinsoku/>
        <w:wordWrap/>
        <w:overflowPunct/>
        <w:topLinePunct w:val="0"/>
        <w:autoSpaceDE/>
        <w:autoSpaceDN/>
        <w:bidi w:val="0"/>
        <w:snapToGrid/>
        <w:spacing w:line="44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pPr>
        <w:pageBreakBefore w:val="0"/>
        <w:kinsoku/>
        <w:wordWrap/>
        <w:overflowPunct/>
        <w:topLinePunct w:val="0"/>
        <w:autoSpaceDE/>
        <w:autoSpaceDN/>
        <w:bidi w:val="0"/>
        <w:snapToGrid/>
        <w:spacing w:line="44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（四）交货地点：采购方公司仓库（带磅码单、质检单、合格证）。</w:t>
      </w:r>
    </w:p>
    <w:p>
      <w:pPr>
        <w:pageBreakBefore w:val="0"/>
        <w:kinsoku/>
        <w:wordWrap/>
        <w:overflowPunct/>
        <w:topLinePunct w:val="0"/>
        <w:autoSpaceDE/>
        <w:autoSpaceDN/>
        <w:bidi w:val="0"/>
        <w:snapToGrid/>
        <w:spacing w:line="44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数量：约60吨。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b w:val="0"/>
          <w:bCs/>
          <w:sz w:val="28"/>
          <w:szCs w:val="28"/>
        </w:rPr>
        <w:t>符合GB/T13803</w:t>
      </w:r>
      <w:r>
        <w:rPr>
          <w:rFonts w:hint="eastAsia" w:ascii="仿宋" w:hAnsi="仿宋" w:eastAsia="仿宋" w:cs="仿宋"/>
          <w:b w:val="0"/>
          <w:bCs/>
          <w:sz w:val="28"/>
          <w:szCs w:val="28"/>
          <w:lang w:val="en-US" w:eastAsia="zh-CN"/>
        </w:rPr>
        <w:t>.</w:t>
      </w:r>
      <w:r>
        <w:rPr>
          <w:rFonts w:hint="eastAsia" w:ascii="仿宋" w:hAnsi="仿宋" w:eastAsia="仿宋" w:cs="仿宋"/>
          <w:b w:val="0"/>
          <w:bCs/>
          <w:sz w:val="28"/>
          <w:szCs w:val="28"/>
        </w:rPr>
        <w:t>4-1999国家标准，灰分＜12%、H20≤20%</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200目，碘吸附值500-600</w:t>
      </w:r>
    </w:p>
    <w:p>
      <w:pPr>
        <w:keepNext w:val="0"/>
        <w:keepLines w:val="0"/>
        <w:pageBreakBefore w:val="0"/>
        <w:widowControl w:val="0"/>
        <w:tabs>
          <w:tab w:val="left" w:pos="5812"/>
        </w:tabs>
        <w:kinsoku/>
        <w:wordWrap/>
        <w:overflowPunct/>
        <w:topLinePunct w:val="0"/>
        <w:autoSpaceDE/>
        <w:autoSpaceDN/>
        <w:bidi w:val="0"/>
        <w:adjustRightInd/>
        <w:snapToGrid/>
        <w:spacing w:line="440" w:lineRule="exact"/>
        <w:ind w:firstLine="548" w:firstLineChars="196"/>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安装尾气排放装置、加盖防尘及</w:t>
      </w:r>
      <w:r>
        <w:rPr>
          <w:rFonts w:hint="eastAsia" w:ascii="仿宋" w:hAnsi="仿宋" w:eastAsia="仿宋" w:cs="仿宋"/>
          <w:b w:val="0"/>
          <w:bCs/>
          <w:sz w:val="28"/>
          <w:szCs w:val="28"/>
        </w:rPr>
        <w:t>防火安全相关设备等，否则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厂内。</w:t>
      </w:r>
    </w:p>
    <w:p>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袋</w:t>
      </w:r>
      <w:r>
        <w:rPr>
          <w:rFonts w:hint="eastAsia" w:ascii="仿宋" w:hAnsi="仿宋" w:eastAsia="仿宋" w:cs="仿宋"/>
          <w:bCs/>
          <w:color w:val="auto"/>
          <w:sz w:val="28"/>
          <w:szCs w:val="28"/>
          <w:lang w:eastAsia="zh-CN"/>
        </w:rPr>
        <w:t>装，</w:t>
      </w:r>
      <w:r>
        <w:rPr>
          <w:rFonts w:hint="eastAsia" w:ascii="仿宋" w:hAnsi="仿宋" w:eastAsia="仿宋" w:cs="仿宋"/>
          <w:bCs/>
          <w:color w:val="auto"/>
          <w:sz w:val="28"/>
          <w:szCs w:val="28"/>
          <w:lang w:val="en-US" w:eastAsia="zh-CN"/>
        </w:rPr>
        <w:t>包装物不回收</w:t>
      </w:r>
      <w:r>
        <w:rPr>
          <w:rFonts w:hint="eastAsia" w:ascii="仿宋" w:hAnsi="仿宋" w:eastAsia="仿宋" w:cs="仿宋"/>
          <w:bCs/>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六款质量要求</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方式及期限：</w:t>
      </w:r>
      <w:r>
        <w:rPr>
          <w:rFonts w:hint="eastAsia" w:ascii="仿宋" w:hAnsi="仿宋" w:eastAsia="仿宋" w:cs="仿宋"/>
          <w:bCs/>
          <w:color w:val="auto"/>
          <w:sz w:val="28"/>
          <w:szCs w:val="28"/>
          <w:lang w:val="en-US" w:eastAsia="zh-CN"/>
        </w:rPr>
        <w:t>货到初步验收合格后，</w:t>
      </w:r>
      <w:r>
        <w:rPr>
          <w:rFonts w:hint="eastAsia" w:ascii="仿宋" w:hAnsi="仿宋" w:eastAsia="仿宋" w:cs="仿宋"/>
          <w:sz w:val="28"/>
          <w:szCs w:val="28"/>
        </w:rPr>
        <w:t>一票制结算</w:t>
      </w:r>
      <w:r>
        <w:rPr>
          <w:rFonts w:hint="eastAsia" w:ascii="仿宋" w:hAnsi="仿宋" w:eastAsia="仿宋" w:cs="仿宋"/>
          <w:sz w:val="28"/>
          <w:szCs w:val="28"/>
          <w:lang w:eastAsia="zh-CN"/>
        </w:rPr>
        <w:t>，</w:t>
      </w:r>
      <w:r>
        <w:rPr>
          <w:rFonts w:hint="eastAsia" w:ascii="仿宋" w:hAnsi="仿宋" w:eastAsia="仿宋" w:cs="仿宋"/>
          <w:bCs/>
          <w:color w:val="auto"/>
          <w:sz w:val="28"/>
          <w:szCs w:val="28"/>
          <w:lang w:val="en-US" w:eastAsia="zh-CN"/>
        </w:rPr>
        <w:t>报价方出具13%增值税发票，</w:t>
      </w:r>
      <w:r>
        <w:rPr>
          <w:rFonts w:hint="eastAsia" w:ascii="仿宋" w:hAnsi="仿宋" w:eastAsia="仿宋" w:cs="仿宋"/>
          <w:sz w:val="28"/>
          <w:szCs w:val="28"/>
        </w:rPr>
        <w:t>票到</w:t>
      </w:r>
      <w:r>
        <w:rPr>
          <w:rFonts w:hint="eastAsia" w:ascii="仿宋" w:hAnsi="仿宋" w:eastAsia="仿宋" w:cs="仿宋"/>
          <w:sz w:val="28"/>
          <w:szCs w:val="28"/>
          <w:lang w:val="en-US" w:eastAsia="zh-CN"/>
        </w:rPr>
        <w:t>挂账后六个月内</w:t>
      </w:r>
      <w:r>
        <w:rPr>
          <w:rFonts w:hint="eastAsia" w:ascii="仿宋" w:hAnsi="仿宋" w:eastAsia="仿宋" w:cs="仿宋"/>
          <w:sz w:val="28"/>
          <w:szCs w:val="28"/>
        </w:rPr>
        <w:t>付款。</w:t>
      </w:r>
    </w:p>
    <w:p>
      <w:pPr>
        <w:pageBreakBefore w:val="0"/>
        <w:kinsoku/>
        <w:wordWrap/>
        <w:overflowPunct/>
        <w:topLinePunct w:val="0"/>
        <w:autoSpaceDE/>
        <w:autoSpaceDN/>
        <w:bidi w:val="0"/>
        <w:snapToGrid/>
        <w:spacing w:line="44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840" w:firstLineChars="3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pPr>
        <w:pageBreakBefore w:val="0"/>
        <w:numPr>
          <w:ilvl w:val="0"/>
          <w:numId w:val="0"/>
        </w:numPr>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供应商2023年5月至今具有活性炭业绩（提供合同复印件，时间以合同签订时间为准）；</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pPr>
        <w:pStyle w:val="3"/>
        <w:pageBreakBefore w:val="0"/>
        <w:kinsoku/>
        <w:wordWrap/>
        <w:overflowPunct/>
        <w:topLinePunct w:val="0"/>
        <w:autoSpaceDE/>
        <w:autoSpaceDN/>
        <w:bidi w:val="0"/>
        <w:snapToGrid/>
        <w:spacing w:before="0" w:after="0" w:line="44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pPr>
        <w:pageBreakBefore w:val="0"/>
        <w:kinsoku/>
        <w:wordWrap/>
        <w:overflowPunct/>
        <w:topLinePunct w:val="0"/>
        <w:autoSpaceDE/>
        <w:autoSpaceDN/>
        <w:bidi w:val="0"/>
        <w:snapToGrid/>
        <w:spacing w:line="440" w:lineRule="exact"/>
        <w:textAlignment w:val="auto"/>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8" w:name="_Toc369531529"/>
      <w:bookmarkStart w:id="9" w:name="_Toc152045542"/>
      <w:bookmarkStart w:id="10" w:name="_Toc384308223"/>
      <w:bookmarkStart w:id="11" w:name="_Toc25772"/>
      <w:bookmarkStart w:id="12" w:name="_Toc247527567"/>
      <w:bookmarkStart w:id="13" w:name="_Toc361508598"/>
      <w:bookmarkStart w:id="14" w:name="_Toc300834963"/>
      <w:bookmarkStart w:id="15" w:name="_Toc152042318"/>
      <w:bookmarkStart w:id="16" w:name="_Toc144974510"/>
      <w:bookmarkStart w:id="17" w:name="_Toc247513966"/>
      <w:bookmarkStart w:id="18" w:name="_Toc352691486"/>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8"/>
      <w:bookmarkEnd w:id="9"/>
      <w:bookmarkEnd w:id="10"/>
      <w:bookmarkEnd w:id="11"/>
      <w:bookmarkEnd w:id="12"/>
      <w:bookmarkEnd w:id="13"/>
      <w:bookmarkEnd w:id="14"/>
      <w:bookmarkEnd w:id="15"/>
      <w:bookmarkEnd w:id="16"/>
      <w:bookmarkEnd w:id="17"/>
      <w:bookmarkEnd w:id="18"/>
      <w:bookmarkStart w:id="19" w:name="_Toc152045543"/>
      <w:bookmarkStart w:id="20" w:name="_Toc369531530"/>
      <w:bookmarkStart w:id="21" w:name="_Toc152042319"/>
      <w:bookmarkStart w:id="22" w:name="_Toc361508599"/>
      <w:bookmarkStart w:id="23" w:name="_Toc352691487"/>
      <w:bookmarkStart w:id="24" w:name="_Toc144974511"/>
      <w:bookmarkStart w:id="25" w:name="_Toc15242"/>
      <w:bookmarkStart w:id="26" w:name="_Toc247513967"/>
      <w:bookmarkStart w:id="27" w:name="_Toc300834964"/>
      <w:bookmarkStart w:id="28" w:name="_Toc384308224"/>
      <w:bookmarkStart w:id="29" w:name="_Toc247527568"/>
      <w:r>
        <w:rPr>
          <w:rFonts w:hint="eastAsia" w:ascii="仿宋" w:hAnsi="仿宋" w:eastAsia="仿宋" w:cs="仿宋"/>
          <w:color w:val="auto"/>
          <w:sz w:val="28"/>
          <w:szCs w:val="28"/>
        </w:rPr>
        <w:t>“分项报价表”中的相应报价。</w:t>
      </w:r>
      <w:bookmarkEnd w:id="19"/>
      <w:bookmarkEnd w:id="20"/>
      <w:bookmarkEnd w:id="21"/>
      <w:bookmarkEnd w:id="22"/>
      <w:bookmarkEnd w:id="23"/>
      <w:bookmarkEnd w:id="24"/>
      <w:bookmarkEnd w:id="25"/>
      <w:bookmarkEnd w:id="26"/>
      <w:bookmarkEnd w:id="27"/>
      <w:bookmarkEnd w:id="28"/>
      <w:bookmarkEnd w:id="29"/>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天。</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0.5万元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0" w:name="_Toc384308227"/>
      <w:bookmarkStart w:id="31" w:name="_Toc29025"/>
      <w:bookmarkStart w:id="32" w:name="_Toc352691490"/>
      <w:bookmarkStart w:id="33" w:name="_Toc361508602"/>
      <w:bookmarkStart w:id="34" w:name="_Toc369531533"/>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0"/>
      <w:bookmarkEnd w:id="31"/>
      <w:bookmarkEnd w:id="32"/>
      <w:bookmarkEnd w:id="33"/>
      <w:bookmarkEnd w:id="34"/>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5" w:name="_Toc369531534"/>
      <w:bookmarkStart w:id="36" w:name="_Toc352691491"/>
      <w:bookmarkStart w:id="37" w:name="_Toc144974514"/>
      <w:bookmarkStart w:id="38" w:name="_Toc152045546"/>
      <w:bookmarkStart w:id="39" w:name="_Toc14751"/>
      <w:bookmarkStart w:id="40" w:name="_Toc384308228"/>
      <w:bookmarkStart w:id="41" w:name="_Toc247527571"/>
      <w:bookmarkStart w:id="42" w:name="_Toc300834967"/>
      <w:bookmarkStart w:id="43" w:name="_Toc247513970"/>
      <w:bookmarkStart w:id="44" w:name="_Toc361508603"/>
      <w:bookmarkStart w:id="45" w:name="_Toc152042322"/>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5"/>
      <w:bookmarkEnd w:id="36"/>
      <w:bookmarkEnd w:id="37"/>
      <w:bookmarkEnd w:id="38"/>
      <w:bookmarkEnd w:id="39"/>
      <w:bookmarkEnd w:id="40"/>
      <w:bookmarkEnd w:id="41"/>
      <w:bookmarkEnd w:id="42"/>
      <w:bookmarkEnd w:id="43"/>
      <w:bookmarkEnd w:id="44"/>
      <w:bookmarkEnd w:id="45"/>
      <w:r>
        <w:rPr>
          <w:rFonts w:hint="eastAsia" w:ascii="仿宋" w:hAnsi="仿宋" w:eastAsia="仿宋" w:cs="仿宋"/>
          <w:color w:val="auto"/>
          <w:sz w:val="28"/>
          <w:szCs w:val="28"/>
        </w:rPr>
        <w:t>内</w:t>
      </w:r>
      <w:bookmarkStart w:id="46" w:name="_Toc369531535"/>
      <w:bookmarkStart w:id="47" w:name="_Toc152042323"/>
      <w:bookmarkStart w:id="48" w:name="_Toc144974515"/>
      <w:bookmarkStart w:id="49" w:name="_Toc361508604"/>
      <w:bookmarkStart w:id="50" w:name="_Toc17952"/>
      <w:bookmarkStart w:id="51" w:name="_Toc300834968"/>
      <w:bookmarkStart w:id="52" w:name="_Toc152045547"/>
      <w:bookmarkStart w:id="53" w:name="_Toc384308229"/>
      <w:bookmarkStart w:id="54" w:name="_Toc247513971"/>
      <w:bookmarkStart w:id="55" w:name="_Toc247527572"/>
      <w:bookmarkStart w:id="56" w:name="_Toc35269149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46"/>
      <w:bookmarkEnd w:id="47"/>
      <w:bookmarkEnd w:id="48"/>
      <w:bookmarkEnd w:id="49"/>
      <w:bookmarkEnd w:id="50"/>
      <w:bookmarkEnd w:id="51"/>
      <w:bookmarkEnd w:id="52"/>
      <w:bookmarkEnd w:id="53"/>
      <w:bookmarkEnd w:id="54"/>
      <w:bookmarkEnd w:id="55"/>
      <w:bookmarkEnd w:id="5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pPr>
        <w:pStyle w:val="3"/>
        <w:pageBreakBefore w:val="0"/>
        <w:kinsoku/>
        <w:wordWrap/>
        <w:overflowPunct/>
        <w:topLinePunct w:val="0"/>
        <w:autoSpaceDE/>
        <w:autoSpaceDN/>
        <w:bidi w:val="0"/>
        <w:snapToGrid/>
        <w:spacing w:before="0" w:after="0" w:line="440" w:lineRule="exact"/>
        <w:ind w:left="0" w:firstLine="280" w:firstLineChars="100"/>
        <w:jc w:val="both"/>
        <w:textAlignment w:val="auto"/>
        <w:rPr>
          <w:rFonts w:hint="eastAsia" w:ascii="仿宋" w:hAnsi="仿宋" w:eastAsia="仿宋" w:cs="仿宋"/>
          <w:color w:val="auto"/>
          <w:sz w:val="28"/>
          <w:szCs w:val="28"/>
        </w:rPr>
      </w:pPr>
      <w:bookmarkStart w:id="57" w:name="_Toc33795794"/>
      <w:bookmarkStart w:id="58" w:name="_Toc21871"/>
      <w:bookmarkStart w:id="59" w:name="_Toc24514"/>
      <w:bookmarkStart w:id="60" w:name="_Toc2821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57"/>
      <w:bookmarkEnd w:id="58"/>
      <w:bookmarkEnd w:id="59"/>
      <w:bookmarkEnd w:id="60"/>
    </w:p>
    <w:p>
      <w:pPr>
        <w:pStyle w:val="3"/>
        <w:pageBreakBefore w:val="0"/>
        <w:kinsoku/>
        <w:wordWrap/>
        <w:overflowPunct/>
        <w:topLinePunct w:val="0"/>
        <w:autoSpaceDE/>
        <w:autoSpaceDN/>
        <w:bidi w:val="0"/>
        <w:snapToGrid/>
        <w:spacing w:before="0" w:after="0"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pPr>
        <w:pageBreakBefore w:val="0"/>
        <w:kinsoku/>
        <w:wordWrap/>
        <w:topLinePunct w:val="0"/>
        <w:autoSpaceDE/>
        <w:autoSpaceDN/>
        <w:bidi w:val="0"/>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pPr>
        <w:pageBreakBefore w:val="0"/>
        <w:kinsoku/>
        <w:wordWrap/>
        <w:topLinePunct w:val="0"/>
        <w:autoSpaceDE/>
        <w:autoSpaceDN/>
        <w:bidi w:val="0"/>
        <w:snapToGrid/>
        <w:spacing w:line="440" w:lineRule="exact"/>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响应文件提交截止时间：2026年6月16日12时（北京时间）；</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pPr>
        <w:keepNext w:val="0"/>
        <w:keepLines w:val="0"/>
        <w:pageBreakBefore w:val="0"/>
        <w:widowControl w:val="0"/>
        <w:kinsoku/>
        <w:wordWrap/>
        <w:overflowPunct w:val="0"/>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pPr>
        <w:pStyle w:val="14"/>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2026年6月16日13时</w:t>
      </w:r>
      <w:r>
        <w:rPr>
          <w:rFonts w:hint="eastAsia" w:ascii="仿宋" w:hAnsi="仿宋" w:eastAsia="仿宋" w:cs="仿宋"/>
          <w:color w:val="auto"/>
          <w:spacing w:val="1"/>
          <w:kern w:val="0"/>
          <w:sz w:val="28"/>
          <w:szCs w:val="28"/>
          <w:highlight w:val="none"/>
          <w:lang w:val="en-US" w:eastAsia="zh-CN" w:bidi="ar-SA"/>
        </w:rPr>
        <w:t>；</w:t>
      </w:r>
    </w:p>
    <w:p>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pPr>
        <w:pStyle w:val="2"/>
        <w:pageBreakBefore w:val="0"/>
        <w:widowControl w:val="0"/>
        <w:kinsoku/>
        <w:wordWrap/>
        <w:overflowPunct/>
        <w:topLinePunct w:val="0"/>
        <w:autoSpaceDE/>
        <w:autoSpaceDN/>
        <w:bidi w:val="0"/>
        <w:adjustRightInd/>
        <w:snapToGrid/>
        <w:spacing w:before="0" w:after="0" w:line="440" w:lineRule="exact"/>
        <w:ind w:firstLine="281" w:firstLineChars="1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pPr>
        <w:pageBreakBefore w:val="0"/>
        <w:kinsoku/>
        <w:wordWrap/>
        <w:overflowPunct/>
        <w:topLinePunct w:val="0"/>
        <w:autoSpaceDE/>
        <w:autoSpaceDN/>
        <w:bidi w:val="0"/>
        <w:snapToGrid/>
        <w:spacing w:line="44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0分</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pPr>
        <w:keepNext w:val="0"/>
        <w:keepLines w:val="0"/>
        <w:pageBreakBefore w:val="0"/>
        <w:kinsoku/>
        <w:wordWrap/>
        <w:overflowPunct/>
        <w:topLinePunct w:val="0"/>
        <w:autoSpaceDE/>
        <w:autoSpaceDN/>
        <w:bidi w:val="0"/>
        <w:adjustRightInd/>
        <w:snapToGrid/>
        <w:spacing w:line="440" w:lineRule="exact"/>
        <w:ind w:firstLine="840"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分</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w:t>
      </w:r>
      <w:r>
        <w:rPr>
          <w:rFonts w:hint="eastAsia" w:ascii="仿宋" w:hAnsi="仿宋" w:eastAsia="仿宋" w:cs="仿宋"/>
          <w:color w:val="auto"/>
          <w:sz w:val="28"/>
          <w:szCs w:val="28"/>
          <w:highlight w:val="none"/>
          <w:lang w:val="en-US" w:eastAsia="zh-CN"/>
        </w:rPr>
        <w:t>的最低报价为</w:t>
      </w:r>
      <w:r>
        <w:rPr>
          <w:rFonts w:hint="eastAsia" w:ascii="仿宋" w:hAnsi="仿宋" w:eastAsia="仿宋" w:cs="仿宋"/>
          <w:b w:val="0"/>
          <w:bCs w:val="0"/>
          <w:color w:val="auto"/>
          <w:sz w:val="28"/>
          <w:szCs w:val="28"/>
          <w:highlight w:val="none"/>
          <w:shd w:val="clear" w:color="auto" w:fill="FFFFFF"/>
        </w:rPr>
        <w:t>基准价</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color w:val="auto"/>
          <w:sz w:val="28"/>
          <w:szCs w:val="28"/>
          <w:highlight w:val="none"/>
        </w:rPr>
        <w:t>打分保留小数点后两位。</w:t>
      </w:r>
      <w:r>
        <w:rPr>
          <w:rFonts w:hint="eastAsia" w:ascii="仿宋" w:hAnsi="仿宋" w:eastAsia="仿宋" w:cs="仿宋"/>
          <w:b w:val="0"/>
          <w:bCs w:val="0"/>
          <w:color w:val="auto"/>
          <w:kern w:val="2"/>
          <w:sz w:val="28"/>
          <w:szCs w:val="28"/>
          <w:highlight w:val="none"/>
          <w:lang w:val="zh-CN" w:eastAsia="zh-CN" w:bidi="ar-SA"/>
        </w:rPr>
        <w:t>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pPr>
        <w:keepNext w:val="0"/>
        <w:keepLines w:val="0"/>
        <w:pageBreakBefore w:val="0"/>
        <w:kinsoku/>
        <w:wordWrap/>
        <w:overflowPunct/>
        <w:topLinePunct w:val="0"/>
        <w:autoSpaceDE/>
        <w:autoSpaceDN/>
        <w:bidi w:val="0"/>
        <w:adjustRightInd/>
        <w:snapToGrid/>
        <w:spacing w:line="44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20分</w:t>
      </w:r>
      <w:r>
        <w:rPr>
          <w:rFonts w:hint="eastAsia" w:ascii="仿宋" w:hAnsi="仿宋" w:eastAsia="仿宋" w:cs="仿宋"/>
          <w:color w:val="auto"/>
          <w:sz w:val="28"/>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pPr>
        <w:keepNext w:val="0"/>
        <w:keepLines w:val="0"/>
        <w:pageBreakBefore w:val="0"/>
        <w:kinsoku/>
        <w:wordWrap/>
        <w:overflowPunct/>
        <w:topLinePunct w:val="0"/>
        <w:autoSpaceDE/>
        <w:autoSpaceDN/>
        <w:bidi w:val="0"/>
        <w:adjustRightInd/>
        <w:snapToGrid/>
        <w:spacing w:line="44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30分</w:t>
      </w:r>
      <w:r>
        <w:rPr>
          <w:rFonts w:hint="eastAsia" w:ascii="仿宋" w:hAnsi="仿宋" w:eastAsia="仿宋" w:cs="仿宋"/>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采购人要求的条件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p>
    <w:p>
      <w:pPr>
        <w:keepNext w:val="0"/>
        <w:keepLines w:val="0"/>
        <w:pageBreakBefore w:val="0"/>
        <w:kinsoku/>
        <w:wordWrap/>
        <w:overflowPunct/>
        <w:topLinePunct w:val="0"/>
        <w:autoSpaceDE/>
        <w:autoSpaceDN/>
        <w:bidi w:val="0"/>
        <w:adjustRightInd/>
        <w:snapToGrid/>
        <w:spacing w:line="44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50分</w:t>
      </w:r>
      <w:r>
        <w:rPr>
          <w:rFonts w:hint="eastAsia" w:ascii="仿宋" w:hAnsi="仿宋" w:eastAsia="仿宋" w:cs="仿宋"/>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b w:val="0"/>
          <w:bCs w:val="0"/>
          <w:color w:val="auto"/>
          <w:sz w:val="28"/>
          <w:szCs w:val="28"/>
          <w:highlight w:val="none"/>
          <w:shd w:val="clear" w:color="auto" w:fill="FFFFFF"/>
        </w:rPr>
        <w:t>等于评标基准价的报价得</w:t>
      </w:r>
      <w:r>
        <w:rPr>
          <w:rFonts w:hint="eastAsia" w:ascii="仿宋" w:hAnsi="仿宋" w:eastAsia="仿宋" w:cs="仿宋"/>
          <w:b w:val="0"/>
          <w:bCs w:val="0"/>
          <w:color w:val="auto"/>
          <w:sz w:val="28"/>
          <w:szCs w:val="28"/>
          <w:highlight w:val="none"/>
          <w:shd w:val="clear" w:color="auto" w:fill="FFFFFF"/>
          <w:lang w:val="en-US" w:eastAsia="zh-CN"/>
        </w:rPr>
        <w:t>50</w:t>
      </w:r>
      <w:r>
        <w:rPr>
          <w:rFonts w:hint="eastAsia" w:ascii="仿宋" w:hAnsi="仿宋" w:eastAsia="仿宋" w:cs="仿宋"/>
          <w:b w:val="0"/>
          <w:bCs w:val="0"/>
          <w:color w:val="auto"/>
          <w:sz w:val="28"/>
          <w:szCs w:val="28"/>
          <w:highlight w:val="none"/>
          <w:shd w:val="clear" w:color="auto" w:fill="FFFFFF"/>
        </w:rPr>
        <w:t>分；高于基准价的，每高一个百分点扣</w:t>
      </w:r>
      <w:r>
        <w:rPr>
          <w:rFonts w:hint="eastAsia" w:ascii="仿宋" w:hAnsi="仿宋" w:eastAsia="仿宋" w:cs="仿宋"/>
          <w:b w:val="0"/>
          <w:bCs w:val="0"/>
          <w:color w:val="auto"/>
          <w:sz w:val="28"/>
          <w:szCs w:val="28"/>
          <w:highlight w:val="none"/>
          <w:shd w:val="clear" w:color="auto" w:fill="FFFFFF"/>
          <w:lang w:val="en-US" w:eastAsia="zh-CN"/>
        </w:rPr>
        <w:t>1.0</w:t>
      </w:r>
      <w:r>
        <w:rPr>
          <w:rFonts w:hint="eastAsia" w:ascii="仿宋" w:hAnsi="仿宋" w:eastAsia="仿宋" w:cs="仿宋"/>
          <w:b w:val="0"/>
          <w:bCs w:val="0"/>
          <w:color w:val="auto"/>
          <w:sz w:val="28"/>
          <w:szCs w:val="28"/>
          <w:highlight w:val="none"/>
          <w:shd w:val="clear" w:color="auto" w:fill="FFFFFF"/>
        </w:rPr>
        <w:t>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rPr>
        <w:t>评标赋分采用插入法计算，扣完为止。</w:t>
      </w:r>
    </w:p>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1" w:name="_Toc300835013"/>
      <w:bookmarkStart w:id="62" w:name="_Toc152042380"/>
      <w:bookmarkStart w:id="63" w:name="_Toc369531582"/>
      <w:bookmarkStart w:id="64" w:name="_Toc247514027"/>
      <w:bookmarkStart w:id="65" w:name="_Toc2907"/>
      <w:bookmarkStart w:id="66" w:name="_Toc384308277"/>
      <w:bookmarkStart w:id="67" w:name="_Toc247527628"/>
      <w:bookmarkStart w:id="68" w:name="_Toc144974570"/>
      <w:bookmarkStart w:id="69" w:name="_Toc361508651"/>
      <w:bookmarkStart w:id="70" w:name="_Toc152045603"/>
      <w:bookmarkStart w:id="71" w:name="_Toc352691538"/>
      <w:r>
        <w:rPr>
          <w:rFonts w:hint="eastAsia" w:ascii="仿宋" w:hAnsi="仿宋" w:eastAsia="仿宋" w:cs="仿宋"/>
          <w:color w:val="auto"/>
          <w:sz w:val="28"/>
          <w:szCs w:val="28"/>
        </w:rPr>
        <w:t>行书面澄清确认。</w:t>
      </w:r>
      <w:bookmarkEnd w:id="61"/>
      <w:bookmarkEnd w:id="62"/>
      <w:bookmarkEnd w:id="63"/>
      <w:bookmarkEnd w:id="64"/>
      <w:bookmarkEnd w:id="65"/>
      <w:bookmarkEnd w:id="66"/>
      <w:bookmarkEnd w:id="67"/>
      <w:bookmarkEnd w:id="68"/>
      <w:bookmarkEnd w:id="69"/>
      <w:bookmarkEnd w:id="70"/>
      <w:bookmarkEnd w:id="71"/>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2" w:name="_Toc16955"/>
      <w:bookmarkStart w:id="73" w:name="_Toc33795835"/>
      <w:bookmarkStart w:id="74" w:name="_Toc29291"/>
      <w:bookmarkStart w:id="75" w:name="_Toc13563"/>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2"/>
      <w:bookmarkEnd w:id="73"/>
      <w:bookmarkEnd w:id="74"/>
      <w:bookmarkEnd w:id="75"/>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76" w:name="_Toc32669"/>
      <w:bookmarkStart w:id="77" w:name="_Toc3366"/>
      <w:bookmarkStart w:id="78" w:name="_Toc15253"/>
      <w:bookmarkStart w:id="79" w:name="_Toc3379583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76"/>
      <w:bookmarkEnd w:id="77"/>
      <w:bookmarkEnd w:id="78"/>
      <w:bookmarkEnd w:id="79"/>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bookmarkStart w:id="80" w:name="_Toc33795807"/>
      <w:bookmarkStart w:id="81" w:name="_Toc8518"/>
      <w:bookmarkStart w:id="82" w:name="_Toc9481"/>
    </w:p>
    <w:p>
      <w:pPr>
        <w:pStyle w:val="2"/>
        <w:pageBreakBefore w:val="0"/>
        <w:kinsoku/>
        <w:wordWrap/>
        <w:overflowPunct/>
        <w:topLinePunct w:val="0"/>
        <w:autoSpaceDE/>
        <w:autoSpaceDN/>
        <w:bidi w:val="0"/>
        <w:snapToGrid/>
        <w:spacing w:before="0" w:after="0" w:line="440" w:lineRule="exact"/>
        <w:ind w:left="0"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0"/>
      <w:bookmarkEnd w:id="81"/>
      <w:bookmarkEnd w:id="82"/>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3" w:name="_Toc21093"/>
      <w:bookmarkStart w:id="84" w:name="_Toc16094"/>
      <w:bookmarkStart w:id="85" w:name="_Toc33795808"/>
      <w:bookmarkStart w:id="86" w:name="_Toc3085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3"/>
      <w:bookmarkEnd w:id="84"/>
      <w:bookmarkEnd w:id="85"/>
      <w:bookmarkEnd w:id="86"/>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7" w:name="_Toc10372"/>
      <w:bookmarkStart w:id="88" w:name="_Toc7018"/>
      <w:bookmarkStart w:id="89" w:name="_Toc19079"/>
      <w:bookmarkStart w:id="90" w:name="_Toc3379580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87"/>
      <w:bookmarkEnd w:id="88"/>
      <w:bookmarkEnd w:id="89"/>
      <w:bookmarkEnd w:id="90"/>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1" w:name="_Toc300834982"/>
      <w:bookmarkStart w:id="92" w:name="_Toc30095"/>
      <w:bookmarkStart w:id="93" w:name="_Toc361508618"/>
      <w:bookmarkStart w:id="94" w:name="_Toc247527586"/>
      <w:bookmarkStart w:id="95" w:name="_Toc152045561"/>
      <w:bookmarkStart w:id="96" w:name="_Toc152042337"/>
      <w:bookmarkStart w:id="97" w:name="_Toc384308243"/>
      <w:bookmarkStart w:id="98" w:name="_Toc247513985"/>
      <w:bookmarkStart w:id="99" w:name="_Toc369531549"/>
      <w:bookmarkStart w:id="100" w:name="_Toc352691505"/>
      <w:bookmarkStart w:id="101" w:name="_Toc144974529"/>
      <w:r>
        <w:rPr>
          <w:rFonts w:hint="eastAsia" w:ascii="仿宋" w:hAnsi="仿宋" w:eastAsia="仿宋" w:cs="仿宋"/>
          <w:color w:val="auto"/>
          <w:sz w:val="28"/>
          <w:szCs w:val="28"/>
        </w:rPr>
        <w:t>害关系人对</w:t>
      </w:r>
      <w:bookmarkEnd w:id="91"/>
      <w:bookmarkEnd w:id="92"/>
      <w:bookmarkEnd w:id="93"/>
      <w:bookmarkEnd w:id="94"/>
      <w:bookmarkEnd w:id="95"/>
      <w:bookmarkEnd w:id="96"/>
      <w:bookmarkEnd w:id="97"/>
      <w:bookmarkEnd w:id="98"/>
      <w:bookmarkEnd w:id="99"/>
      <w:bookmarkEnd w:id="100"/>
      <w:bookmarkEnd w:id="101"/>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02" w:name="_Toc21648"/>
      <w:bookmarkStart w:id="103" w:name="_Toc33795810"/>
      <w:bookmarkStart w:id="104" w:name="_Toc25590"/>
      <w:bookmarkStart w:id="105" w:name="_Toc2875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2"/>
      <w:bookmarkEnd w:id="103"/>
      <w:bookmarkEnd w:id="104"/>
      <w:bookmarkEnd w:id="105"/>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val="en-US"/>
        </w:rPr>
      </w:pPr>
      <w:bookmarkStart w:id="106" w:name="_Toc19470"/>
      <w:bookmarkStart w:id="107" w:name="_Toc24665"/>
      <w:bookmarkStart w:id="108" w:name="_Toc2191"/>
      <w:bookmarkStart w:id="109"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06"/>
      <w:bookmarkEnd w:id="107"/>
      <w:bookmarkEnd w:id="108"/>
      <w:bookmarkEnd w:id="109"/>
      <w:r>
        <w:rPr>
          <w:rFonts w:hint="eastAsia" w:ascii="仿宋" w:hAnsi="仿宋" w:eastAsia="仿宋" w:cs="仿宋"/>
          <w:color w:val="auto"/>
          <w:sz w:val="28"/>
          <w:szCs w:val="28"/>
          <w:lang w:val="en-US" w:eastAsia="zh-CN"/>
        </w:rPr>
        <w:t>确定成交人</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10" w:name="_Toc6928"/>
      <w:bookmarkStart w:id="111" w:name="_Toc31681"/>
      <w:bookmarkStart w:id="112" w:name="_Toc33795812"/>
      <w:bookmarkStart w:id="113"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0"/>
      <w:bookmarkEnd w:id="111"/>
      <w:bookmarkEnd w:id="112"/>
      <w:bookmarkEnd w:id="113"/>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4" w:name="_Toc384308244"/>
      <w:bookmarkStart w:id="115" w:name="_Toc369531550"/>
      <w:bookmarkStart w:id="116" w:name="_Toc352691506"/>
      <w:bookmarkStart w:id="117" w:name="_Toc5668"/>
      <w:bookmarkStart w:id="118" w:name="_Toc361508619"/>
      <w:bookmarkStart w:id="119"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4"/>
      <w:bookmarkEnd w:id="115"/>
      <w:bookmarkEnd w:id="116"/>
      <w:bookmarkEnd w:id="117"/>
      <w:bookmarkEnd w:id="118"/>
      <w:bookmarkEnd w:id="119"/>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0" w:name="_Toc30705"/>
      <w:bookmarkStart w:id="121" w:name="_Toc4342"/>
      <w:bookmarkStart w:id="122" w:name="_Toc33795813"/>
      <w:bookmarkStart w:id="123" w:name="_Toc216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0"/>
      <w:bookmarkEnd w:id="121"/>
      <w:bookmarkEnd w:id="122"/>
      <w:bookmarkEnd w:id="123"/>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4" w:name="_Toc3671"/>
      <w:bookmarkStart w:id="125" w:name="_Toc11183"/>
      <w:bookmarkStart w:id="126" w:name="_Toc33795814"/>
      <w:bookmarkStart w:id="127" w:name="_Toc1436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4"/>
      <w:bookmarkEnd w:id="125"/>
      <w:bookmarkEnd w:id="126"/>
      <w:bookmarkEnd w:id="127"/>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28" w:name="_Toc369531553"/>
      <w:bookmarkStart w:id="129" w:name="_Toc247513988"/>
      <w:bookmarkStart w:id="130" w:name="_Toc4656"/>
      <w:bookmarkStart w:id="131" w:name="_Toc300834986"/>
      <w:bookmarkStart w:id="132" w:name="_Toc361508622"/>
      <w:bookmarkStart w:id="133" w:name="_Toc144974532"/>
      <w:bookmarkStart w:id="134" w:name="_Toc352691509"/>
      <w:bookmarkStart w:id="135" w:name="_Toc152045564"/>
      <w:bookmarkStart w:id="136" w:name="_Toc247527589"/>
      <w:bookmarkStart w:id="137" w:name="_Toc384308247"/>
      <w:bookmarkStart w:id="138" w:name="_Toc152042340"/>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39" w:name="_Toc247513989"/>
      <w:bookmarkStart w:id="140" w:name="_Toc300834987"/>
      <w:bookmarkStart w:id="141" w:name="_Toc144974533"/>
      <w:bookmarkStart w:id="142" w:name="_Toc152042341"/>
      <w:bookmarkStart w:id="143" w:name="_Toc152045565"/>
      <w:bookmarkStart w:id="144" w:name="_Toc247527590"/>
      <w:bookmarkStart w:id="145" w:name="_Toc352691510"/>
      <w:bookmarkStart w:id="146" w:name="_Toc18247"/>
      <w:bookmarkStart w:id="147" w:name="_Toc361508623"/>
      <w:bookmarkStart w:id="148" w:name="_Toc369531554"/>
      <w:bookmarkStart w:id="149" w:name="_Toc384308248"/>
      <w:r>
        <w:rPr>
          <w:rFonts w:hint="eastAsia" w:ascii="仿宋" w:hAnsi="仿宋" w:eastAsia="仿宋" w:cs="仿宋"/>
          <w:color w:val="auto"/>
          <w:sz w:val="28"/>
          <w:szCs w:val="28"/>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0" w:name="_Toc24067"/>
      <w:bookmarkStart w:id="151" w:name="_Toc361508627"/>
      <w:bookmarkStart w:id="152" w:name="_Toc384308252"/>
      <w:bookmarkStart w:id="153" w:name="_Toc300834991"/>
      <w:bookmarkStart w:id="154" w:name="_Toc152042344"/>
      <w:bookmarkStart w:id="155" w:name="_Toc144974536"/>
      <w:bookmarkStart w:id="156" w:name="_Toc247527593"/>
      <w:bookmarkStart w:id="157" w:name="_Toc152045568"/>
      <w:bookmarkStart w:id="158" w:name="_Toc247513992"/>
    </w:p>
    <w:bookmarkEnd w:id="150"/>
    <w:bookmarkEnd w:id="151"/>
    <w:bookmarkEnd w:id="152"/>
    <w:p>
      <w:pPr>
        <w:pStyle w:val="2"/>
        <w:pageBreakBefore w:val="0"/>
        <w:kinsoku/>
        <w:wordWrap/>
        <w:overflowPunct/>
        <w:topLinePunct w:val="0"/>
        <w:autoSpaceDE/>
        <w:autoSpaceDN/>
        <w:bidi w:val="0"/>
        <w:snapToGrid/>
        <w:spacing w:before="0" w:after="0" w:line="440" w:lineRule="exact"/>
        <w:ind w:left="0" w:firstLine="562" w:firstLineChars="200"/>
        <w:jc w:val="both"/>
        <w:textAlignment w:val="auto"/>
        <w:rPr>
          <w:rFonts w:hint="eastAsia" w:ascii="仿宋" w:hAnsi="仿宋" w:eastAsia="仿宋" w:cs="仿宋"/>
          <w:color w:val="auto"/>
          <w:sz w:val="28"/>
          <w:szCs w:val="28"/>
        </w:rPr>
      </w:pPr>
      <w:bookmarkStart w:id="159" w:name="_Toc33795815"/>
      <w:bookmarkStart w:id="160" w:name="_Toc25347"/>
      <w:bookmarkStart w:id="161"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59"/>
      <w:bookmarkEnd w:id="160"/>
      <w:bookmarkEnd w:id="161"/>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2" w:name="_Toc384308253"/>
      <w:bookmarkStart w:id="163" w:name="_Toc352691515"/>
      <w:bookmarkStart w:id="164" w:name="_Toc13644"/>
      <w:bookmarkStart w:id="165" w:name="_Toc369531559"/>
      <w:bookmarkStart w:id="166" w:name="_Toc361508628"/>
      <w:r>
        <w:rPr>
          <w:rFonts w:hint="eastAsia" w:ascii="仿宋" w:hAnsi="仿宋" w:eastAsia="仿宋" w:cs="仿宋"/>
          <w:color w:val="auto"/>
          <w:sz w:val="28"/>
          <w:szCs w:val="28"/>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pPr>
        <w:pStyle w:val="3"/>
        <w:pageBreakBefore w:val="0"/>
        <w:numPr>
          <w:ilvl w:val="0"/>
          <w:numId w:val="0"/>
        </w:numPr>
        <w:kinsoku/>
        <w:wordWrap/>
        <w:overflowPunct/>
        <w:topLinePunct w:val="0"/>
        <w:autoSpaceDE/>
        <w:autoSpaceDN/>
        <w:bidi w:val="0"/>
        <w:snapToGrid/>
        <w:spacing w:before="0" w:after="0" w:line="440" w:lineRule="exact"/>
        <w:ind w:left="0" w:firstLine="560" w:firstLineChars="200"/>
        <w:jc w:val="both"/>
        <w:textAlignment w:val="auto"/>
        <w:rPr>
          <w:rFonts w:hint="eastAsia" w:ascii="仿宋" w:hAnsi="仿宋" w:eastAsia="仿宋" w:cs="仿宋"/>
          <w:color w:val="auto"/>
          <w:sz w:val="28"/>
          <w:szCs w:val="28"/>
        </w:rPr>
      </w:pPr>
      <w:bookmarkStart w:id="167" w:name="_Toc18070"/>
      <w:bookmarkStart w:id="168" w:name="_Toc22294"/>
      <w:bookmarkStart w:id="169" w:name="_Toc33795820"/>
      <w:bookmarkStart w:id="170" w:name="_Toc24957"/>
      <w:r>
        <w:rPr>
          <w:rFonts w:hint="eastAsia" w:ascii="仿宋" w:hAnsi="仿宋" w:eastAsia="仿宋" w:cs="仿宋"/>
          <w:color w:val="auto"/>
          <w:sz w:val="28"/>
          <w:szCs w:val="28"/>
          <w:lang w:val="en-US" w:eastAsia="zh-CN"/>
        </w:rPr>
        <w:t>（三）异议</w:t>
      </w:r>
      <w:bookmarkEnd w:id="167"/>
      <w:bookmarkEnd w:id="168"/>
      <w:bookmarkEnd w:id="169"/>
      <w:bookmarkEnd w:id="170"/>
    </w:p>
    <w:p>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2026年6月11日</w:t>
      </w:r>
    </w:p>
    <w:p>
      <w:pPr>
        <w:keepNext w:val="0"/>
        <w:keepLines w:val="0"/>
        <w:pageBreakBefore w:val="0"/>
        <w:widowControl w:val="0"/>
        <w:suppressLineNumbers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auto"/>
          <w:sz w:val="28"/>
          <w:szCs w:val="28"/>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pPr>
        <w:spacing w:line="400" w:lineRule="exact"/>
        <w:rPr>
          <w:rFonts w:hint="eastAsia" w:ascii="仿宋" w:hAnsi="仿宋" w:eastAsia="仿宋" w:cs="仿宋"/>
          <w:color w:val="auto"/>
          <w:sz w:val="32"/>
          <w:szCs w:val="32"/>
        </w:rPr>
      </w:pPr>
    </w:p>
    <w:p>
      <w:pPr>
        <w:spacing w:line="400" w:lineRule="exact"/>
        <w:rPr>
          <w:rFonts w:hint="eastAsia" w:ascii="仿宋" w:hAnsi="仿宋" w:eastAsia="仿宋" w:cs="仿宋"/>
          <w:color w:val="auto"/>
          <w:sz w:val="32"/>
          <w:szCs w:val="32"/>
        </w:rPr>
      </w:pPr>
    </w:p>
    <w:p>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eastAsia="zh-CN"/>
        </w:rPr>
        <w:t>陕西锌业有限公司</w:t>
      </w:r>
      <w:r>
        <w:rPr>
          <w:rFonts w:hint="eastAsia" w:ascii="黑体" w:hAnsi="黑体" w:eastAsia="黑体" w:cs="黑体"/>
          <w:b/>
          <w:bCs/>
          <w:color w:val="auto"/>
          <w:sz w:val="44"/>
          <w:szCs w:val="44"/>
          <w:lang w:val="en-US" w:eastAsia="zh-CN"/>
        </w:rPr>
        <w:t>2026年后半年果壳活性炭采购项目询比</w:t>
      </w:r>
      <w:r>
        <w:rPr>
          <w:rFonts w:hint="eastAsia" w:ascii="黑体" w:hAnsi="黑体" w:eastAsia="黑体" w:cs="黑体"/>
          <w:b/>
          <w:bCs/>
          <w:color w:val="auto"/>
          <w:sz w:val="44"/>
          <w:szCs w:val="44"/>
          <w:lang w:eastAsia="zh-CN"/>
        </w:rPr>
        <w:t>采购</w:t>
      </w:r>
    </w:p>
    <w:p>
      <w:pPr>
        <w:rPr>
          <w:rFonts w:hint="eastAsia" w:ascii="黑体" w:hAnsi="黑体" w:eastAsia="黑体" w:cs="黑体"/>
          <w:b/>
          <w:bCs/>
          <w:color w:val="auto"/>
          <w:sz w:val="44"/>
          <w:szCs w:val="44"/>
        </w:rPr>
      </w:pPr>
    </w:p>
    <w:p>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pPr>
        <w:jc w:val="center"/>
        <w:rPr>
          <w:rFonts w:hint="eastAsia" w:ascii="黑体" w:hAnsi="黑体" w:eastAsia="黑体" w:cs="黑体"/>
          <w:b/>
          <w:bCs/>
          <w:color w:val="auto"/>
          <w:sz w:val="44"/>
          <w:szCs w:val="44"/>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360" w:lineRule="auto"/>
        <w:rPr>
          <w:rFonts w:hint="eastAsia" w:ascii="仿宋" w:hAnsi="仿宋" w:eastAsia="仿宋" w:cs="仿宋"/>
          <w:color w:val="auto"/>
          <w:sz w:val="32"/>
          <w:szCs w:val="32"/>
        </w:rPr>
      </w:pPr>
    </w:p>
    <w:p>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pPr>
        <w:jc w:val="center"/>
        <w:rPr>
          <w:rFonts w:hint="eastAsia" w:ascii="宋体" w:hAnsi="宋体" w:eastAsia="宋体" w:cs="宋体"/>
          <w:b/>
          <w:bCs/>
          <w:color w:val="auto"/>
          <w:sz w:val="32"/>
          <w:szCs w:val="32"/>
        </w:rPr>
      </w:pPr>
    </w:p>
    <w:p>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pPr>
        <w:pStyle w:val="2"/>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pPr>
        <w:spacing w:line="540" w:lineRule="exact"/>
        <w:rPr>
          <w:rFonts w:hint="eastAsia" w:ascii="仿宋" w:hAnsi="仿宋" w:eastAsia="仿宋" w:cs="仿宋"/>
          <w:color w:val="auto"/>
          <w:sz w:val="32"/>
          <w:szCs w:val="32"/>
        </w:rPr>
      </w:pP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b w:val="0"/>
          <w:bCs/>
          <w:color w:val="auto"/>
          <w:sz w:val="36"/>
          <w:szCs w:val="36"/>
        </w:rPr>
      </w:pPr>
      <w:bookmarkStart w:id="173" w:name="_Toc504488768"/>
      <w:bookmarkStart w:id="174" w:name="_Toc16531"/>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5" w:name="_Toc28734"/>
      <w:bookmarkStart w:id="176" w:name="_Toc504488769"/>
    </w:p>
    <w:p>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5"/>
      <w:bookmarkEnd w:id="176"/>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7" w:name="_Toc369531698"/>
      <w:bookmarkStart w:id="178" w:name="_Toc27897"/>
      <w:bookmarkStart w:id="179"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7"/>
      <w:bookmarkEnd w:id="178"/>
      <w:bookmarkEnd w:id="179"/>
      <w:r>
        <w:rPr>
          <w:rFonts w:hint="eastAsia" w:ascii="仿宋" w:hAnsi="仿宋" w:eastAsia="仿宋" w:cs="仿宋"/>
          <w:color w:val="auto"/>
          <w:sz w:val="32"/>
          <w:szCs w:val="32"/>
        </w:rPr>
        <w:t>龄</w:t>
      </w:r>
      <w:bookmarkStart w:id="180" w:name="_Toc247514248"/>
      <w:bookmarkStart w:id="181" w:name="_Toc152045789"/>
      <w:bookmarkStart w:id="182" w:name="_Toc247527829"/>
      <w:bookmarkStart w:id="183" w:name="_Toc352691663"/>
      <w:bookmarkStart w:id="184" w:name="_Toc369531699"/>
      <w:bookmarkStart w:id="185" w:name="_Toc300835211"/>
      <w:bookmarkStart w:id="186" w:name="_Toc144974858"/>
      <w:bookmarkStart w:id="187" w:name="_Toc361508754"/>
      <w:bookmarkStart w:id="188" w:name="_Toc15573"/>
      <w:bookmarkStart w:id="189" w:name="_Toc384308377"/>
      <w:bookmarkStart w:id="190" w:name="_Toc152042578"/>
      <w:r>
        <w:rPr>
          <w:rFonts w:hint="eastAsia" w:ascii="仿宋" w:hAnsi="仿宋" w:eastAsia="仿宋" w:cs="仿宋"/>
          <w:color w:val="auto"/>
          <w:sz w:val="32"/>
          <w:szCs w:val="32"/>
        </w:rPr>
        <w:t>：</w:t>
      </w:r>
      <w:bookmarkEnd w:id="180"/>
      <w:bookmarkEnd w:id="181"/>
      <w:bookmarkEnd w:id="182"/>
      <w:bookmarkEnd w:id="183"/>
      <w:bookmarkEnd w:id="184"/>
      <w:bookmarkEnd w:id="185"/>
      <w:bookmarkEnd w:id="186"/>
      <w:bookmarkEnd w:id="187"/>
      <w:bookmarkEnd w:id="188"/>
      <w:bookmarkEnd w:id="189"/>
      <w:bookmarkEnd w:id="190"/>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color w:val="auto"/>
          <w:sz w:val="36"/>
          <w:szCs w:val="36"/>
        </w:rPr>
      </w:pPr>
      <w:bookmarkStart w:id="191" w:name="_Toc504488770"/>
      <w:bookmarkStart w:id="192" w:name="_Toc2777"/>
      <w:r>
        <w:rPr>
          <w:rFonts w:hint="eastAsia" w:ascii="黑体" w:hAnsi="黑体" w:eastAsia="黑体" w:cs="黑体"/>
          <w:color w:val="auto"/>
          <w:sz w:val="36"/>
          <w:szCs w:val="36"/>
        </w:rPr>
        <w:t>二、授权委托书</w:t>
      </w:r>
      <w:bookmarkEnd w:id="191"/>
      <w:bookmarkEnd w:id="192"/>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spacing w:after="0" w:line="413" w:lineRule="auto"/>
        <w:jc w:val="center"/>
        <w:rPr>
          <w:rFonts w:hint="eastAsia" w:ascii="黑体" w:hAnsi="黑体" w:eastAsia="黑体" w:cs="黑体"/>
          <w:color w:val="auto"/>
          <w:sz w:val="36"/>
          <w:szCs w:val="36"/>
          <w:u w:val="single"/>
          <w:lang w:eastAsia="zh-CN"/>
        </w:rPr>
      </w:pPr>
      <w:bookmarkStart w:id="193" w:name="_Toc504488772"/>
      <w:bookmarkStart w:id="194"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3"/>
      <w:bookmarkEnd w:id="194"/>
      <w:r>
        <w:rPr>
          <w:rFonts w:hint="eastAsia" w:ascii="黑体" w:hAnsi="黑体" w:eastAsia="黑体" w:cs="黑体"/>
          <w:color w:val="auto"/>
          <w:sz w:val="36"/>
          <w:szCs w:val="36"/>
          <w:lang w:eastAsia="zh-CN"/>
        </w:rPr>
        <w:t>响应保证金</w:t>
      </w:r>
    </w:p>
    <w:p>
      <w:pPr>
        <w:spacing w:line="440" w:lineRule="exact"/>
        <w:rPr>
          <w:rFonts w:hint="eastAsia" w:ascii="仿宋" w:hAnsi="仿宋" w:eastAsia="仿宋" w:cs="仿宋"/>
          <w:b/>
          <w:bCs/>
          <w:color w:val="auto"/>
          <w:sz w:val="32"/>
          <w:szCs w:val="32"/>
        </w:rPr>
      </w:pP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pPr>
        <w:spacing w:line="440" w:lineRule="exact"/>
        <w:rPr>
          <w:rFonts w:hint="eastAsia" w:ascii="仿宋" w:hAnsi="仿宋" w:eastAsia="仿宋" w:cs="仿宋"/>
          <w:color w:val="auto"/>
          <w:sz w:val="32"/>
          <w:szCs w:val="32"/>
          <w:u w:val="single"/>
        </w:rPr>
      </w:pPr>
    </w:p>
    <w:p>
      <w:pPr>
        <w:spacing w:line="440" w:lineRule="exact"/>
        <w:rPr>
          <w:rFonts w:hint="eastAsia" w:ascii="仿宋" w:hAnsi="仿宋" w:eastAsia="仿宋" w:cs="仿宋"/>
          <w:color w:val="auto"/>
          <w:sz w:val="32"/>
          <w:szCs w:val="32"/>
          <w:u w:val="single"/>
        </w:rPr>
      </w:pPr>
    </w:p>
    <w:p>
      <w:pPr>
        <w:pStyle w:val="2"/>
        <w:pageBreakBefore/>
        <w:snapToGrid w:val="0"/>
        <w:spacing w:before="0" w:after="0" w:line="288" w:lineRule="auto"/>
        <w:rPr>
          <w:rFonts w:hint="eastAsia" w:ascii="仿宋" w:hAnsi="仿宋" w:eastAsia="仿宋" w:cs="仿宋"/>
          <w:color w:val="auto"/>
          <w:sz w:val="32"/>
          <w:szCs w:val="32"/>
        </w:rPr>
      </w:pPr>
      <w:bookmarkStart w:id="195"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5"/>
    </w:p>
    <w:p>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pPr>
        <w:snapToGrid w:val="0"/>
        <w:spacing w:line="312" w:lineRule="auto"/>
        <w:rPr>
          <w:rFonts w:hint="eastAsia" w:ascii="仿宋" w:hAnsi="仿宋" w:eastAsia="仿宋" w:cs="仿宋"/>
          <w:color w:val="auto"/>
          <w:sz w:val="32"/>
          <w:szCs w:val="32"/>
        </w:rPr>
      </w:pP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pPr>
        <w:snapToGrid w:val="0"/>
        <w:spacing w:line="312" w:lineRule="auto"/>
        <w:ind w:firstLine="1280" w:firstLineChars="400"/>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pPr>
        <w:widowControl/>
        <w:jc w:val="left"/>
        <w:rPr>
          <w:rFonts w:ascii="Times New Roman" w:hAnsi="Times New Roman"/>
          <w:color w:val="auto"/>
          <w:sz w:val="24"/>
          <w:szCs w:val="24"/>
        </w:rPr>
      </w:pPr>
    </w:p>
    <w:p>
      <w:pPr>
        <w:spacing w:line="440" w:lineRule="exact"/>
        <w:jc w:val="center"/>
        <w:rPr>
          <w:rFonts w:ascii="Times New Roman" w:hAnsi="Times New Roman" w:eastAsia="黑体"/>
          <w:color w:val="auto"/>
          <w:sz w:val="27"/>
          <w:szCs w:val="27"/>
        </w:rPr>
      </w:pPr>
    </w:p>
    <w:p>
      <w:pPr>
        <w:spacing w:line="440" w:lineRule="exact"/>
        <w:ind w:firstLine="420" w:firstLineChars="200"/>
        <w:rPr>
          <w:rFonts w:ascii="Times New Roman" w:hAnsi="Times New Roman"/>
          <w:color w:val="auto"/>
          <w:szCs w:val="21"/>
        </w:rPr>
      </w:pPr>
    </w:p>
    <w:p>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pPr>
        <w:pStyle w:val="2"/>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196" w:name="_Toc504488775"/>
      <w:bookmarkStart w:id="197" w:name="_Toc1755"/>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592" w:tblpY="2612"/>
        <w:tblOverlap w:val="never"/>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524"/>
        <w:gridCol w:w="2808"/>
        <w:gridCol w:w="1128"/>
        <w:gridCol w:w="1416"/>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编号</w:t>
            </w:r>
          </w:p>
        </w:tc>
        <w:tc>
          <w:tcPr>
            <w:tcW w:w="1524" w:type="dxa"/>
            <w:tcBorders>
              <w:top w:val="single" w:color="auto" w:sz="6" w:space="0"/>
              <w:left w:val="single" w:color="auto" w:sz="6" w:space="0"/>
              <w:bottom w:val="single" w:color="auto" w:sz="4"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货物</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名称</w:t>
            </w:r>
          </w:p>
        </w:tc>
        <w:tc>
          <w:tcPr>
            <w:tcW w:w="280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规格型号</w:t>
            </w:r>
          </w:p>
        </w:tc>
        <w:tc>
          <w:tcPr>
            <w:tcW w:w="11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数量</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吨</w:t>
            </w:r>
            <w:r>
              <w:rPr>
                <w:rFonts w:hint="eastAsia" w:ascii="仿宋" w:hAnsi="仿宋" w:eastAsia="仿宋" w:cs="仿宋"/>
                <w:color w:val="000000"/>
                <w:sz w:val="28"/>
                <w:szCs w:val="28"/>
                <w:lang w:eastAsia="zh-CN"/>
              </w:rPr>
              <w:t>）</w:t>
            </w: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送到价</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（元/吨）</w:t>
            </w: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p>
        </w:tc>
        <w:tc>
          <w:tcPr>
            <w:tcW w:w="15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果壳活性炭</w:t>
            </w:r>
          </w:p>
        </w:tc>
        <w:tc>
          <w:tcPr>
            <w:tcW w:w="2808" w:type="dxa"/>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sz w:val="28"/>
                <w:szCs w:val="28"/>
              </w:rPr>
              <w:t>GB/T138034-1999国家标准，灰分＜12%、H20≤20%</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200目，碘吸附值500-600</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仿宋" w:hAnsi="仿宋" w:eastAsia="仿宋" w:cs="仿宋"/>
                <w:sz w:val="28"/>
                <w:szCs w:val="28"/>
                <w:lang w:val="en-US"/>
              </w:rPr>
            </w:pPr>
          </w:p>
        </w:tc>
        <w:tc>
          <w:tcPr>
            <w:tcW w:w="11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约60</w:t>
            </w: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r>
    </w:tbl>
    <w:p>
      <w:pPr>
        <w:pStyle w:val="2"/>
        <w:spacing w:after="0"/>
        <w:jc w:val="both"/>
        <w:rPr>
          <w:rFonts w:hint="eastAsia" w:ascii="Times New Roman" w:hAnsi="Times New Roman"/>
          <w:color w:val="auto"/>
          <w:kern w:val="0"/>
        </w:rPr>
      </w:pPr>
    </w:p>
    <w:p>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pPr>
        <w:bidi w:val="0"/>
        <w:jc w:val="left"/>
        <w:rPr>
          <w:rFonts w:hint="eastAsia" w:ascii="Times New Roman" w:hAnsi="Times New Roman"/>
          <w:b w:val="0"/>
          <w:bCs/>
          <w:color w:val="auto"/>
          <w:kern w:val="0"/>
          <w:sz w:val="30"/>
          <w:szCs w:val="30"/>
          <w:u w:val="single"/>
          <w:lang w:val="en-US" w:eastAsia="zh-CN"/>
        </w:rPr>
      </w:pPr>
    </w:p>
    <w:p>
      <w:pPr>
        <w:pStyle w:val="2"/>
        <w:spacing w:after="0"/>
        <w:ind w:firstLine="4500" w:firstLineChars="15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196"/>
      <w:bookmarkEnd w:id="197"/>
    </w:p>
    <w:p>
      <w:pPr>
        <w:pStyle w:val="3"/>
        <w:spacing w:before="20" w:after="0"/>
        <w:ind w:firstLine="103"/>
        <w:rPr>
          <w:rFonts w:ascii="Times New Roman"/>
          <w:color w:val="auto"/>
          <w:sz w:val="32"/>
          <w:szCs w:val="32"/>
        </w:rPr>
      </w:pPr>
      <w:bookmarkStart w:id="198" w:name="_Toc504488776"/>
      <w:bookmarkStart w:id="199" w:name="_Toc13906"/>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2"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pPr>
        <w:rPr>
          <w:b/>
          <w:color w:val="auto"/>
          <w:sz w:val="28"/>
          <w:szCs w:val="28"/>
        </w:rPr>
      </w:pPr>
      <w:r>
        <w:rPr>
          <w:rFonts w:hint="eastAsia" w:ascii="宋体" w:hAnsi="宋体" w:eastAsia="宋体" w:cs="宋体"/>
          <w:color w:val="auto"/>
          <w:sz w:val="24"/>
          <w:szCs w:val="24"/>
        </w:rPr>
        <w:br w:type="page"/>
      </w:r>
    </w:p>
    <w:p>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pPr>
        <w:spacing w:line="440" w:lineRule="exact"/>
        <w:ind w:firstLine="643" w:firstLineChars="200"/>
        <w:jc w:val="left"/>
        <w:rPr>
          <w:rFonts w:hint="eastAsia" w:ascii="仿宋" w:hAnsi="仿宋" w:eastAsia="仿宋" w:cs="仿宋"/>
          <w:b/>
          <w:color w:val="auto"/>
          <w:sz w:val="32"/>
          <w:szCs w:val="32"/>
          <w:u w:val="single"/>
        </w:rPr>
      </w:pP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pPr>
        <w:pStyle w:val="3"/>
        <w:ind w:firstLine="103"/>
        <w:rPr>
          <w:rFonts w:ascii="Times New Roman"/>
          <w:color w:val="auto"/>
          <w:sz w:val="32"/>
          <w:szCs w:val="32"/>
        </w:rPr>
      </w:pPr>
      <w:bookmarkStart w:id="200" w:name="_Toc504488778"/>
      <w:bookmarkStart w:id="201"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pPr>
        <w:spacing w:line="440" w:lineRule="exact"/>
        <w:ind w:firstLine="480" w:firstLineChars="200"/>
        <w:rPr>
          <w:color w:val="auto"/>
          <w:sz w:val="24"/>
          <w:szCs w:val="24"/>
        </w:rPr>
      </w:pPr>
    </w:p>
    <w:p>
      <w:pPr>
        <w:spacing w:line="440" w:lineRule="exact"/>
        <w:rPr>
          <w:rFonts w:ascii="Times New Roman" w:hAnsi="Times New Roman"/>
          <w:color w:val="auto"/>
        </w:rPr>
      </w:pPr>
    </w:p>
    <w:p>
      <w:pPr>
        <w:spacing w:line="440" w:lineRule="exact"/>
        <w:rPr>
          <w:rFonts w:ascii="Times New Roman" w:hAnsi="Times New Roman"/>
          <w:color w:val="auto"/>
        </w:rPr>
      </w:pPr>
    </w:p>
    <w:p>
      <w:pPr>
        <w:topLinePunct/>
        <w:spacing w:line="440" w:lineRule="exact"/>
        <w:rPr>
          <w:rFonts w:ascii="Times New Roman" w:hAnsi="Times New Roman"/>
          <w:color w:val="auto"/>
        </w:rPr>
      </w:pPr>
      <w:r>
        <w:rPr>
          <w:rFonts w:ascii="Times New Roman" w:hAnsi="Times New Roman"/>
          <w:color w:val="auto"/>
        </w:rPr>
        <w:br w:type="page"/>
      </w:r>
    </w:p>
    <w:p>
      <w:pPr>
        <w:spacing w:line="440" w:lineRule="exact"/>
        <w:rPr>
          <w:rFonts w:ascii="Times New Roman"/>
          <w:b/>
          <w:bCs/>
          <w:color w:val="auto"/>
          <w:sz w:val="32"/>
          <w:szCs w:val="32"/>
        </w:rPr>
      </w:pPr>
      <w:bookmarkStart w:id="202" w:name="_Toc14234"/>
      <w:bookmarkStart w:id="203"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2"/>
      <w:bookmarkEnd w:id="203"/>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pPr>
        <w:rPr>
          <w:rFonts w:hint="eastAsia" w:ascii="Times New Roman" w:hAnsi="Times New Roman"/>
          <w:color w:val="auto"/>
        </w:rPr>
      </w:pPr>
    </w:p>
    <w:p>
      <w:pPr>
        <w:spacing w:line="440" w:lineRule="exact"/>
        <w:rPr>
          <w:rFonts w:hint="default" w:ascii="Times New Roman" w:eastAsiaTheme="minorEastAsia"/>
          <w:b/>
          <w:bCs/>
          <w:color w:val="auto"/>
          <w:sz w:val="32"/>
          <w:szCs w:val="32"/>
          <w:lang w:val="en-US" w:eastAsia="zh-CN"/>
        </w:rPr>
      </w:pPr>
      <w:bookmarkStart w:id="204" w:name="_Toc22199"/>
      <w:bookmarkStart w:id="205" w:name="_Toc504488783"/>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pPr>
        <w:rPr>
          <w:rFonts w:hint="eastAsia"/>
          <w:lang w:val="en-US" w:eastAsia="zh-CN"/>
        </w:rPr>
      </w:pPr>
    </w:p>
    <w:p>
      <w:pPr>
        <w:pStyle w:val="2"/>
        <w:spacing w:line="400" w:lineRule="exact"/>
        <w:jc w:val="both"/>
        <w:rPr>
          <w:rFonts w:hint="eastAsia" w:ascii="仿宋" w:hAnsi="仿宋" w:eastAsia="仿宋" w:cs="仿宋"/>
          <w:color w:val="auto"/>
          <w:sz w:val="32"/>
          <w:szCs w:val="32"/>
          <w:lang w:val="en-US" w:eastAsia="zh-CN"/>
        </w:rPr>
      </w:pPr>
    </w:p>
    <w:p>
      <w:pPr>
        <w:pStyle w:val="2"/>
        <w:spacing w:line="400" w:lineRule="exact"/>
        <w:jc w:val="both"/>
        <w:rPr>
          <w:rFonts w:hint="eastAsia" w:ascii="仿宋" w:hAnsi="仿宋" w:eastAsia="仿宋" w:cs="仿宋"/>
          <w:color w:val="auto"/>
          <w:sz w:val="32"/>
          <w:szCs w:val="32"/>
          <w:lang w:val="en-US" w:eastAsia="zh-CN"/>
        </w:rPr>
      </w:pPr>
    </w:p>
    <w:p>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4"/>
    <w:bookmarkEnd w:id="205"/>
    <w:p>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pPr>
        <w:rPr>
          <w:rFonts w:hint="eastAsia" w:ascii="Times New Roman" w:hAnsi="Times New Roman" w:eastAsia="黑体" w:cs="Times New Roman"/>
          <w:b/>
          <w:color w:val="auto"/>
          <w:kern w:val="2"/>
          <w:sz w:val="32"/>
          <w:szCs w:val="20"/>
          <w:lang w:val="en-US" w:eastAsia="zh-CN" w:bidi="ar-SA"/>
        </w:rPr>
      </w:pPr>
    </w:p>
    <w:p/>
    <w:p>
      <w:pPr>
        <w:pStyle w:val="8"/>
        <w:keepNext w:val="0"/>
        <w:keepLines w:val="0"/>
        <w:pageBreakBefore w:val="0"/>
        <w:widowControl/>
        <w:kinsoku/>
        <w:wordWrap/>
        <w:overflowPunct/>
        <w:topLinePunct w:val="0"/>
        <w:autoSpaceDE w:val="0"/>
        <w:autoSpaceDN/>
        <w:bidi w:val="0"/>
        <w:adjustRightInd/>
        <w:snapToGrid/>
        <w:spacing w:before="0" w:beforeAutospacing="0" w:after="0" w:afterAutospacing="0" w:line="540" w:lineRule="exact"/>
        <w:ind w:firstLine="280" w:firstLineChars="100"/>
        <w:textAlignment w:val="auto"/>
        <w:outlineLvl w:val="9"/>
        <w:rPr>
          <w:rFonts w:hint="eastAsia" w:ascii="宋体" w:hAnsi="宋体" w:cs="宋体"/>
          <w:b w:val="0"/>
          <w:bCs/>
          <w:sz w:val="28"/>
          <w:szCs w:val="28"/>
          <w:lang w:val="en-US" w:eastAsia="zh-CN"/>
        </w:rPr>
      </w:pPr>
    </w:p>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2BB84EF0"/>
    <w:rsid w:val="00E92C71"/>
    <w:rsid w:val="089C56E7"/>
    <w:rsid w:val="0C1C0988"/>
    <w:rsid w:val="18602A8A"/>
    <w:rsid w:val="254D7210"/>
    <w:rsid w:val="25CD4221"/>
    <w:rsid w:val="277F4CDB"/>
    <w:rsid w:val="2BB84EF0"/>
    <w:rsid w:val="459838A1"/>
    <w:rsid w:val="4E5C1425"/>
    <w:rsid w:val="4FA67D2B"/>
    <w:rsid w:val="5A1B7FE4"/>
    <w:rsid w:val="5EB6652D"/>
    <w:rsid w:val="65F63146"/>
    <w:rsid w:val="6C602696"/>
    <w:rsid w:val="75D05CCE"/>
    <w:rsid w:val="7A35407A"/>
    <w:rsid w:val="7AE47336"/>
    <w:rsid w:val="7AFA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paragraph" w:customStyle="1" w:styleId="14">
    <w:name w:val="Normal_8"/>
    <w:autoRedefine/>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8013</Words>
  <Characters>8276</Characters>
  <Lines>0</Lines>
  <Paragraphs>0</Paragraphs>
  <TotalTime>3</TotalTime>
  <ScaleCrop>false</ScaleCrop>
  <LinksUpToDate>false</LinksUpToDate>
  <CharactersWithSpaces>8687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2025-06-04T09:15:00Z</dcterms:created>
  <dc:creator>瞬间无语</dc:creator>
  <cp:lastModifiedBy>瞬间无语</cp:lastModifiedBy>
  <cp:lastPrinted>2026-06-11T05:55:46Z</cp:lastPrinted>
  <dcterms:modified xsi:type="dcterms:W3CDTF">2026-06-11T05:55:54Z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F3767B8098874B30ABA1811B35D077CB_11</vt:lpwstr>
  </property>
  <property fmtid="{D5CDD505-2E9C-101B-9397-08002B2CF9AE}" pid="4" name="KSOTemplateDocerSaveRecord">
    <vt:lpwstr>eyJoZGlkIjoiY2IxODczYmMzOTcyYmM0NzgyNTU5ODFiNzc0MzFlMTQiLCJ1c2VySWQiOiI1MjE0ODc1ODYifQ==</vt:lpwstr>
  </property>
</Properties>
</file>