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textAlignment w:val="auto"/>
        <w:rPr>
          <w:rStyle w:val="12"/>
          <w:rFonts w:hint="eastAsia" w:ascii="仿宋" w:hAnsi="仿宋" w:eastAsia="仿宋" w:cs="仿宋"/>
          <w:b/>
          <w:bCs w:val="0"/>
          <w:i w:val="0"/>
          <w:iCs w:val="0"/>
          <w:caps w:val="0"/>
          <w:color w:val="000000"/>
          <w:spacing w:val="0"/>
          <w:sz w:val="36"/>
          <w:szCs w:val="36"/>
        </w:rPr>
      </w:pPr>
      <w:bookmarkStart w:id="208" w:name="_GoBack"/>
      <w:bookmarkEnd w:id="208"/>
      <w:r>
        <w:rPr>
          <w:rStyle w:val="12"/>
          <w:rFonts w:hint="eastAsia" w:ascii="仿宋" w:hAnsi="仿宋" w:eastAsia="仿宋" w:cs="仿宋"/>
          <w:b/>
          <w:bCs w:val="0"/>
          <w:i w:val="0"/>
          <w:iCs w:val="0"/>
          <w:caps w:val="0"/>
          <w:color w:val="000000"/>
          <w:spacing w:val="0"/>
          <w:sz w:val="36"/>
          <w:szCs w:val="36"/>
          <w:lang w:val="en-US" w:eastAsia="zh-CN"/>
        </w:rPr>
        <w:t>陕</w:t>
      </w:r>
      <w:r>
        <w:rPr>
          <w:rStyle w:val="12"/>
          <w:rFonts w:hint="eastAsia" w:ascii="仿宋" w:hAnsi="仿宋" w:eastAsia="仿宋" w:cs="仿宋"/>
          <w:b/>
          <w:bCs w:val="0"/>
          <w:i w:val="0"/>
          <w:iCs w:val="0"/>
          <w:caps w:val="0"/>
          <w:color w:val="000000"/>
          <w:spacing w:val="0"/>
          <w:sz w:val="36"/>
          <w:szCs w:val="36"/>
        </w:rPr>
        <w:t>西锌业有限公司</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b/>
          <w:bCs w:val="0"/>
          <w:i w:val="0"/>
          <w:iCs w:val="0"/>
          <w:caps w:val="0"/>
          <w:color w:val="000000"/>
          <w:spacing w:val="0"/>
          <w:sz w:val="36"/>
          <w:szCs w:val="36"/>
          <w:lang w:val="en-US" w:eastAsia="zh-CN"/>
        </w:rPr>
      </w:pPr>
      <w:r>
        <w:rPr>
          <w:rStyle w:val="12"/>
          <w:rFonts w:hint="eastAsia" w:ascii="仿宋" w:hAnsi="仿宋" w:eastAsia="仿宋" w:cs="仿宋"/>
          <w:b/>
          <w:bCs w:val="0"/>
          <w:i w:val="0"/>
          <w:iCs w:val="0"/>
          <w:caps w:val="0"/>
          <w:color w:val="000000"/>
          <w:spacing w:val="0"/>
          <w:sz w:val="32"/>
          <w:szCs w:val="32"/>
          <w:lang w:val="en-US" w:eastAsia="zh-CN"/>
        </w:rPr>
        <w:t>2026年下半年乙炔气、高纯氩气、氩气等询比采购文件</w:t>
      </w:r>
    </w:p>
    <w:p>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bCs w:val="0"/>
          <w:i w:val="0"/>
          <w:iCs w:val="0"/>
          <w:caps w:val="0"/>
          <w:color w:val="000000"/>
          <w:spacing w:val="0"/>
          <w:sz w:val="36"/>
          <w:szCs w:val="36"/>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w:t>
      </w:r>
      <w:r>
        <w:rPr>
          <w:rFonts w:hint="eastAsia" w:ascii="仿宋" w:hAnsi="仿宋" w:eastAsia="仿宋" w:cs="仿宋"/>
          <w:b w:val="0"/>
          <w:bCs w:val="0"/>
          <w:sz w:val="28"/>
          <w:szCs w:val="28"/>
          <w:lang w:val="en-US" w:eastAsia="zh-CN"/>
        </w:rPr>
        <w:t>工业用乙炔气、氩气、高纯氩气、高纯液氩等若干气体</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pPr>
        <w:pStyle w:val="2"/>
        <w:pageBreakBefore w:val="0"/>
        <w:widowControl w:val="0"/>
        <w:numPr>
          <w:ilvl w:val="0"/>
          <w:numId w:val="0"/>
        </w:numPr>
        <w:kinsoku/>
        <w:wordWrap/>
        <w:overflowPunct/>
        <w:topLinePunct w:val="0"/>
        <w:autoSpaceDE/>
        <w:autoSpaceDN/>
        <w:bidi w:val="0"/>
        <w:snapToGrid/>
        <w:spacing w:before="0" w:after="0" w:line="420" w:lineRule="exact"/>
        <w:ind w:firstLine="562" w:firstLineChars="200"/>
        <w:jc w:val="both"/>
        <w:textAlignment w:val="auto"/>
        <w:rPr>
          <w:rFonts w:hint="eastAsia" w:ascii="仿宋" w:hAnsi="仿宋" w:eastAsia="仿宋" w:cs="仿宋"/>
          <w:b/>
          <w:bCs/>
          <w:color w:val="auto"/>
          <w:sz w:val="28"/>
          <w:szCs w:val="28"/>
          <w:lang w:val="en-US"/>
        </w:rPr>
      </w:pPr>
      <w:bookmarkStart w:id="0" w:name="_Toc14440"/>
      <w:bookmarkStart w:id="1" w:name="_Toc33795775"/>
      <w:bookmarkStart w:id="2" w:name="_Toc4593"/>
      <w:bookmarkStart w:id="3" w:name="_Toc2023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pPr>
        <w:pStyle w:val="2"/>
        <w:pageBreakBefore w:val="0"/>
        <w:widowControl w:val="0"/>
        <w:numPr>
          <w:ilvl w:val="0"/>
          <w:numId w:val="0"/>
        </w:numPr>
        <w:kinsoku/>
        <w:wordWrap/>
        <w:overflowPunct/>
        <w:topLinePunct w:val="0"/>
        <w:autoSpaceDE/>
        <w:autoSpaceDN/>
        <w:bidi w:val="0"/>
        <w:snapToGrid/>
        <w:spacing w:before="0" w:after="0" w:line="420" w:lineRule="exact"/>
        <w:ind w:firstLine="280" w:firstLineChars="1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pPr>
        <w:pageBreakBefore w:val="0"/>
        <w:widowControl w:val="0"/>
        <w:kinsoku/>
        <w:wordWrap/>
        <w:overflowPunct/>
        <w:topLinePunct w:val="0"/>
        <w:autoSpaceDE/>
        <w:autoSpaceDN/>
        <w:bidi w:val="0"/>
        <w:snapToGrid/>
        <w:spacing w:line="42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7037"/>
      <w:bookmarkStart w:id="5" w:name="_Toc11471"/>
      <w:bookmarkStart w:id="6" w:name="_Toc33795776"/>
      <w:bookmarkStart w:id="7" w:name="_Toc14565"/>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2026年后半年</w:t>
      </w:r>
      <w:r>
        <w:rPr>
          <w:rFonts w:hint="eastAsia" w:ascii="仿宋" w:hAnsi="仿宋" w:eastAsia="仿宋" w:cs="仿宋"/>
          <w:b w:val="0"/>
          <w:bCs w:val="0"/>
          <w:sz w:val="28"/>
          <w:szCs w:val="28"/>
          <w:lang w:val="en-US" w:eastAsia="zh-CN"/>
        </w:rPr>
        <w:t>乙炔气、氩气、高纯氩气、高纯液氩等</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2026年 6月 30日前到货。在此期间，如遇采购人检修、减产、生产工艺调整等，采购人根据实际情况适时调整采购量。</w:t>
      </w:r>
    </w:p>
    <w:p>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（四）交货地点：采</w:t>
      </w:r>
      <w:r>
        <w:rPr>
          <w:rFonts w:hint="eastAsia" w:ascii="仿宋" w:hAnsi="仿宋" w:eastAsia="仿宋" w:cs="仿宋"/>
          <w:sz w:val="28"/>
          <w:szCs w:val="28"/>
        </w:rPr>
        <w:t>购方</w:t>
      </w:r>
      <w:r>
        <w:rPr>
          <w:rFonts w:hint="eastAsia" w:ascii="仿宋" w:hAnsi="仿宋" w:eastAsia="仿宋" w:cs="仿宋"/>
          <w:sz w:val="28"/>
          <w:szCs w:val="28"/>
          <w:lang w:eastAsia="zh-CN"/>
        </w:rPr>
        <w:t>公司的</w:t>
      </w:r>
      <w:r>
        <w:rPr>
          <w:rFonts w:hint="eastAsia" w:ascii="仿宋" w:hAnsi="仿宋" w:eastAsia="仿宋" w:cs="仿宋"/>
          <w:sz w:val="28"/>
          <w:szCs w:val="28"/>
          <w:lang w:val="en-US" w:eastAsia="zh-CN"/>
        </w:rPr>
        <w:t>气体</w:t>
      </w:r>
      <w:r>
        <w:rPr>
          <w:rFonts w:hint="eastAsia" w:ascii="仿宋" w:hAnsi="仿宋" w:eastAsia="仿宋" w:cs="仿宋"/>
          <w:sz w:val="28"/>
          <w:szCs w:val="28"/>
          <w:lang w:eastAsia="zh-CN"/>
        </w:rPr>
        <w:t>库房，</w:t>
      </w:r>
      <w:r>
        <w:rPr>
          <w:rFonts w:hint="eastAsia" w:ascii="仿宋" w:hAnsi="仿宋" w:eastAsia="仿宋" w:cs="仿宋"/>
          <w:b w:val="0"/>
          <w:bCs w:val="0"/>
          <w:sz w:val="28"/>
          <w:szCs w:val="28"/>
          <w:lang w:val="en-US" w:eastAsia="zh-CN"/>
        </w:rPr>
        <w:t>交货时必须提供发货清单、质检单、合格证</w:t>
      </w:r>
      <w:r>
        <w:rPr>
          <w:rFonts w:hint="eastAsia" w:ascii="仿宋" w:hAnsi="仿宋" w:eastAsia="仿宋" w:cs="仿宋"/>
          <w:b w:val="0"/>
          <w:bCs w:val="0"/>
          <w:color w:val="auto"/>
          <w:sz w:val="28"/>
          <w:szCs w:val="28"/>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（五）数量：满足采购人生产需求，具体采购量以采购人每月需求订单为准。</w:t>
      </w:r>
      <w:r>
        <w:rPr>
          <w:rFonts w:hint="eastAsia" w:ascii="仿宋" w:hAnsi="仿宋" w:eastAsia="仿宋" w:cs="仿宋"/>
          <w:b w:val="0"/>
          <w:bCs w:val="0"/>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val="0"/>
          <w:bCs/>
          <w:sz w:val="28"/>
          <w:szCs w:val="28"/>
        </w:rPr>
        <w:t>乙炔气按国家标准GB6819-2004执行,每瓶溶解乙炔的乙炔气充装量（净含量）不低于5.0Kg（指40L型气瓶），大于7.0Kg时，按国标关于超大充装量时应采取的措施执行，充装后瓶内压力符合国家标准要求</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乙炔气</w:t>
      </w:r>
      <w:r>
        <w:rPr>
          <w:rFonts w:hint="eastAsia" w:ascii="仿宋" w:hAnsi="仿宋" w:eastAsia="仿宋" w:cs="仿宋"/>
          <w:b w:val="0"/>
          <w:bCs/>
          <w:sz w:val="28"/>
          <w:szCs w:val="28"/>
        </w:rPr>
        <w:t xml:space="preserve">的生产、填充、储运必须符合国家对危险货物的相关安全管理和要求。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氩气</w:t>
      </w:r>
      <w:r>
        <w:rPr>
          <w:rFonts w:hint="eastAsia" w:ascii="仿宋" w:hAnsi="仿宋" w:eastAsia="仿宋" w:cs="仿宋"/>
          <w:b w:val="0"/>
          <w:bCs/>
          <w:sz w:val="28"/>
          <w:szCs w:val="28"/>
          <w:lang w:val="en-US" w:eastAsia="zh-CN"/>
        </w:rPr>
        <w:t>按国家标准GB/T4842-2017执行</w:t>
      </w:r>
      <w:r>
        <w:rPr>
          <w:rFonts w:hint="eastAsia" w:ascii="仿宋" w:hAnsi="仿宋" w:eastAsia="仿宋" w:cs="仿宋"/>
          <w:b w:val="0"/>
          <w:bCs/>
          <w:sz w:val="28"/>
          <w:szCs w:val="28"/>
        </w:rPr>
        <w:t>，气瓶颜色标记符合</w:t>
      </w:r>
      <w:r>
        <w:rPr>
          <w:rFonts w:hint="eastAsia" w:ascii="仿宋" w:hAnsi="仿宋" w:eastAsia="仿宋" w:cs="仿宋"/>
          <w:b w:val="0"/>
          <w:bCs/>
          <w:sz w:val="28"/>
          <w:szCs w:val="28"/>
          <w:lang w:val="en-US" w:eastAsia="zh-CN"/>
        </w:rPr>
        <w:t>国标</w:t>
      </w:r>
      <w:r>
        <w:rPr>
          <w:rFonts w:hint="eastAsia" w:ascii="仿宋" w:hAnsi="仿宋" w:eastAsia="仿宋" w:cs="仿宋"/>
          <w:b w:val="0"/>
          <w:bCs/>
          <w:sz w:val="28"/>
          <w:szCs w:val="28"/>
        </w:rPr>
        <w:t>规定，瓶装氩气符合《气瓶安全监察规程》，成品压力在20摄氏度时不低于13.5MPa</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氩</w:t>
      </w:r>
      <w:r>
        <w:rPr>
          <w:rFonts w:hint="eastAsia" w:ascii="仿宋" w:hAnsi="仿宋" w:eastAsia="仿宋" w:cs="仿宋"/>
          <w:b w:val="0"/>
          <w:bCs/>
          <w:sz w:val="28"/>
          <w:szCs w:val="28"/>
        </w:rPr>
        <w:t>气的生产、填充、储运必须符合国家对危险货物的相关安全管理和要求。</w:t>
      </w:r>
    </w:p>
    <w:p>
      <w:pPr>
        <w:keepNext w:val="0"/>
        <w:keepLines w:val="0"/>
        <w:pageBreakBefore w:val="0"/>
        <w:widowControl w:val="0"/>
        <w:tabs>
          <w:tab w:val="left" w:pos="2996"/>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3、液氩、高纯氩气符合国家相应的生产、储运要求管理。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 w:val="0"/>
          <w:bCs/>
          <w:sz w:val="28"/>
          <w:szCs w:val="28"/>
        </w:rPr>
      </w:pPr>
      <w:bookmarkStart w:id="8" w:name="_Toc14196"/>
      <w:bookmarkStart w:id="9" w:name="_Toc14688"/>
      <w:bookmarkStart w:id="10" w:name="_Toc33795778"/>
      <w:bookmarkStart w:id="11" w:name="_Toc29895"/>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sz w:val="28"/>
          <w:szCs w:val="28"/>
        </w:rPr>
        <w:t>汽车运输，</w:t>
      </w:r>
      <w:r>
        <w:rPr>
          <w:rFonts w:hint="eastAsia" w:ascii="仿宋" w:hAnsi="仿宋" w:eastAsia="仿宋" w:cs="仿宋"/>
          <w:sz w:val="28"/>
          <w:szCs w:val="28"/>
          <w:lang w:val="en-US" w:eastAsia="zh-CN"/>
        </w:rPr>
        <w:t>报价方</w:t>
      </w:r>
      <w:r>
        <w:rPr>
          <w:rFonts w:hint="eastAsia" w:ascii="仿宋" w:hAnsi="仿宋" w:eastAsia="仿宋" w:cs="仿宋"/>
          <w:b w:val="0"/>
          <w:bCs/>
          <w:sz w:val="28"/>
          <w:szCs w:val="28"/>
        </w:rPr>
        <w:t>承担气体的储运安全</w:t>
      </w:r>
      <w:r>
        <w:rPr>
          <w:rFonts w:hint="eastAsia" w:ascii="仿宋" w:hAnsi="仿宋" w:eastAsia="仿宋" w:cs="仿宋"/>
          <w:b w:val="0"/>
          <w:bCs/>
          <w:sz w:val="28"/>
          <w:szCs w:val="28"/>
          <w:lang w:val="en-US" w:eastAsia="zh-CN"/>
        </w:rPr>
        <w:t>和</w:t>
      </w:r>
      <w:r>
        <w:rPr>
          <w:rFonts w:hint="eastAsia" w:ascii="仿宋" w:hAnsi="仿宋" w:eastAsia="仿宋" w:cs="仿宋"/>
          <w:sz w:val="28"/>
          <w:szCs w:val="28"/>
        </w:rPr>
        <w:t>运输费用</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所派车辆必须符合国家对气体运输车辆的安全、环保管理要求</w:t>
      </w:r>
      <w:r>
        <w:rPr>
          <w:rFonts w:hint="eastAsia" w:ascii="仿宋" w:hAnsi="仿宋" w:eastAsia="仿宋" w:cs="仿宋"/>
          <w:b w:val="0"/>
          <w:bCs/>
          <w:sz w:val="28"/>
          <w:szCs w:val="28"/>
        </w:rPr>
        <w:t>。</w:t>
      </w:r>
    </w:p>
    <w:p>
      <w:pPr>
        <w:keepNext w:val="0"/>
        <w:keepLines w:val="0"/>
        <w:pageBreakBefore w:val="0"/>
        <w:widowControl w:val="0"/>
        <w:kinsoku/>
        <w:wordWrap/>
        <w:overflowPunct/>
        <w:topLinePunct w:val="0"/>
        <w:autoSpaceDE/>
        <w:autoSpaceDN/>
        <w:bidi w:val="0"/>
        <w:adjustRightInd w:val="0"/>
        <w:snapToGrid/>
        <w:spacing w:line="42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 w:val="0"/>
          <w:bCs/>
          <w:sz w:val="28"/>
          <w:szCs w:val="28"/>
        </w:rPr>
        <w:t>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提供气瓶，每次置换空瓶，气瓶数量与</w:t>
      </w:r>
      <w:r>
        <w:rPr>
          <w:rFonts w:hint="eastAsia" w:ascii="仿宋" w:hAnsi="仿宋" w:eastAsia="仿宋" w:cs="仿宋"/>
          <w:b w:val="0"/>
          <w:bCs/>
          <w:sz w:val="28"/>
          <w:szCs w:val="28"/>
          <w:lang w:eastAsia="zh-CN"/>
        </w:rPr>
        <w:t>采</w:t>
      </w:r>
      <w:r>
        <w:rPr>
          <w:rFonts w:hint="eastAsia" w:ascii="仿宋" w:hAnsi="仿宋" w:eastAsia="仿宋" w:cs="仿宋"/>
          <w:b w:val="0"/>
          <w:bCs/>
          <w:sz w:val="28"/>
          <w:szCs w:val="28"/>
          <w:lang w:val="en-US" w:eastAsia="zh-CN"/>
        </w:rPr>
        <w:t>购方</w:t>
      </w:r>
      <w:r>
        <w:rPr>
          <w:rFonts w:hint="eastAsia" w:ascii="仿宋" w:hAnsi="仿宋" w:eastAsia="仿宋" w:cs="仿宋"/>
          <w:b w:val="0"/>
          <w:bCs/>
          <w:sz w:val="28"/>
          <w:szCs w:val="28"/>
        </w:rPr>
        <w:t>库管人员以书面形式交接清楚</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如因交接不清所造成的纠纷，采购方不予认可。</w:t>
      </w:r>
    </w:p>
    <w:p>
      <w:pPr>
        <w:keepNext w:val="0"/>
        <w:keepLines w:val="0"/>
        <w:pageBreakBefore w:val="0"/>
        <w:widowControl w:val="0"/>
        <w:kinsoku/>
        <w:wordWrap/>
        <w:overflowPunct/>
        <w:topLinePunct w:val="0"/>
        <w:autoSpaceDE/>
        <w:autoSpaceDN/>
        <w:bidi w:val="0"/>
        <w:adjustRightInd w:val="0"/>
        <w:snapToGrid/>
        <w:spacing w:line="42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w:t>
      </w:r>
      <w:r>
        <w:rPr>
          <w:rFonts w:hint="eastAsia" w:ascii="仿宋" w:hAnsi="仿宋" w:eastAsia="仿宋" w:cs="仿宋"/>
          <w:bCs/>
          <w:color w:val="auto"/>
          <w:sz w:val="28"/>
          <w:szCs w:val="28"/>
          <w:lang w:val="en-US" w:eastAsia="zh-CN"/>
        </w:rPr>
        <w:t>依</w:t>
      </w:r>
      <w:r>
        <w:rPr>
          <w:rFonts w:hint="eastAsia" w:ascii="仿宋" w:hAnsi="仿宋" w:eastAsia="仿宋" w:cs="仿宋"/>
          <w:bCs/>
          <w:color w:val="auto"/>
          <w:sz w:val="28"/>
          <w:szCs w:val="28"/>
          <w:lang w:eastAsia="zh-CN"/>
        </w:rPr>
        <w:t>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w:t>
      </w:r>
      <w:r>
        <w:rPr>
          <w:rFonts w:hint="eastAsia" w:ascii="仿宋" w:hAnsi="仿宋" w:eastAsia="仿宋" w:cs="仿宋"/>
          <w:b w:val="0"/>
          <w:bCs w:val="0"/>
          <w:sz w:val="28"/>
          <w:szCs w:val="28"/>
        </w:rPr>
        <w:t>随货携带质量合格证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材质报告书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危险化学品生产许可证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储运许可证、</w:t>
      </w:r>
      <w:r>
        <w:rPr>
          <w:rFonts w:hint="eastAsia" w:ascii="仿宋" w:hAnsi="仿宋" w:eastAsia="仿宋" w:cs="仿宋"/>
          <w:b w:val="0"/>
          <w:bCs w:val="0"/>
          <w:sz w:val="28"/>
          <w:szCs w:val="28"/>
          <w:lang w:val="en-US" w:eastAsia="zh-CN"/>
        </w:rPr>
        <w:t>安全</w:t>
      </w:r>
      <w:r>
        <w:rPr>
          <w:rFonts w:hint="eastAsia" w:ascii="仿宋" w:hAnsi="仿宋" w:eastAsia="仿宋" w:cs="仿宋"/>
          <w:b w:val="0"/>
          <w:bCs w:val="0"/>
          <w:sz w:val="28"/>
          <w:szCs w:val="28"/>
        </w:rPr>
        <w:t>标识等</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以便采购方对瓶体，压力阀、减震圈等进行临检</w:t>
      </w:r>
      <w:r>
        <w:rPr>
          <w:rFonts w:hint="eastAsia" w:ascii="仿宋" w:hAnsi="仿宋" w:eastAsia="仿宋" w:cs="仿宋"/>
          <w:b w:val="0"/>
          <w:bCs w:val="0"/>
          <w:sz w:val="28"/>
          <w:szCs w:val="28"/>
        </w:rPr>
        <w:t>。</w:t>
      </w:r>
    </w:p>
    <w:p>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13%增值税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如有不同税率，报价方自行换算成13%的报价。合同签订时，再换算成实际开票税率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pPr>
        <w:pageBreakBefore w:val="0"/>
        <w:kinsoku/>
        <w:wordWrap/>
        <w:overflowPunct/>
        <w:topLinePunct w:val="0"/>
        <w:autoSpaceDE/>
        <w:autoSpaceDN/>
        <w:bidi w:val="0"/>
        <w:snapToGrid/>
        <w:spacing w:line="4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pPr>
        <w:pageBreakBefore w:val="0"/>
        <w:numPr>
          <w:ilvl w:val="0"/>
          <w:numId w:val="0"/>
        </w:numPr>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供应商2023年5月至今具有气体类业绩（提供合同复印件，时间以合同签订时间为准）；</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pPr>
        <w:pStyle w:val="3"/>
        <w:pageBreakBefore w:val="0"/>
        <w:kinsoku/>
        <w:wordWrap/>
        <w:overflowPunct/>
        <w:topLinePunct w:val="0"/>
        <w:autoSpaceDE/>
        <w:autoSpaceDN/>
        <w:bidi w:val="0"/>
        <w:snapToGrid/>
        <w:spacing w:before="0" w:after="0" w:line="42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pPr>
        <w:pageBreakBefore w:val="0"/>
        <w:kinsoku/>
        <w:wordWrap/>
        <w:overflowPunct/>
        <w:topLinePunct w:val="0"/>
        <w:autoSpaceDE/>
        <w:autoSpaceDN/>
        <w:bidi w:val="0"/>
        <w:snapToGrid/>
        <w:spacing w:line="420" w:lineRule="exact"/>
        <w:textAlignment w:val="auto"/>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pPr>
        <w:pStyle w:val="5"/>
        <w:pageBreakBefore w:val="0"/>
        <w:numPr>
          <w:ilvl w:val="0"/>
          <w:numId w:val="0"/>
        </w:numPr>
        <w:kinsoku/>
        <w:wordWrap/>
        <w:overflowPunct/>
        <w:topLinePunct w:val="0"/>
        <w:autoSpaceDE/>
        <w:autoSpaceDN/>
        <w:bidi w:val="0"/>
        <w:snapToGrid/>
        <w:spacing w:after="0" w:line="42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pPr>
        <w:pStyle w:val="5"/>
        <w:pageBreakBefore w:val="0"/>
        <w:numPr>
          <w:ilvl w:val="0"/>
          <w:numId w:val="0"/>
        </w:numPr>
        <w:kinsoku/>
        <w:wordWrap/>
        <w:overflowPunct/>
        <w:topLinePunct w:val="0"/>
        <w:autoSpaceDE/>
        <w:autoSpaceDN/>
        <w:bidi w:val="0"/>
        <w:snapToGrid/>
        <w:spacing w:after="0"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47513966"/>
      <w:bookmarkStart w:id="13" w:name="_Toc152042318"/>
      <w:bookmarkStart w:id="14" w:name="_Toc369531529"/>
      <w:bookmarkStart w:id="15" w:name="_Toc25772"/>
      <w:bookmarkStart w:id="16" w:name="_Toc247527567"/>
      <w:bookmarkStart w:id="17" w:name="_Toc361508598"/>
      <w:bookmarkStart w:id="18" w:name="_Toc352691486"/>
      <w:bookmarkStart w:id="19" w:name="_Toc152045542"/>
      <w:bookmarkStart w:id="20" w:name="_Toc300834963"/>
      <w:bookmarkStart w:id="21" w:name="_Toc144974510"/>
      <w:bookmarkStart w:id="22" w:name="_Toc384308223"/>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144974511"/>
      <w:bookmarkStart w:id="25" w:name="_Toc247527568"/>
      <w:bookmarkStart w:id="26" w:name="_Toc352691487"/>
      <w:bookmarkStart w:id="27" w:name="_Toc369531530"/>
      <w:bookmarkStart w:id="28" w:name="_Toc247513967"/>
      <w:bookmarkStart w:id="29" w:name="_Toc152042319"/>
      <w:bookmarkStart w:id="30" w:name="_Toc384308224"/>
      <w:bookmarkStart w:id="31" w:name="_Toc152045543"/>
      <w:bookmarkStart w:id="32" w:name="_Toc300834964"/>
      <w:bookmarkStart w:id="33" w:name="_Toc15242"/>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天。</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69531533"/>
      <w:bookmarkStart w:id="36" w:name="_Toc352691490"/>
      <w:bookmarkStart w:id="37" w:name="_Toc361508602"/>
      <w:bookmarkStart w:id="38"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52042322"/>
      <w:bookmarkStart w:id="40" w:name="_Toc14751"/>
      <w:bookmarkStart w:id="41" w:name="_Toc369531534"/>
      <w:bookmarkStart w:id="42" w:name="_Toc247513970"/>
      <w:bookmarkStart w:id="43" w:name="_Toc361508603"/>
      <w:bookmarkStart w:id="44" w:name="_Toc352691491"/>
      <w:bookmarkStart w:id="45" w:name="_Toc384308228"/>
      <w:bookmarkStart w:id="46" w:name="_Toc300834967"/>
      <w:bookmarkStart w:id="47" w:name="_Toc144974514"/>
      <w:bookmarkStart w:id="48" w:name="_Toc247527571"/>
      <w:bookmarkStart w:id="49" w:name="_Toc152045546"/>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247513971"/>
      <w:bookmarkStart w:id="51" w:name="_Toc152042323"/>
      <w:bookmarkStart w:id="52" w:name="_Toc144974515"/>
      <w:bookmarkStart w:id="53" w:name="_Toc361508604"/>
      <w:bookmarkStart w:id="54" w:name="_Toc352691492"/>
      <w:bookmarkStart w:id="55" w:name="_Toc300834968"/>
      <w:bookmarkStart w:id="56" w:name="_Toc384308229"/>
      <w:bookmarkStart w:id="57" w:name="_Toc152045547"/>
      <w:bookmarkStart w:id="58" w:name="_Toc247527572"/>
      <w:bookmarkStart w:id="59" w:name="_Toc369531535"/>
      <w:bookmarkStart w:id="60" w:name="_Toc1795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pPr>
        <w:pStyle w:val="3"/>
        <w:pageBreakBefore w:val="0"/>
        <w:kinsoku/>
        <w:wordWrap/>
        <w:overflowPunct/>
        <w:topLinePunct w:val="0"/>
        <w:autoSpaceDE/>
        <w:autoSpaceDN/>
        <w:bidi w:val="0"/>
        <w:snapToGrid/>
        <w:spacing w:before="0" w:after="0" w:line="420" w:lineRule="exact"/>
        <w:ind w:left="0" w:firstLine="280" w:firstLineChars="100"/>
        <w:jc w:val="both"/>
        <w:textAlignment w:val="auto"/>
        <w:rPr>
          <w:rFonts w:hint="eastAsia" w:ascii="仿宋" w:hAnsi="仿宋" w:eastAsia="仿宋" w:cs="仿宋"/>
          <w:color w:val="auto"/>
          <w:sz w:val="28"/>
          <w:szCs w:val="28"/>
        </w:rPr>
      </w:pPr>
      <w:bookmarkStart w:id="61" w:name="_Toc24514"/>
      <w:bookmarkStart w:id="62" w:name="_Toc28216"/>
      <w:bookmarkStart w:id="63" w:name="_Toc33795794"/>
      <w:bookmarkStart w:id="64" w:name="_Toc218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pPr>
        <w:pStyle w:val="3"/>
        <w:pageBreakBefore w:val="0"/>
        <w:kinsoku/>
        <w:wordWrap/>
        <w:overflowPunct/>
        <w:topLinePunct w:val="0"/>
        <w:autoSpaceDE/>
        <w:autoSpaceDN/>
        <w:bidi w:val="0"/>
        <w:snapToGrid/>
        <w:spacing w:before="0" w:after="0"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pPr>
        <w:pageBreakBefore w:val="0"/>
        <w:kinsoku/>
        <w:wordWrap/>
        <w:topLinePunct w:val="0"/>
        <w:autoSpaceDE/>
        <w:autoSpaceDN/>
        <w:bidi w:val="0"/>
        <w:snapToGrid/>
        <w:spacing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pPr>
        <w:pageBreakBefore w:val="0"/>
        <w:kinsoku/>
        <w:wordWrap/>
        <w:topLinePunct w:val="0"/>
        <w:autoSpaceDE/>
        <w:autoSpaceDN/>
        <w:bidi w:val="0"/>
        <w:snapToGrid/>
        <w:spacing w:line="420" w:lineRule="exact"/>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响应文件提交截止时间：2026年6月16日12时（北京时间）；</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pPr>
        <w:keepNext w:val="0"/>
        <w:keepLines w:val="0"/>
        <w:pageBreakBefore w:val="0"/>
        <w:widowControl w:val="0"/>
        <w:kinsoku/>
        <w:wordWrap/>
        <w:overflowPunct w:val="0"/>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pPr>
        <w:pStyle w:val="14"/>
        <w:keepNext w:val="0"/>
        <w:keepLines w:val="0"/>
        <w:pageBreakBefore w:val="0"/>
        <w:shd w:val="clear" w:color="auto" w:fill="auto"/>
        <w:kinsoku/>
        <w:wordWrap/>
        <w:overflowPunct/>
        <w:topLinePunct w:val="0"/>
        <w:autoSpaceDE/>
        <w:autoSpaceDN/>
        <w:bidi w:val="0"/>
        <w:adjustRightInd/>
        <w:snapToGrid/>
        <w:spacing w:before="0" w:after="120" w:line="42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pPr>
        <w:keepNext w:val="0"/>
        <w:keepLines w:val="0"/>
        <w:pageBreakBefore w:val="0"/>
        <w:shd w:val="clear" w:color="auto" w:fill="auto"/>
        <w:kinsoku/>
        <w:wordWrap/>
        <w:overflowPunct/>
        <w:topLinePunct w:val="0"/>
        <w:autoSpaceDE/>
        <w:autoSpaceDN/>
        <w:bidi w:val="0"/>
        <w:adjustRightInd/>
        <w:snapToGrid/>
        <w:spacing w:line="420" w:lineRule="exact"/>
        <w:ind w:firstLine="282" w:firstLineChars="1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2026年6月16日13时</w:t>
      </w:r>
      <w:r>
        <w:rPr>
          <w:rFonts w:hint="eastAsia" w:ascii="仿宋" w:hAnsi="仿宋" w:eastAsia="仿宋" w:cs="仿宋"/>
          <w:color w:val="auto"/>
          <w:spacing w:val="1"/>
          <w:kern w:val="0"/>
          <w:sz w:val="28"/>
          <w:szCs w:val="28"/>
          <w:highlight w:val="none"/>
          <w:lang w:val="en-US" w:eastAsia="zh-CN" w:bidi="ar-SA"/>
        </w:rPr>
        <w:t>；</w:t>
      </w:r>
    </w:p>
    <w:p>
      <w:pPr>
        <w:pageBreakBefore w:val="0"/>
        <w:kinsoku/>
        <w:wordWrap/>
        <w:topLinePunct w:val="0"/>
        <w:autoSpaceDE/>
        <w:autoSpaceDN/>
        <w:bidi w:val="0"/>
        <w:snapToGrid/>
        <w:spacing w:line="420" w:lineRule="exact"/>
        <w:ind w:firstLine="282" w:firstLineChars="100"/>
        <w:textAlignment w:val="auto"/>
        <w:rPr>
          <w:rFonts w:hint="eastAsia" w:ascii="仿宋" w:hAnsi="仿宋" w:eastAsia="仿宋" w:cs="仿宋"/>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pPr>
        <w:pStyle w:val="2"/>
        <w:pageBreakBefore w:val="0"/>
        <w:widowControl w:val="0"/>
        <w:kinsoku/>
        <w:wordWrap/>
        <w:overflowPunct/>
        <w:topLinePunct w:val="0"/>
        <w:autoSpaceDE/>
        <w:autoSpaceDN/>
        <w:bidi w:val="0"/>
        <w:adjustRightInd/>
        <w:snapToGrid/>
        <w:spacing w:before="0" w:after="0" w:line="420" w:lineRule="exact"/>
        <w:ind w:firstLine="562" w:firstLineChars="2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pPr>
        <w:pageBreakBefore w:val="0"/>
        <w:kinsoku/>
        <w:wordWrap/>
        <w:overflowPunct/>
        <w:topLinePunct w:val="0"/>
        <w:autoSpaceDE/>
        <w:autoSpaceDN/>
        <w:bidi w:val="0"/>
        <w:snapToGrid/>
        <w:spacing w:line="42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47514027"/>
      <w:bookmarkStart w:id="66" w:name="_Toc352691538"/>
      <w:bookmarkStart w:id="67" w:name="_Toc152045603"/>
      <w:bookmarkStart w:id="68" w:name="_Toc144974570"/>
      <w:bookmarkStart w:id="69" w:name="_Toc2907"/>
      <w:bookmarkStart w:id="70" w:name="_Toc384308277"/>
      <w:bookmarkStart w:id="71" w:name="_Toc369531582"/>
      <w:bookmarkStart w:id="72" w:name="_Toc361508651"/>
      <w:bookmarkStart w:id="73" w:name="_Toc152042380"/>
      <w:bookmarkStart w:id="74" w:name="_Toc247527628"/>
      <w:bookmarkStart w:id="75" w:name="_Toc300835013"/>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29291"/>
      <w:bookmarkStart w:id="77" w:name="_Toc33795835"/>
      <w:bookmarkStart w:id="78" w:name="_Toc16955"/>
      <w:bookmarkStart w:id="79" w:name="_Toc13563"/>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80" w:name="_Toc33795836"/>
      <w:bookmarkStart w:id="81" w:name="_Toc32669"/>
      <w:bookmarkStart w:id="82" w:name="_Toc3366"/>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pPr>
        <w:pStyle w:val="2"/>
        <w:pageBreakBefore w:val="0"/>
        <w:kinsoku/>
        <w:wordWrap/>
        <w:overflowPunct/>
        <w:topLinePunct w:val="0"/>
        <w:autoSpaceDE/>
        <w:autoSpaceDN/>
        <w:bidi w:val="0"/>
        <w:snapToGrid/>
        <w:spacing w:before="0" w:after="0" w:line="420" w:lineRule="exact"/>
        <w:ind w:left="0" w:firstLine="562" w:firstLineChars="200"/>
        <w:jc w:val="both"/>
        <w:textAlignment w:val="auto"/>
        <w:rPr>
          <w:rFonts w:hint="eastAsia" w:ascii="仿宋" w:hAnsi="仿宋" w:eastAsia="仿宋" w:cs="仿宋"/>
          <w:color w:val="auto"/>
          <w:sz w:val="28"/>
          <w:szCs w:val="28"/>
        </w:rPr>
      </w:pPr>
      <w:bookmarkStart w:id="84" w:name="_Toc33795807"/>
      <w:bookmarkStart w:id="85" w:name="_Toc8518"/>
      <w:bookmarkStart w:id="86" w:name="_Toc9481"/>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87" w:name="_Toc21093"/>
      <w:bookmarkStart w:id="88" w:name="_Toc33795808"/>
      <w:bookmarkStart w:id="89" w:name="_Toc16094"/>
      <w:bookmarkStart w:id="90" w:name="_Toc3085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91" w:name="_Toc7018"/>
      <w:bookmarkStart w:id="92" w:name="_Toc19079"/>
      <w:bookmarkStart w:id="93" w:name="_Toc33795809"/>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0095"/>
      <w:bookmarkStart w:id="96" w:name="_Toc152045561"/>
      <w:bookmarkStart w:id="97" w:name="_Toc247513985"/>
      <w:bookmarkStart w:id="98" w:name="_Toc361508618"/>
      <w:bookmarkStart w:id="99" w:name="_Toc352691505"/>
      <w:bookmarkStart w:id="100" w:name="_Toc144974529"/>
      <w:bookmarkStart w:id="101" w:name="_Toc247527586"/>
      <w:bookmarkStart w:id="102" w:name="_Toc152042337"/>
      <w:bookmarkStart w:id="103" w:name="_Toc384308243"/>
      <w:bookmarkStart w:id="104" w:name="_Toc300834982"/>
      <w:bookmarkStart w:id="105" w:name="_Toc369531549"/>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06" w:name="_Toc21648"/>
      <w:bookmarkStart w:id="107" w:name="_Toc28756"/>
      <w:bookmarkStart w:id="108" w:name="_Toc25590"/>
      <w:bookmarkStart w:id="109"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24665"/>
      <w:bookmarkStart w:id="111" w:name="_Toc19470"/>
      <w:bookmarkStart w:id="112" w:name="_Toc2191"/>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14" w:name="_Toc10813"/>
      <w:bookmarkStart w:id="115" w:name="_Toc31681"/>
      <w:bookmarkStart w:id="116" w:name="_Toc6928"/>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69531550"/>
      <w:bookmarkStart w:id="119" w:name="_Toc361508619"/>
      <w:bookmarkStart w:id="120" w:name="_Toc384308244"/>
      <w:bookmarkStart w:id="121" w:name="_Toc5668"/>
      <w:bookmarkStart w:id="122" w:name="_Toc352691506"/>
      <w:bookmarkStart w:id="123"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24" w:name="_Toc21613"/>
      <w:bookmarkStart w:id="125" w:name="_Toc33795813"/>
      <w:bookmarkStart w:id="126" w:name="_Toc30705"/>
      <w:bookmarkStart w:id="127"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28" w:name="_Toc14362"/>
      <w:bookmarkStart w:id="129" w:name="_Toc33795814"/>
      <w:bookmarkStart w:id="130" w:name="_Toc3671"/>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247527589"/>
      <w:bookmarkStart w:id="133" w:name="_Toc152042340"/>
      <w:bookmarkStart w:id="134" w:name="_Toc4656"/>
      <w:bookmarkStart w:id="135" w:name="_Toc361508622"/>
      <w:bookmarkStart w:id="136" w:name="_Toc384308247"/>
      <w:bookmarkStart w:id="137" w:name="_Toc247513988"/>
      <w:bookmarkStart w:id="138" w:name="_Toc300834986"/>
      <w:bookmarkStart w:id="139" w:name="_Toc144974532"/>
      <w:bookmarkStart w:id="140" w:name="_Toc369531553"/>
      <w:bookmarkStart w:id="141" w:name="_Toc352691509"/>
      <w:bookmarkStart w:id="142" w:name="_Toc152045564"/>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61508623"/>
      <w:bookmarkStart w:id="144" w:name="_Toc152045565"/>
      <w:bookmarkStart w:id="145" w:name="_Toc18247"/>
      <w:bookmarkStart w:id="146" w:name="_Toc247513989"/>
      <w:bookmarkStart w:id="147" w:name="_Toc247527590"/>
      <w:bookmarkStart w:id="148" w:name="_Toc300834987"/>
      <w:bookmarkStart w:id="149" w:name="_Toc152042341"/>
      <w:bookmarkStart w:id="150" w:name="_Toc352691510"/>
      <w:bookmarkStart w:id="151" w:name="_Toc384308248"/>
      <w:bookmarkStart w:id="152" w:name="_Toc144974533"/>
      <w:bookmarkStart w:id="153" w:name="_Toc369531554"/>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24067"/>
      <w:bookmarkStart w:id="156" w:name="_Toc361508627"/>
      <w:bookmarkStart w:id="157" w:name="_Toc152045568"/>
      <w:bookmarkStart w:id="158" w:name="_Toc152042344"/>
      <w:bookmarkStart w:id="159" w:name="_Toc247527593"/>
      <w:bookmarkStart w:id="160" w:name="_Toc247513992"/>
      <w:bookmarkStart w:id="161" w:name="_Toc300834991"/>
      <w:bookmarkStart w:id="162" w:name="_Toc144974536"/>
    </w:p>
    <w:bookmarkEnd w:id="154"/>
    <w:bookmarkEnd w:id="155"/>
    <w:bookmarkEnd w:id="156"/>
    <w:p>
      <w:pPr>
        <w:pStyle w:val="2"/>
        <w:pageBreakBefore w:val="0"/>
        <w:kinsoku/>
        <w:wordWrap/>
        <w:overflowPunct/>
        <w:topLinePunct w:val="0"/>
        <w:autoSpaceDE/>
        <w:autoSpaceDN/>
        <w:bidi w:val="0"/>
        <w:snapToGrid/>
        <w:spacing w:before="0" w:after="0" w:line="420" w:lineRule="exact"/>
        <w:ind w:left="0" w:firstLine="562" w:firstLineChars="200"/>
        <w:jc w:val="both"/>
        <w:textAlignment w:val="auto"/>
        <w:rPr>
          <w:rFonts w:hint="eastAsia" w:ascii="仿宋" w:hAnsi="仿宋" w:eastAsia="仿宋" w:cs="仿宋"/>
          <w:color w:val="auto"/>
          <w:sz w:val="28"/>
          <w:szCs w:val="28"/>
        </w:rPr>
      </w:pPr>
      <w:bookmarkStart w:id="163" w:name="_Toc14752"/>
      <w:bookmarkStart w:id="164" w:name="_Toc25347"/>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9531559"/>
      <w:bookmarkStart w:id="167" w:name="_Toc13644"/>
      <w:bookmarkStart w:id="168" w:name="_Toc384308253"/>
      <w:bookmarkStart w:id="169" w:name="_Toc352691515"/>
      <w:bookmarkStart w:id="170" w:name="_Toc361508628"/>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pPr>
        <w:pStyle w:val="3"/>
        <w:pageBreakBefore w:val="0"/>
        <w:numPr>
          <w:ilvl w:val="0"/>
          <w:numId w:val="0"/>
        </w:numPr>
        <w:kinsoku/>
        <w:wordWrap/>
        <w:overflowPunct/>
        <w:topLinePunct w:val="0"/>
        <w:autoSpaceDE/>
        <w:autoSpaceDN/>
        <w:bidi w:val="0"/>
        <w:snapToGrid/>
        <w:spacing w:before="0" w:after="0" w:line="420" w:lineRule="exact"/>
        <w:ind w:left="0" w:firstLine="560" w:firstLineChars="200"/>
        <w:jc w:val="both"/>
        <w:textAlignment w:val="auto"/>
        <w:rPr>
          <w:rFonts w:hint="eastAsia" w:ascii="仿宋" w:hAnsi="仿宋" w:eastAsia="仿宋" w:cs="仿宋"/>
          <w:color w:val="auto"/>
          <w:sz w:val="28"/>
          <w:szCs w:val="28"/>
        </w:rPr>
      </w:pPr>
      <w:bookmarkStart w:id="171" w:name="_Toc18070"/>
      <w:bookmarkStart w:id="172" w:name="_Toc33795820"/>
      <w:bookmarkStart w:id="173" w:name="_Toc24957"/>
      <w:bookmarkStart w:id="174" w:name="_Toc22294"/>
      <w:r>
        <w:rPr>
          <w:rFonts w:hint="eastAsia" w:ascii="仿宋" w:hAnsi="仿宋" w:eastAsia="仿宋" w:cs="仿宋"/>
          <w:color w:val="auto"/>
          <w:sz w:val="28"/>
          <w:szCs w:val="28"/>
          <w:lang w:val="en-US" w:eastAsia="zh-CN"/>
        </w:rPr>
        <w:t>（三）异议</w:t>
      </w:r>
      <w:bookmarkEnd w:id="171"/>
      <w:bookmarkEnd w:id="172"/>
      <w:bookmarkEnd w:id="173"/>
      <w:bookmarkEnd w:id="174"/>
    </w:p>
    <w:p>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2026年6月11日</w:t>
      </w:r>
    </w:p>
    <w:p>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auto"/>
        <w:rPr>
          <w:rFonts w:hint="default" w:ascii="仿宋" w:hAnsi="仿宋" w:eastAsia="宋体" w:cs="仿宋"/>
          <w:b/>
          <w:bCs/>
          <w:color w:val="auto"/>
          <w:sz w:val="32"/>
          <w:szCs w:val="32"/>
          <w:lang w:val="en-US" w:eastAsia="zh-CN"/>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spacing w:line="400" w:lineRule="exact"/>
        <w:rPr>
          <w:rFonts w:hint="eastAsia" w:ascii="仿宋" w:hAnsi="仿宋" w:eastAsia="仿宋" w:cs="仿宋"/>
          <w:color w:val="auto"/>
          <w:sz w:val="32"/>
          <w:szCs w:val="32"/>
        </w:rPr>
      </w:pPr>
      <w:bookmarkStart w:id="175" w:name="_Toc504488767"/>
      <w:bookmarkStart w:id="176" w:name="_Toc3885"/>
      <w:r>
        <w:rPr>
          <w:rFonts w:hint="eastAsia" w:ascii="仿宋" w:hAnsi="仿宋" w:eastAsia="仿宋" w:cs="仿宋"/>
          <w:color w:val="auto"/>
          <w:sz w:val="32"/>
          <w:szCs w:val="32"/>
          <w:highlight w:val="none"/>
        </w:rPr>
        <w:t>项目编号：</w:t>
      </w:r>
    </w:p>
    <w:p>
      <w:pPr>
        <w:spacing w:line="400" w:lineRule="exact"/>
        <w:rPr>
          <w:rFonts w:hint="eastAsia" w:ascii="仿宋" w:hAnsi="仿宋" w:eastAsia="仿宋" w:cs="仿宋"/>
          <w:color w:val="auto"/>
          <w:sz w:val="32"/>
          <w:szCs w:val="32"/>
        </w:rPr>
      </w:pPr>
    </w:p>
    <w:p>
      <w:pPr>
        <w:spacing w:line="360" w:lineRule="auto"/>
        <w:jc w:val="center"/>
        <w:rPr>
          <w:rFonts w:hint="eastAsia" w:ascii="黑体" w:hAnsi="黑体" w:eastAsia="黑体" w:cs="黑体"/>
          <w:b/>
          <w:bCs/>
          <w:color w:val="auto"/>
          <w:sz w:val="44"/>
          <w:szCs w:val="44"/>
          <w:lang w:eastAsia="zh-CN"/>
        </w:rPr>
      </w:pPr>
    </w:p>
    <w:p>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2026年下半年乙炔气、高纯氩气、氩气等采购项目</w:t>
      </w:r>
    </w:p>
    <w:p>
      <w:pPr>
        <w:rPr>
          <w:rFonts w:hint="eastAsia" w:ascii="黑体" w:hAnsi="黑体" w:eastAsia="黑体" w:cs="黑体"/>
          <w:b/>
          <w:bCs/>
          <w:color w:val="auto"/>
          <w:sz w:val="44"/>
          <w:szCs w:val="44"/>
        </w:rPr>
      </w:pPr>
    </w:p>
    <w:p>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pPr>
        <w:jc w:val="center"/>
        <w:rPr>
          <w:rFonts w:hint="eastAsia" w:ascii="黑体" w:hAnsi="黑体" w:eastAsia="黑体" w:cs="黑体"/>
          <w:b/>
          <w:bCs/>
          <w:color w:val="auto"/>
          <w:sz w:val="44"/>
          <w:szCs w:val="44"/>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360" w:lineRule="auto"/>
        <w:ind w:firstLine="643" w:firstLineChars="2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pPr>
        <w:jc w:val="center"/>
        <w:rPr>
          <w:rFonts w:hint="eastAsia" w:ascii="宋体" w:hAnsi="宋体" w:eastAsia="宋体" w:cs="宋体"/>
          <w:b/>
          <w:bCs/>
          <w:color w:val="auto"/>
          <w:sz w:val="32"/>
          <w:szCs w:val="32"/>
        </w:rPr>
      </w:pPr>
    </w:p>
    <w:p>
      <w:pPr>
        <w:spacing w:line="400" w:lineRule="exact"/>
        <w:jc w:val="center"/>
        <w:rPr>
          <w:rFonts w:hint="eastAsia" w:ascii="黑体" w:hAnsi="黑体" w:eastAsia="黑体" w:cs="黑体"/>
          <w:b/>
          <w:bCs w:val="0"/>
          <w:color w:val="auto"/>
          <w:sz w:val="36"/>
          <w:szCs w:val="36"/>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pPr>
        <w:pStyle w:val="2"/>
        <w:ind w:firstLine="3614" w:firstLineChars="1000"/>
        <w:jc w:val="both"/>
        <w:rPr>
          <w:rFonts w:hint="eastAsia" w:ascii="黑体" w:hAnsi="黑体" w:eastAsia="黑体" w:cs="黑体"/>
          <w:b/>
          <w:bCs w:val="0"/>
          <w:color w:val="auto"/>
          <w:sz w:val="36"/>
          <w:szCs w:val="36"/>
        </w:rPr>
      </w:pPr>
    </w:p>
    <w:p>
      <w:pPr>
        <w:pStyle w:val="2"/>
        <w:ind w:firstLine="3614" w:firstLineChars="1000"/>
        <w:jc w:val="both"/>
        <w:rPr>
          <w:rFonts w:hint="eastAsia" w:ascii="黑体" w:hAnsi="黑体" w:eastAsia="黑体" w:cs="黑体"/>
          <w:b/>
          <w:bCs w:val="0"/>
          <w:color w:val="auto"/>
          <w:sz w:val="36"/>
          <w:szCs w:val="36"/>
        </w:rPr>
      </w:pPr>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pPr>
        <w:spacing w:line="540" w:lineRule="exact"/>
        <w:rPr>
          <w:rFonts w:hint="eastAsia" w:ascii="仿宋" w:hAnsi="仿宋" w:eastAsia="仿宋" w:cs="仿宋"/>
          <w:color w:val="auto"/>
          <w:sz w:val="32"/>
          <w:szCs w:val="32"/>
        </w:rPr>
      </w:pP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352691662"/>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61508754"/>
      <w:bookmarkStart w:id="185" w:name="_Toc152042578"/>
      <w:bookmarkStart w:id="186" w:name="_Toc352691663"/>
      <w:bookmarkStart w:id="187" w:name="_Toc300835211"/>
      <w:bookmarkStart w:id="188" w:name="_Toc15573"/>
      <w:bookmarkStart w:id="189" w:name="_Toc247527829"/>
      <w:bookmarkStart w:id="190" w:name="_Toc152045789"/>
      <w:bookmarkStart w:id="191" w:name="_Toc144974858"/>
      <w:bookmarkStart w:id="192" w:name="_Toc369531699"/>
      <w:bookmarkStart w:id="193" w:name="_Toc384308377"/>
      <w:bookmarkStart w:id="194" w:name="_Toc247514248"/>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pPr>
        <w:spacing w:line="440" w:lineRule="exact"/>
        <w:rPr>
          <w:rFonts w:hint="eastAsia" w:ascii="仿宋" w:hAnsi="仿宋" w:eastAsia="仿宋" w:cs="仿宋"/>
          <w:b/>
          <w:bCs/>
          <w:color w:val="auto"/>
          <w:sz w:val="32"/>
          <w:szCs w:val="32"/>
        </w:rPr>
      </w:pP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pPr>
        <w:spacing w:line="440" w:lineRule="exact"/>
        <w:rPr>
          <w:rFonts w:hint="eastAsia" w:ascii="仿宋" w:hAnsi="仿宋" w:eastAsia="仿宋" w:cs="仿宋"/>
          <w:color w:val="auto"/>
          <w:sz w:val="32"/>
          <w:szCs w:val="32"/>
          <w:u w:val="single"/>
        </w:rPr>
      </w:pPr>
    </w:p>
    <w:p>
      <w:pPr>
        <w:spacing w:line="440" w:lineRule="exact"/>
        <w:rPr>
          <w:rFonts w:hint="eastAsia" w:ascii="仿宋" w:hAnsi="仿宋" w:eastAsia="仿宋" w:cs="仿宋"/>
          <w:color w:val="auto"/>
          <w:sz w:val="32"/>
          <w:szCs w:val="32"/>
          <w:u w:val="single"/>
        </w:rPr>
      </w:pPr>
    </w:p>
    <w:p>
      <w:pPr>
        <w:pStyle w:val="2"/>
        <w:pageBreakBefore/>
        <w:widowControl w:val="0"/>
        <w:kinsoku/>
        <w:wordWrap/>
        <w:overflowPunct/>
        <w:topLinePunct w:val="0"/>
        <w:autoSpaceDE/>
        <w:autoSpaceDN/>
        <w:bidi w:val="0"/>
        <w:adjustRightInd/>
        <w:snapToGrid w:val="0"/>
        <w:spacing w:before="0" w:after="0" w:line="520" w:lineRule="exact"/>
        <w:textAlignment w:val="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pPr>
        <w:pStyle w:val="4"/>
        <w:widowControl w:val="0"/>
        <w:kinsoku/>
        <w:wordWrap/>
        <w:overflowPunct/>
        <w:topLinePunct w:val="0"/>
        <w:autoSpaceDE/>
        <w:autoSpaceDN/>
        <w:bidi w:val="0"/>
        <w:adjustRightInd/>
        <w:snapToGrid w:val="0"/>
        <w:spacing w:before="24" w:after="24" w:line="520" w:lineRule="exact"/>
        <w:ind w:left="0" w:leftChars="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pPr>
        <w:widowControl w:val="0"/>
        <w:kinsoku/>
        <w:wordWrap/>
        <w:overflowPunct/>
        <w:topLinePunct w:val="0"/>
        <w:autoSpaceDE/>
        <w:autoSpaceDN/>
        <w:bidi w:val="0"/>
        <w:adjustRightInd/>
        <w:snapToGrid w:val="0"/>
        <w:spacing w:line="520" w:lineRule="exact"/>
        <w:ind w:right="48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pPr>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pPr>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pPr>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pPr>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pPr>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pPr>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rPr>
      </w:pPr>
    </w:p>
    <w:p>
      <w:pPr>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rPr>
      </w:pP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pPr>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rPr>
      </w:pP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pPr>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rPr>
      </w:pP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pPr>
        <w:widowControl w:val="0"/>
        <w:kinsoku/>
        <w:wordWrap/>
        <w:overflowPunct/>
        <w:topLinePunct w:val="0"/>
        <w:autoSpaceDE/>
        <w:autoSpaceDN/>
        <w:bidi w:val="0"/>
        <w:adjustRightInd/>
        <w:snapToGrid w:val="0"/>
        <w:spacing w:line="520" w:lineRule="exact"/>
        <w:ind w:firstLine="1280" w:firstLineChars="400"/>
        <w:textAlignment w:val="auto"/>
        <w:rPr>
          <w:rFonts w:hint="eastAsia" w:ascii="仿宋" w:hAnsi="仿宋" w:eastAsia="仿宋" w:cs="仿宋"/>
          <w:color w:val="auto"/>
          <w:sz w:val="32"/>
          <w:szCs w:val="32"/>
        </w:rPr>
      </w:pPr>
    </w:p>
    <w:p>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pStyle w:val="8"/>
        <w:widowControl w:val="0"/>
        <w:kinsoku/>
        <w:wordWrap/>
        <w:overflowPunct/>
        <w:topLinePunct w:val="0"/>
        <w:autoSpaceDE/>
        <w:autoSpaceDN/>
        <w:bidi w:val="0"/>
        <w:adjustRightInd/>
        <w:snapToGrid w:val="0"/>
        <w:spacing w:after="120" w:line="520" w:lineRule="exact"/>
        <w:ind w:firstLine="0" w:firstLineChars="0"/>
        <w:jc w:val="both"/>
        <w:textAlignment w:val="auto"/>
        <w:rPr>
          <w:rFonts w:hint="eastAsia" w:ascii="仿宋" w:hAnsi="仿宋" w:eastAsia="仿宋" w:cs="仿宋"/>
          <w:color w:val="auto"/>
          <w:sz w:val="32"/>
          <w:szCs w:val="32"/>
        </w:rPr>
      </w:pPr>
    </w:p>
    <w:p>
      <w:pPr>
        <w:pStyle w:val="8"/>
        <w:widowControl w:val="0"/>
        <w:kinsoku/>
        <w:wordWrap/>
        <w:overflowPunct/>
        <w:topLinePunct w:val="0"/>
        <w:autoSpaceDE/>
        <w:autoSpaceDN/>
        <w:bidi w:val="0"/>
        <w:adjustRightInd/>
        <w:snapToGrid w:val="0"/>
        <w:spacing w:after="120" w:line="520" w:lineRule="exact"/>
        <w:ind w:firstLine="0" w:firstLineChars="0"/>
        <w:jc w:val="both"/>
        <w:textAlignment w:val="auto"/>
        <w:rPr>
          <w:rFonts w:hint="eastAsia" w:ascii="仿宋" w:hAnsi="仿宋" w:eastAsia="仿宋" w:cs="仿宋"/>
          <w:color w:val="auto"/>
          <w:sz w:val="32"/>
          <w:szCs w:val="32"/>
        </w:rPr>
      </w:pPr>
    </w:p>
    <w:p>
      <w:pPr>
        <w:pStyle w:val="8"/>
        <w:widowControl w:val="0"/>
        <w:kinsoku/>
        <w:wordWrap/>
        <w:overflowPunct/>
        <w:topLinePunct w:val="0"/>
        <w:autoSpaceDE/>
        <w:autoSpaceDN/>
        <w:bidi w:val="0"/>
        <w:adjustRightInd/>
        <w:snapToGrid w:val="0"/>
        <w:spacing w:after="120" w:line="520" w:lineRule="exact"/>
        <w:ind w:firstLine="4480" w:firstLineChars="14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pPr>
        <w:widowControl/>
        <w:jc w:val="left"/>
        <w:rPr>
          <w:rFonts w:ascii="Times New Roman" w:hAnsi="Times New Roman"/>
          <w:color w:val="auto"/>
          <w:sz w:val="24"/>
          <w:szCs w:val="24"/>
        </w:rPr>
      </w:pPr>
    </w:p>
    <w:p>
      <w:pPr>
        <w:spacing w:line="440" w:lineRule="exact"/>
        <w:jc w:val="center"/>
        <w:rPr>
          <w:rFonts w:ascii="Times New Roman" w:hAnsi="Times New Roman" w:eastAsia="黑体"/>
          <w:color w:val="auto"/>
          <w:sz w:val="27"/>
          <w:szCs w:val="27"/>
        </w:rPr>
      </w:pPr>
    </w:p>
    <w:p>
      <w:pPr>
        <w:spacing w:line="440" w:lineRule="exact"/>
        <w:ind w:firstLine="420" w:firstLineChars="200"/>
        <w:rPr>
          <w:rFonts w:ascii="Times New Roman" w:hAnsi="Times New Roman"/>
          <w:color w:val="auto"/>
          <w:szCs w:val="21"/>
        </w:rPr>
      </w:pPr>
    </w:p>
    <w:p>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pPr>
        <w:pStyle w:val="2"/>
        <w:pageBreakBefore w:val="0"/>
        <w:numPr>
          <w:ilvl w:val="0"/>
          <w:numId w:val="0"/>
        </w:numPr>
        <w:kinsoku/>
        <w:wordWrap/>
        <w:overflowPunct/>
        <w:topLinePunct w:val="0"/>
        <w:autoSpaceDE/>
        <w:autoSpaceDN/>
        <w:bidi w:val="0"/>
        <w:adjustRightInd/>
        <w:snapToGrid/>
        <w:spacing w:line="480" w:lineRule="auto"/>
        <w:jc w:val="left"/>
        <w:rPr>
          <w:rFonts w:hint="eastAsia" w:ascii="Times New Roman" w:hAnsi="Times New Roman" w:eastAsia="宋体" w:cs="Times New Roman"/>
          <w:b/>
          <w:bCs/>
          <w:color w:val="auto"/>
          <w:kern w:val="2"/>
          <w:sz w:val="32"/>
          <w:szCs w:val="32"/>
          <w:lang w:val="en-US" w:eastAsia="zh-CN" w:bidi="ar-SA"/>
        </w:rPr>
      </w:pPr>
      <w:bookmarkStart w:id="200" w:name="_Toc504488775"/>
      <w:bookmarkStart w:id="201" w:name="_Toc1755"/>
    </w:p>
    <w:p>
      <w:pPr>
        <w:pStyle w:val="2"/>
        <w:pageBreakBefore w:val="0"/>
        <w:numPr>
          <w:ilvl w:val="0"/>
          <w:numId w:val="0"/>
        </w:numPr>
        <w:kinsoku/>
        <w:wordWrap/>
        <w:overflowPunct/>
        <w:topLinePunct w:val="0"/>
        <w:autoSpaceDE/>
        <w:autoSpaceDN/>
        <w:bidi w:val="0"/>
        <w:adjustRightInd/>
        <w:snapToGrid/>
        <w:spacing w:line="480" w:lineRule="auto"/>
        <w:jc w:val="left"/>
        <w:rPr>
          <w:rFonts w:hint="default"/>
          <w:lang w:val="en-US" w:eastAsia="zh-CN"/>
        </w:rPr>
      </w:pPr>
      <w:r>
        <w:rPr>
          <w:rFonts w:hint="eastAsia" w:ascii="Times New Roman" w:hAnsi="Times New Roman" w:eastAsia="宋体" w:cs="Times New Roman"/>
          <w:b/>
          <w:bCs/>
          <w:color w:val="auto"/>
          <w:kern w:val="2"/>
          <w:sz w:val="32"/>
          <w:szCs w:val="32"/>
          <w:lang w:val="en-US" w:eastAsia="zh-CN" w:bidi="ar-SA"/>
        </w:rPr>
        <w:t>五、分项报价</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计量单位：元/瓶</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896"/>
        <w:gridCol w:w="2340"/>
        <w:gridCol w:w="3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48"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序号</w:t>
            </w:r>
          </w:p>
        </w:tc>
        <w:tc>
          <w:tcPr>
            <w:tcW w:w="1896"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物资名称</w:t>
            </w:r>
          </w:p>
        </w:tc>
        <w:tc>
          <w:tcPr>
            <w:tcW w:w="2340"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规格型号</w:t>
            </w:r>
          </w:p>
        </w:tc>
        <w:tc>
          <w:tcPr>
            <w:tcW w:w="337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报价，（如有不同税率，报价方请自行换算成       13%的税率）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48"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w:t>
            </w:r>
          </w:p>
        </w:tc>
        <w:tc>
          <w:tcPr>
            <w:tcW w:w="1896"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乙炔气</w:t>
            </w:r>
          </w:p>
        </w:tc>
        <w:tc>
          <w:tcPr>
            <w:tcW w:w="2340" w:type="dxa"/>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40L</w:t>
            </w:r>
          </w:p>
        </w:tc>
        <w:tc>
          <w:tcPr>
            <w:tcW w:w="337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48"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2</w:t>
            </w:r>
          </w:p>
        </w:tc>
        <w:tc>
          <w:tcPr>
            <w:tcW w:w="1896"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氩气</w:t>
            </w:r>
          </w:p>
        </w:tc>
        <w:tc>
          <w:tcPr>
            <w:tcW w:w="2340"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40L</w:t>
            </w:r>
          </w:p>
        </w:tc>
        <w:tc>
          <w:tcPr>
            <w:tcW w:w="337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48"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3</w:t>
            </w:r>
          </w:p>
        </w:tc>
        <w:tc>
          <w:tcPr>
            <w:tcW w:w="1896"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高纯氩气</w:t>
            </w:r>
          </w:p>
        </w:tc>
        <w:tc>
          <w:tcPr>
            <w:tcW w:w="2340"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99.999%  40L</w:t>
            </w:r>
          </w:p>
        </w:tc>
        <w:tc>
          <w:tcPr>
            <w:tcW w:w="337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48"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4</w:t>
            </w:r>
          </w:p>
        </w:tc>
        <w:tc>
          <w:tcPr>
            <w:tcW w:w="1896"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高纯液氩</w:t>
            </w:r>
          </w:p>
        </w:tc>
        <w:tc>
          <w:tcPr>
            <w:tcW w:w="2340" w:type="dxa"/>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175L  99.999%</w:t>
            </w:r>
          </w:p>
        </w:tc>
        <w:tc>
          <w:tcPr>
            <w:tcW w:w="337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48"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423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合计（单价合计）</w:t>
            </w:r>
          </w:p>
        </w:tc>
        <w:tc>
          <w:tcPr>
            <w:tcW w:w="337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bl>
    <w:p>
      <w:pPr>
        <w:bidi w:val="0"/>
        <w:jc w:val="left"/>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备注：缺项报价无效</w:t>
      </w:r>
    </w:p>
    <w:p>
      <w:pPr>
        <w:bidi w:val="0"/>
        <w:ind w:firstLine="2400" w:firstLineChars="800"/>
        <w:jc w:val="left"/>
        <w:rPr>
          <w:rFonts w:hint="eastAsia" w:ascii="仿宋" w:hAnsi="仿宋" w:eastAsia="仿宋" w:cs="仿宋"/>
          <w:color w:val="auto"/>
          <w:kern w:val="0"/>
          <w:sz w:val="30"/>
          <w:szCs w:val="30"/>
          <w:u w:val="single"/>
          <w:lang w:val="en-US" w:eastAsia="zh-CN"/>
        </w:rPr>
      </w:pPr>
      <w:r>
        <w:rPr>
          <w:rFonts w:hint="eastAsia" w:ascii="仿宋" w:hAnsi="仿宋" w:eastAsia="仿宋" w:cs="仿宋"/>
          <w:color w:val="auto"/>
          <w:kern w:val="0"/>
          <w:sz w:val="30"/>
          <w:szCs w:val="30"/>
          <w:lang w:val="en-US" w:eastAsia="zh-CN"/>
        </w:rPr>
        <w:t>报价单位签字盖章：</w:t>
      </w:r>
      <w:r>
        <w:rPr>
          <w:rFonts w:hint="eastAsia" w:ascii="仿宋" w:hAnsi="仿宋" w:eastAsia="仿宋" w:cs="仿宋"/>
          <w:color w:val="auto"/>
          <w:kern w:val="0"/>
          <w:sz w:val="30"/>
          <w:szCs w:val="30"/>
          <w:u w:val="single"/>
          <w:lang w:val="en-US" w:eastAsia="zh-CN"/>
        </w:rPr>
        <w:t xml:space="preserve">                           </w:t>
      </w:r>
    </w:p>
    <w:p>
      <w:pPr>
        <w:bidi w:val="0"/>
        <w:ind w:firstLine="4800" w:firstLineChars="1600"/>
        <w:jc w:val="left"/>
        <w:rPr>
          <w:rFonts w:hint="eastAsia" w:ascii="仿宋" w:hAnsi="仿宋" w:eastAsia="仿宋" w:cs="仿宋"/>
          <w:color w:val="auto"/>
          <w:kern w:val="0"/>
          <w:sz w:val="30"/>
          <w:szCs w:val="30"/>
          <w:u w:val="single"/>
          <w:lang w:val="en-US" w:eastAsia="zh-CN"/>
        </w:rPr>
      </w:pPr>
    </w:p>
    <w:p>
      <w:pPr>
        <w:bidi w:val="0"/>
        <w:ind w:firstLine="4800" w:firstLineChars="1600"/>
        <w:jc w:val="left"/>
        <w:rPr>
          <w:rFonts w:ascii="Times New Roman" w:hAnsi="Times New Roman"/>
          <w:color w:val="auto"/>
        </w:rPr>
      </w:pP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年</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月</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日</w:t>
      </w:r>
      <w:r>
        <w:rPr>
          <w:rFonts w:hint="eastAsia" w:ascii="仿宋" w:hAnsi="仿宋" w:eastAsia="仿宋" w:cs="仿宋"/>
          <w:color w:val="auto"/>
          <w:kern w:val="0"/>
          <w:sz w:val="30"/>
          <w:szCs w:val="30"/>
        </w:rPr>
        <w:br w:type="page"/>
      </w:r>
      <w:r>
        <w:rPr>
          <w:rFonts w:hint="eastAsia" w:ascii="Times New Roman" w:hAnsi="Times New Roman"/>
          <w:color w:val="auto"/>
          <w:kern w:val="0"/>
          <w:sz w:val="36"/>
          <w:szCs w:val="36"/>
          <w:lang w:val="en-US" w:eastAsia="zh-CN"/>
        </w:rPr>
        <w:t xml:space="preserve">  六</w:t>
      </w:r>
      <w:r>
        <w:rPr>
          <w:rFonts w:hint="eastAsia" w:ascii="Times New Roman" w:hAnsi="Times New Roman"/>
          <w:color w:val="auto"/>
          <w:sz w:val="36"/>
          <w:szCs w:val="36"/>
        </w:rPr>
        <w:t>、资格审查资料</w:t>
      </w:r>
      <w:bookmarkEnd w:id="200"/>
      <w:bookmarkEnd w:id="201"/>
    </w:p>
    <w:p>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pPr>
        <w:rPr>
          <w:b/>
          <w:color w:val="auto"/>
          <w:sz w:val="28"/>
          <w:szCs w:val="28"/>
        </w:rPr>
      </w:pPr>
      <w:r>
        <w:rPr>
          <w:rFonts w:hint="eastAsia" w:ascii="宋体" w:hAnsi="宋体" w:eastAsia="宋体" w:cs="宋体"/>
          <w:color w:val="auto"/>
          <w:sz w:val="24"/>
          <w:szCs w:val="24"/>
        </w:rPr>
        <w:br w:type="page"/>
      </w:r>
    </w:p>
    <w:p>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pPr>
        <w:spacing w:line="440" w:lineRule="exact"/>
        <w:ind w:firstLine="643" w:firstLineChars="200"/>
        <w:jc w:val="left"/>
        <w:rPr>
          <w:rFonts w:hint="eastAsia" w:ascii="仿宋" w:hAnsi="仿宋" w:eastAsia="仿宋" w:cs="仿宋"/>
          <w:b/>
          <w:color w:val="auto"/>
          <w:sz w:val="32"/>
          <w:szCs w:val="32"/>
          <w:u w:val="single"/>
        </w:rPr>
      </w:pP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p/>
    <w:p/>
    <w:p/>
    <w:p/>
    <w:p/>
    <w:p/>
    <w:p/>
    <w:p/>
    <w:p/>
    <w:p/>
    <w:p/>
    <w:p/>
    <w:p/>
    <w:p/>
    <w:p/>
    <w:p/>
    <w:p/>
    <w:p/>
    <w:p/>
    <w:p>
      <w:pPr>
        <w:pStyle w:val="3"/>
        <w:ind w:firstLine="103"/>
        <w:rPr>
          <w:rFonts w:ascii="Times New Roman"/>
          <w:color w:val="auto"/>
          <w:sz w:val="32"/>
          <w:szCs w:val="32"/>
        </w:rPr>
      </w:pP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pPr>
        <w:spacing w:line="440" w:lineRule="exact"/>
        <w:ind w:firstLine="480" w:firstLineChars="200"/>
        <w:rPr>
          <w:color w:val="auto"/>
          <w:sz w:val="24"/>
          <w:szCs w:val="24"/>
        </w:rPr>
      </w:pPr>
    </w:p>
    <w:p>
      <w:pPr>
        <w:spacing w:line="440" w:lineRule="exact"/>
        <w:rPr>
          <w:rFonts w:ascii="Times New Roman" w:hAnsi="Times New Roman"/>
          <w:color w:val="auto"/>
        </w:rPr>
      </w:pPr>
    </w:p>
    <w:p>
      <w:pPr>
        <w:spacing w:line="440" w:lineRule="exact"/>
        <w:rPr>
          <w:rFonts w:ascii="Times New Roman" w:hAnsi="Times New Roman"/>
          <w:color w:val="auto"/>
        </w:rPr>
      </w:pPr>
    </w:p>
    <w:p>
      <w:pPr>
        <w:topLinePunct/>
        <w:spacing w:line="440" w:lineRule="exact"/>
        <w:rPr>
          <w:rFonts w:ascii="Times New Roman" w:hAnsi="Times New Roman"/>
          <w:color w:val="auto"/>
        </w:rPr>
      </w:pPr>
      <w:r>
        <w:rPr>
          <w:rFonts w:ascii="Times New Roman" w:hAnsi="Times New Roman"/>
          <w:color w:val="auto"/>
        </w:rPr>
        <w:br w:type="page"/>
      </w:r>
    </w:p>
    <w:p>
      <w:pPr>
        <w:spacing w:line="440" w:lineRule="exact"/>
        <w:rPr>
          <w:rFonts w:ascii="Times New Roman"/>
          <w:b/>
          <w:bCs/>
          <w:color w:val="auto"/>
          <w:sz w:val="32"/>
          <w:szCs w:val="32"/>
        </w:rPr>
      </w:pPr>
      <w:bookmarkStart w:id="204" w:name="_Toc14234"/>
      <w:bookmarkStart w:id="205"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4"/>
      <w:bookmarkEnd w:id="205"/>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pPr>
        <w:spacing w:line="440" w:lineRule="exact"/>
        <w:rPr>
          <w:rFonts w:hint="eastAsia" w:ascii="Times New Roman"/>
          <w:b/>
          <w:bCs/>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pPr>
        <w:rPr>
          <w:rFonts w:hint="eastAsia" w:ascii="Times New Roman" w:hAnsi="Times New Roman"/>
          <w:color w:val="auto"/>
        </w:rPr>
      </w:pPr>
    </w:p>
    <w:p>
      <w:pPr>
        <w:pStyle w:val="2"/>
        <w:spacing w:line="400" w:lineRule="exact"/>
        <w:jc w:val="both"/>
        <w:rPr>
          <w:rFonts w:hint="eastAsia" w:ascii="仿宋" w:hAnsi="仿宋" w:eastAsia="仿宋" w:cs="仿宋"/>
          <w:color w:val="auto"/>
          <w:sz w:val="32"/>
          <w:szCs w:val="32"/>
          <w:lang w:val="en-US" w:eastAsia="zh-CN"/>
        </w:rPr>
      </w:pPr>
      <w:bookmarkStart w:id="206" w:name="_Toc22199"/>
      <w:bookmarkStart w:id="207" w:name="_Toc504488783"/>
    </w:p>
    <w:p>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6"/>
    <w:bookmarkEnd w:id="207"/>
    <w:p>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24FC33AD"/>
    <w:rsid w:val="14726477"/>
    <w:rsid w:val="24FC33AD"/>
    <w:rsid w:val="29324D2E"/>
    <w:rsid w:val="354D79A5"/>
    <w:rsid w:val="5B07179B"/>
    <w:rsid w:val="615573BE"/>
    <w:rsid w:val="73B9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autoRedefine/>
    <w:qFormat/>
    <w:uiPriority w:val="0"/>
    <w:pPr>
      <w:spacing w:after="120"/>
      <w:ind w:left="420" w:leftChars="200"/>
    </w:pPr>
    <w:rPr>
      <w:rFonts w:ascii="Times New Roman" w:hAnsi="Times New Roman" w:eastAsia="宋体" w:cs="Times New Roman"/>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paragraph" w:customStyle="1" w:styleId="14">
    <w:name w:val="Normal_8"/>
    <w:autoRedefine/>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7487</Words>
  <Characters>7744</Characters>
  <Lines>0</Lines>
  <Paragraphs>0</Paragraphs>
  <TotalTime>2</TotalTime>
  <ScaleCrop>false</ScaleCrop>
  <LinksUpToDate>false</LinksUpToDate>
  <CharactersWithSpaces>8197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2025-12-18T05:29:00Z</dcterms:created>
  <dc:creator>瞬间无语</dc:creator>
  <cp:lastModifiedBy>瞬间无语</cp:lastModifiedBy>
  <cp:lastPrinted>2026-06-11T06:19:22Z</cp:lastPrinted>
  <dcterms:modified xsi:type="dcterms:W3CDTF">2026-06-11T06:19:28Z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E92AB2FACDD4406B9BF6D5396BA2894F_11</vt:lpwstr>
  </property>
  <property fmtid="{D5CDD505-2E9C-101B-9397-08002B2CF9AE}" pid="4" name="KSOTemplateDocerSaveRecord">
    <vt:lpwstr>eyJoZGlkIjoiY2IxODczYmMzOTcyYmM0NzgyNTU5ODFiNzc0MzFlMTQiLCJ1c2VySWQiOiI1MjE0ODc1ODYifQ==</vt:lpwstr>
  </property>
</Properties>
</file>