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left="0" w:firstLine="0"/>
        <w:jc w:val="center"/>
        <w:rPr>
          <w:rStyle w:val="11"/>
          <w:rFonts w:hint="eastAsia" w:ascii="方正粗黑宋简体" w:hAnsi="方正粗黑宋简体" w:eastAsia="方正粗黑宋简体" w:cs="方正粗黑宋简体"/>
          <w:i w:val="0"/>
          <w:iCs w:val="0"/>
          <w:caps w:val="0"/>
          <w:color w:val="000000"/>
          <w:spacing w:val="0"/>
          <w:sz w:val="32"/>
          <w:szCs w:val="32"/>
        </w:rPr>
      </w:pPr>
      <w:r>
        <w:rPr>
          <w:rStyle w:val="11"/>
          <w:rFonts w:hint="eastAsia" w:ascii="方正粗黑宋简体" w:hAnsi="方正粗黑宋简体" w:eastAsia="方正粗黑宋简体" w:cs="方正粗黑宋简体"/>
          <w:i w:val="0"/>
          <w:iCs w:val="0"/>
          <w:caps w:val="0"/>
          <w:color w:val="000000"/>
          <w:spacing w:val="0"/>
          <w:sz w:val="32"/>
          <w:szCs w:val="32"/>
        </w:rPr>
        <w:t>陕西锌业有限公司</w:t>
      </w:r>
    </w:p>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2026年下半年石灰采购项目</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文件</w:t>
      </w:r>
    </w:p>
    <w:p>
      <w:pPr>
        <w:keepNext w:val="0"/>
        <w:keepLines w:val="0"/>
        <w:pageBreakBefore w:val="0"/>
        <w:kinsoku/>
        <w:wordWrap/>
        <w:overflowPunct/>
        <w:topLinePunct w:val="0"/>
        <w:autoSpaceDE/>
        <w:autoSpaceDN/>
        <w:bidi w:val="0"/>
        <w:adjustRightInd/>
        <w:snapToGrid/>
        <w:spacing w:line="43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pPr>
        <w:keepNext w:val="0"/>
        <w:keepLines w:val="0"/>
        <w:pageBreakBefore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w:t>
      </w:r>
      <w:r>
        <w:rPr>
          <w:rStyle w:val="11"/>
          <w:rFonts w:hint="eastAsia" w:ascii="仿宋" w:hAnsi="仿宋" w:eastAsia="仿宋" w:cs="仿宋"/>
          <w:b w:val="0"/>
          <w:bCs/>
          <w:i w:val="0"/>
          <w:iCs w:val="0"/>
          <w:caps w:val="0"/>
          <w:color w:val="000000"/>
          <w:spacing w:val="0"/>
          <w:sz w:val="28"/>
          <w:szCs w:val="28"/>
          <w:lang w:val="en-US" w:eastAsia="zh-CN"/>
        </w:rPr>
        <w:t>石灰</w:t>
      </w:r>
      <w:r>
        <w:rPr>
          <w:rFonts w:hint="eastAsia" w:ascii="仿宋" w:hAnsi="仿宋" w:eastAsia="仿宋" w:cs="仿宋"/>
          <w:i w:val="0"/>
          <w:iCs w:val="0"/>
          <w:caps w:val="0"/>
          <w:color w:val="000000"/>
          <w:spacing w:val="0"/>
          <w:sz w:val="28"/>
          <w:szCs w:val="28"/>
          <w:lang w:val="en-US" w:eastAsia="zh-CN"/>
        </w:rPr>
        <w:t>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pPr>
        <w:pStyle w:val="2"/>
        <w:pageBreakBefore w:val="0"/>
        <w:numPr>
          <w:ilvl w:val="0"/>
          <w:numId w:val="0"/>
        </w:numPr>
        <w:kinsoku/>
        <w:wordWrap/>
        <w:overflowPunct/>
        <w:topLinePunct w:val="0"/>
        <w:autoSpaceDE/>
        <w:autoSpaceDN/>
        <w:bidi w:val="0"/>
        <w:snapToGrid/>
        <w:spacing w:before="0" w:after="0" w:line="430" w:lineRule="exact"/>
        <w:ind w:firstLine="562" w:firstLineChars="200"/>
        <w:jc w:val="both"/>
        <w:rPr>
          <w:rFonts w:hint="default" w:ascii="仿宋" w:hAnsi="仿宋" w:eastAsia="仿宋" w:cs="仿宋"/>
          <w:b/>
          <w:bCs/>
          <w:color w:val="auto"/>
          <w:sz w:val="28"/>
          <w:szCs w:val="28"/>
          <w:lang w:val="en-US"/>
        </w:rPr>
      </w:pPr>
      <w:bookmarkStart w:id="0" w:name="_Toc4593"/>
      <w:bookmarkStart w:id="1" w:name="_Toc20230"/>
      <w:bookmarkStart w:id="2" w:name="_Toc33795775"/>
      <w:bookmarkStart w:id="3" w:name="_Toc1444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pPr>
        <w:pStyle w:val="2"/>
        <w:pageBreakBefore w:val="0"/>
        <w:numPr>
          <w:ilvl w:val="0"/>
          <w:numId w:val="0"/>
        </w:numPr>
        <w:kinsoku/>
        <w:wordWrap/>
        <w:overflowPunct/>
        <w:topLinePunct w:val="0"/>
        <w:autoSpaceDE/>
        <w:autoSpaceDN/>
        <w:bidi w:val="0"/>
        <w:snapToGrid/>
        <w:spacing w:before="0" w:after="0" w:line="43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11471"/>
      <w:bookmarkStart w:id="6" w:name="_Toc14565"/>
      <w:bookmarkStart w:id="7" w:name="_Toc7037"/>
      <w:r>
        <w:rPr>
          <w:rFonts w:hint="eastAsia" w:ascii="仿宋" w:hAnsi="仿宋" w:eastAsia="仿宋" w:cs="仿宋"/>
          <w:color w:val="auto"/>
          <w:sz w:val="28"/>
          <w:szCs w:val="28"/>
          <w:lang w:eastAsia="zh-CN"/>
        </w:rPr>
        <w:t>陕西锌业有限公司</w:t>
      </w:r>
      <w:r>
        <w:rPr>
          <w:rStyle w:val="11"/>
          <w:rFonts w:hint="eastAsia" w:ascii="仿宋" w:hAnsi="仿宋" w:eastAsia="仿宋" w:cs="仿宋"/>
          <w:b w:val="0"/>
          <w:bCs/>
          <w:i w:val="0"/>
          <w:iCs w:val="0"/>
          <w:caps w:val="0"/>
          <w:color w:val="000000"/>
          <w:spacing w:val="0"/>
          <w:sz w:val="28"/>
          <w:szCs w:val="28"/>
          <w:lang w:val="en-US" w:eastAsia="zh-CN"/>
        </w:rPr>
        <w:t>石灰</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pPr>
        <w:keepNext w:val="0"/>
        <w:keepLines w:val="0"/>
        <w:pageBreakBefore w:val="0"/>
        <w:numPr>
          <w:ilvl w:val="0"/>
          <w:numId w:val="0"/>
        </w:numPr>
        <w:kinsoku/>
        <w:wordWrap/>
        <w:overflowPunct/>
        <w:topLinePunct w:val="0"/>
        <w:autoSpaceDE/>
        <w:autoSpaceDN/>
        <w:bidi w:val="0"/>
        <w:adjustRightInd/>
        <w:snapToGrid/>
        <w:spacing w:line="430" w:lineRule="exact"/>
        <w:ind w:firstLine="280" w:firstLine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（五）数量：约300吨</w:t>
      </w:r>
    </w:p>
    <w:p>
      <w:pPr>
        <w:keepNext w:val="0"/>
        <w:keepLines w:val="0"/>
        <w:pageBreakBefore w:val="0"/>
        <w:widowControl w:val="0"/>
        <w:kinsoku/>
        <w:wordWrap/>
        <w:overflowPunct/>
        <w:topLinePunct w:val="0"/>
        <w:autoSpaceDE/>
        <w:autoSpaceDN/>
        <w:bidi w:val="0"/>
        <w:adjustRightInd w:val="0"/>
        <w:snapToGrid/>
        <w:spacing w:line="43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p>
    <w:p>
      <w:pPr>
        <w:keepNext w:val="0"/>
        <w:keepLines w:val="0"/>
        <w:pageBreakBefore w:val="0"/>
        <w:numPr>
          <w:ilvl w:val="0"/>
          <w:numId w:val="0"/>
        </w:numPr>
        <w:kinsoku/>
        <w:wordWrap/>
        <w:overflowPunct/>
        <w:topLinePunct w:val="0"/>
        <w:autoSpaceDE/>
        <w:autoSpaceDN/>
        <w:bidi w:val="0"/>
        <w:adjustRightInd/>
        <w:snapToGrid/>
        <w:spacing w:line="430" w:lineRule="exact"/>
        <w:ind w:firstLine="1120" w:firstLineChars="400"/>
        <w:textAlignment w:val="auto"/>
        <w:rPr>
          <w:rFonts w:hint="eastAsia" w:ascii="仿宋" w:hAnsi="仿宋" w:eastAsia="仿宋" w:cs="仿宋"/>
          <w:b w:val="0"/>
          <w:bCs w:val="0"/>
          <w:sz w:val="28"/>
          <w:szCs w:val="28"/>
        </w:rPr>
      </w:pPr>
      <w:r>
        <w:rPr>
          <w:rFonts w:hint="eastAsia" w:ascii="仿宋" w:hAnsi="仿宋" w:eastAsia="仿宋" w:cs="仿宋"/>
          <w:color w:val="auto"/>
          <w:sz w:val="28"/>
          <w:szCs w:val="28"/>
          <w:lang w:val="en-US" w:eastAsia="zh-CN"/>
        </w:rPr>
        <w:t>石 灰：</w:t>
      </w:r>
      <w:r>
        <w:rPr>
          <w:rFonts w:hint="eastAsia" w:ascii="仿宋" w:hAnsi="仿宋" w:eastAsia="仿宋" w:cs="仿宋"/>
          <w:b w:val="0"/>
          <w:bCs w:val="0"/>
          <w:sz w:val="28"/>
          <w:szCs w:val="28"/>
        </w:rPr>
        <w:t>Ca0≥</w:t>
      </w:r>
      <w:r>
        <w:rPr>
          <w:rFonts w:hint="eastAsia" w:ascii="仿宋" w:hAnsi="仿宋" w:eastAsia="仿宋" w:cs="仿宋"/>
          <w:b w:val="0"/>
          <w:bCs w:val="0"/>
          <w:sz w:val="28"/>
          <w:szCs w:val="28"/>
          <w:lang w:val="en-US" w:eastAsia="zh-CN"/>
        </w:rPr>
        <w:t>80-9</w:t>
      </w:r>
      <w:r>
        <w:rPr>
          <w:rFonts w:hint="eastAsia" w:ascii="仿宋" w:hAnsi="仿宋" w:eastAsia="仿宋" w:cs="仿宋"/>
          <w:b w:val="0"/>
          <w:bCs w:val="0"/>
          <w:sz w:val="28"/>
          <w:szCs w:val="28"/>
        </w:rPr>
        <w:t>0%，粒度为</w:t>
      </w:r>
      <w:r>
        <w:rPr>
          <w:rFonts w:hint="eastAsia" w:ascii="仿宋" w:hAnsi="仿宋" w:eastAsia="仿宋" w:cs="仿宋"/>
          <w:b w:val="0"/>
          <w:bCs w:val="0"/>
          <w:sz w:val="28"/>
          <w:szCs w:val="28"/>
          <w:lang w:val="en-US" w:eastAsia="zh-CN"/>
        </w:rPr>
        <w:t>20</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0mm、</w:t>
      </w:r>
      <w:r>
        <w:rPr>
          <w:rFonts w:hint="eastAsia" w:ascii="仿宋" w:hAnsi="仿宋" w:eastAsia="仿宋" w:cs="仿宋"/>
          <w:b w:val="0"/>
          <w:bCs w:val="0"/>
          <w:sz w:val="28"/>
          <w:szCs w:val="28"/>
          <w:lang w:eastAsia="zh-CN"/>
        </w:rPr>
        <w:t>水≤</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即溶水、少杂质。</w:t>
      </w:r>
    </w:p>
    <w:p>
      <w:pPr>
        <w:keepNext w:val="0"/>
        <w:keepLines w:val="0"/>
        <w:pageBreakBefore w:val="0"/>
        <w:widowControl w:val="0"/>
        <w:kinsoku/>
        <w:wordWrap/>
        <w:overflowPunct/>
        <w:topLinePunct w:val="0"/>
        <w:autoSpaceDE/>
        <w:autoSpaceDN/>
        <w:bidi w:val="0"/>
        <w:adjustRightInd w:val="0"/>
        <w:snapToGrid/>
        <w:spacing w:line="43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29895"/>
      <w:bookmarkStart w:id="9" w:name="_Toc14196"/>
      <w:bookmarkStart w:id="10" w:name="_Toc14688"/>
      <w:bookmarkStart w:id="11" w:name="_Toc33795778"/>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pPr>
        <w:keepNext w:val="0"/>
        <w:keepLines w:val="0"/>
        <w:pageBreakBefore w:val="0"/>
        <w:widowControl w:val="0"/>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散装或袋装</w:t>
      </w:r>
      <w:r>
        <w:rPr>
          <w:rFonts w:hint="eastAsia" w:ascii="仿宋" w:hAnsi="仿宋" w:eastAsia="仿宋" w:cs="仿宋"/>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pPr>
        <w:keepNext w:val="0"/>
        <w:keepLines w:val="0"/>
        <w:pageBreakBefore w:val="0"/>
        <w:widowControl w:val="0"/>
        <w:kinsoku/>
        <w:wordWrap/>
        <w:overflowPunct/>
        <w:topLinePunct w:val="0"/>
        <w:autoSpaceDE/>
        <w:autoSpaceDN/>
        <w:bidi w:val="0"/>
        <w:adjustRightInd/>
        <w:snapToGrid/>
        <w:spacing w:line="43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13%增值税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如有不同税率，报价方自行换算成13%的报价。合同签订时，再换算成实际开票税率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pPr>
        <w:keepNext w:val="0"/>
        <w:keepLines w:val="0"/>
        <w:pageBreakBefore w:val="0"/>
        <w:widowControl/>
        <w:suppressLineNumbers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pPr>
        <w:pageBreakBefore w:val="0"/>
        <w:numPr>
          <w:ilvl w:val="0"/>
          <w:numId w:val="0"/>
        </w:numPr>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供应商2023年5月至今具有石灰业绩（提供合同复印件，时间以合同签订时间为准）；</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pPr>
        <w:pageBreakBefore w:val="0"/>
        <w:kinsoku/>
        <w:wordWrap/>
        <w:overflowPunct/>
        <w:topLinePunct w:val="0"/>
        <w:autoSpaceDE/>
        <w:autoSpaceDN/>
        <w:bidi w:val="0"/>
        <w:snapToGrid/>
        <w:spacing w:line="430" w:lineRule="exact"/>
        <w:ind w:left="0" w:firstLine="280" w:firstLineChars="100"/>
        <w:jc w:val="both"/>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pPr>
        <w:pStyle w:val="3"/>
        <w:pageBreakBefore w:val="0"/>
        <w:kinsoku/>
        <w:wordWrap/>
        <w:overflowPunct/>
        <w:topLinePunct w:val="0"/>
        <w:autoSpaceDE/>
        <w:autoSpaceDN/>
        <w:bidi w:val="0"/>
        <w:snapToGrid/>
        <w:spacing w:before="0" w:after="0" w:line="43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pPr>
        <w:pageBreakBefore w:val="0"/>
        <w:kinsoku/>
        <w:wordWrap/>
        <w:overflowPunct/>
        <w:topLinePunct w:val="0"/>
        <w:autoSpaceDE/>
        <w:autoSpaceDN/>
        <w:bidi w:val="0"/>
        <w:snapToGrid/>
        <w:spacing w:line="430" w:lineRule="exact"/>
        <w:rPr>
          <w:rFonts w:hint="default"/>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84308223"/>
      <w:bookmarkStart w:id="13" w:name="_Toc300834963"/>
      <w:bookmarkStart w:id="14" w:name="_Toc369531529"/>
      <w:bookmarkStart w:id="15" w:name="_Toc25772"/>
      <w:bookmarkStart w:id="16" w:name="_Toc152042318"/>
      <w:bookmarkStart w:id="17" w:name="_Toc361508598"/>
      <w:bookmarkStart w:id="18" w:name="_Toc352691486"/>
      <w:bookmarkStart w:id="19" w:name="_Toc144974510"/>
      <w:bookmarkStart w:id="20" w:name="_Toc152045542"/>
      <w:bookmarkStart w:id="21" w:name="_Toc247513966"/>
      <w:bookmarkStart w:id="22" w:name="_Toc247527567"/>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52691487"/>
      <w:bookmarkStart w:id="25" w:name="_Toc144974511"/>
      <w:bookmarkStart w:id="26" w:name="_Toc247513967"/>
      <w:bookmarkStart w:id="27" w:name="_Toc247527568"/>
      <w:bookmarkStart w:id="28" w:name="_Toc361508599"/>
      <w:bookmarkStart w:id="29" w:name="_Toc384308224"/>
      <w:bookmarkStart w:id="30" w:name="_Toc369531530"/>
      <w:bookmarkStart w:id="31" w:name="_Toc152042319"/>
      <w:bookmarkStart w:id="32" w:name="_Toc300834964"/>
      <w:bookmarkStart w:id="33" w:name="_Toc152045543"/>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bCs/>
          <w:color w:val="auto"/>
          <w:sz w:val="28"/>
          <w:szCs w:val="28"/>
          <w:lang w:val="en-US" w:eastAsia="zh-CN"/>
        </w:rPr>
        <w:t>报价单</w:t>
      </w:r>
      <w:r>
        <w:rPr>
          <w:rFonts w:hint="eastAsia" w:ascii="仿宋" w:hAnsi="仿宋" w:eastAsia="仿宋" w:cs="仿宋"/>
          <w:b/>
          <w:bCs/>
          <w:color w:val="auto"/>
          <w:sz w:val="28"/>
          <w:szCs w:val="28"/>
          <w:lang w:eastAsia="zh-CN"/>
        </w:rPr>
        <w:t>响应有效期</w:t>
      </w:r>
      <w:r>
        <w:rPr>
          <w:rFonts w:hint="eastAsia" w:ascii="仿宋" w:hAnsi="仿宋" w:eastAsia="仿宋" w:cs="仿宋"/>
          <w:b/>
          <w:bCs/>
          <w:color w:val="auto"/>
          <w:sz w:val="28"/>
          <w:szCs w:val="28"/>
        </w:rPr>
        <w:t>从提交之日起</w:t>
      </w:r>
      <w:r>
        <w:rPr>
          <w:rFonts w:hint="eastAsia" w:ascii="仿宋" w:hAnsi="仿宋" w:eastAsia="仿宋" w:cs="仿宋"/>
          <w:b/>
          <w:bCs/>
          <w:color w:val="auto"/>
          <w:sz w:val="28"/>
          <w:szCs w:val="28"/>
          <w:lang w:val="en-US" w:eastAsia="zh-CN"/>
        </w:rPr>
        <w:t>,有效期为180</w:t>
      </w:r>
      <w:r>
        <w:rPr>
          <w:rFonts w:hint="eastAsia" w:ascii="仿宋" w:hAnsi="仿宋" w:eastAsia="仿宋" w:cs="仿宋"/>
          <w:b/>
          <w:bCs/>
          <w:color w:val="auto"/>
          <w:sz w:val="28"/>
          <w:szCs w:val="28"/>
        </w:rPr>
        <w:t>天。</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9531533"/>
      <w:bookmarkStart w:id="35" w:name="_Toc29025"/>
      <w:bookmarkStart w:id="36" w:name="_Toc361508602"/>
      <w:bookmarkStart w:id="37" w:name="_Toc352691490"/>
      <w:bookmarkStart w:id="38"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1508603"/>
      <w:bookmarkStart w:id="40" w:name="_Toc152042322"/>
      <w:bookmarkStart w:id="41" w:name="_Toc384308228"/>
      <w:bookmarkStart w:id="42" w:name="_Toc152045546"/>
      <w:bookmarkStart w:id="43" w:name="_Toc14751"/>
      <w:bookmarkStart w:id="44" w:name="_Toc144974514"/>
      <w:bookmarkStart w:id="45" w:name="_Toc247527571"/>
      <w:bookmarkStart w:id="46" w:name="_Toc247513970"/>
      <w:bookmarkStart w:id="47" w:name="_Toc352691491"/>
      <w:bookmarkStart w:id="48" w:name="_Toc369531534"/>
      <w:bookmarkStart w:id="49" w:name="_Toc300834967"/>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69531535"/>
      <w:bookmarkStart w:id="51" w:name="_Toc144974515"/>
      <w:bookmarkStart w:id="52" w:name="_Toc17952"/>
      <w:bookmarkStart w:id="53" w:name="_Toc361508604"/>
      <w:bookmarkStart w:id="54" w:name="_Toc247527572"/>
      <w:bookmarkStart w:id="55" w:name="_Toc247513971"/>
      <w:bookmarkStart w:id="56" w:name="_Toc152045547"/>
      <w:bookmarkStart w:id="57" w:name="_Toc384308229"/>
      <w:bookmarkStart w:id="58" w:name="_Toc300834968"/>
      <w:bookmarkStart w:id="59" w:name="_Toc352691492"/>
      <w:bookmarkStart w:id="60" w:name="_Toc152042323"/>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pPr>
        <w:pStyle w:val="3"/>
        <w:pageBreakBefore w:val="0"/>
        <w:kinsoku/>
        <w:wordWrap/>
        <w:overflowPunct/>
        <w:topLinePunct w:val="0"/>
        <w:autoSpaceDE/>
        <w:autoSpaceDN/>
        <w:bidi w:val="0"/>
        <w:snapToGrid/>
        <w:spacing w:before="0" w:after="0" w:line="430" w:lineRule="exact"/>
        <w:ind w:left="0" w:firstLine="280" w:firstLineChars="100"/>
        <w:jc w:val="both"/>
        <w:rPr>
          <w:rFonts w:hint="eastAsia" w:ascii="仿宋" w:hAnsi="仿宋" w:eastAsia="仿宋" w:cs="仿宋"/>
          <w:color w:val="auto"/>
          <w:sz w:val="28"/>
          <w:szCs w:val="28"/>
        </w:rPr>
      </w:pPr>
      <w:bookmarkStart w:id="61" w:name="_Toc33795794"/>
      <w:bookmarkStart w:id="62" w:name="_Toc24514"/>
      <w:bookmarkStart w:id="63" w:name="_Toc28216"/>
      <w:bookmarkStart w:id="64" w:name="_Toc218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pPr>
        <w:pStyle w:val="3"/>
        <w:pageBreakBefore w:val="0"/>
        <w:kinsoku/>
        <w:wordWrap/>
        <w:overflowPunct/>
        <w:topLinePunct w:val="0"/>
        <w:autoSpaceDE/>
        <w:autoSpaceDN/>
        <w:bidi w:val="0"/>
        <w:snapToGrid/>
        <w:spacing w:before="0" w:after="0"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pPr>
        <w:pageBreakBefore w:val="0"/>
        <w:kinsoku/>
        <w:wordWrap/>
        <w:topLinePunct w:val="0"/>
        <w:autoSpaceDE/>
        <w:autoSpaceDN/>
        <w:bidi w:val="0"/>
        <w:snapToGrid/>
        <w:spacing w:line="43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pPr>
        <w:pageBreakBefore w:val="0"/>
        <w:kinsoku/>
        <w:wordWrap/>
        <w:topLinePunct w:val="0"/>
        <w:autoSpaceDE/>
        <w:autoSpaceDN/>
        <w:bidi w:val="0"/>
        <w:snapToGrid/>
        <w:spacing w:line="43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响应文件提交截止时间：2026年6月16日12时（北京时间）；</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pPr>
        <w:keepNext w:val="0"/>
        <w:keepLines w:val="0"/>
        <w:pageBreakBefore w:val="0"/>
        <w:widowControl w:val="0"/>
        <w:kinsoku/>
        <w:wordWrap/>
        <w:overflowPunct w:val="0"/>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pPr>
        <w:pStyle w:val="13"/>
        <w:keepNext w:val="0"/>
        <w:keepLines w:val="0"/>
        <w:pageBreakBefore w:val="0"/>
        <w:shd w:val="clear" w:color="auto" w:fill="auto"/>
        <w:kinsoku/>
        <w:wordWrap/>
        <w:overflowPunct/>
        <w:topLinePunct w:val="0"/>
        <w:autoSpaceDE/>
        <w:autoSpaceDN/>
        <w:bidi w:val="0"/>
        <w:adjustRightInd/>
        <w:snapToGrid/>
        <w:spacing w:before="0" w:after="120" w:line="43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pPr>
        <w:keepNext w:val="0"/>
        <w:keepLines w:val="0"/>
        <w:pageBreakBefore w:val="0"/>
        <w:shd w:val="clear" w:color="auto" w:fill="auto"/>
        <w:kinsoku/>
        <w:wordWrap/>
        <w:overflowPunct/>
        <w:topLinePunct w:val="0"/>
        <w:autoSpaceDE/>
        <w:autoSpaceDN/>
        <w:bidi w:val="0"/>
        <w:adjustRightInd/>
        <w:snapToGrid/>
        <w:spacing w:line="430" w:lineRule="exact"/>
        <w:ind w:firstLine="282" w:firstLineChars="1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2026年6月16日13时</w:t>
      </w:r>
      <w:r>
        <w:rPr>
          <w:rFonts w:hint="eastAsia" w:ascii="仿宋" w:hAnsi="仿宋" w:eastAsia="仿宋" w:cs="仿宋"/>
          <w:color w:val="auto"/>
          <w:spacing w:val="1"/>
          <w:kern w:val="0"/>
          <w:sz w:val="28"/>
          <w:szCs w:val="28"/>
          <w:highlight w:val="none"/>
          <w:lang w:val="en-US" w:eastAsia="zh-CN" w:bidi="ar-SA"/>
        </w:rPr>
        <w:t>；</w:t>
      </w:r>
    </w:p>
    <w:p>
      <w:pPr>
        <w:pageBreakBefore w:val="0"/>
        <w:kinsoku/>
        <w:wordWrap/>
        <w:topLinePunct w:val="0"/>
        <w:autoSpaceDE/>
        <w:autoSpaceDN/>
        <w:bidi w:val="0"/>
        <w:snapToGrid/>
        <w:spacing w:line="430" w:lineRule="exact"/>
        <w:ind w:firstLine="282" w:firstLineChars="100"/>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pPr>
        <w:pStyle w:val="2"/>
        <w:pageBreakBefore w:val="0"/>
        <w:widowControl w:val="0"/>
        <w:kinsoku/>
        <w:wordWrap/>
        <w:overflowPunct/>
        <w:topLinePunct w:val="0"/>
        <w:autoSpaceDE/>
        <w:autoSpaceDN/>
        <w:bidi w:val="0"/>
        <w:adjustRightInd/>
        <w:snapToGrid/>
        <w:spacing w:before="0" w:after="0" w:line="430" w:lineRule="exact"/>
        <w:ind w:firstLine="281" w:firstLineChars="1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pPr>
        <w:pageBreakBefore w:val="0"/>
        <w:kinsoku/>
        <w:wordWrap/>
        <w:overflowPunct/>
        <w:topLinePunct w:val="0"/>
        <w:autoSpaceDE/>
        <w:autoSpaceDN/>
        <w:bidi w:val="0"/>
        <w:snapToGrid/>
        <w:spacing w:line="430" w:lineRule="exact"/>
        <w:rPr>
          <w:rFonts w:hint="default"/>
          <w:sz w:val="28"/>
          <w:szCs w:val="28"/>
          <w:lang w:val="en-US"/>
        </w:rPr>
      </w:pPr>
      <w:r>
        <w:rPr>
          <w:rFonts w:hint="eastAsia" w:ascii="仿宋" w:hAnsi="仿宋" w:eastAsia="仿宋" w:cs="仿宋"/>
          <w:color w:val="auto"/>
          <w:sz w:val="28"/>
          <w:szCs w:val="28"/>
          <w:lang w:val="en-US" w:eastAsia="zh-CN"/>
        </w:rPr>
        <w:t xml:space="preserve">    （一）响应文件评审办法</w:t>
      </w:r>
    </w:p>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47514027"/>
      <w:bookmarkStart w:id="66" w:name="_Toc144974570"/>
      <w:bookmarkStart w:id="67" w:name="_Toc2907"/>
      <w:bookmarkStart w:id="68" w:name="_Toc300835013"/>
      <w:bookmarkStart w:id="69" w:name="_Toc152045603"/>
      <w:bookmarkStart w:id="70" w:name="_Toc247527628"/>
      <w:bookmarkStart w:id="71" w:name="_Toc361508651"/>
      <w:bookmarkStart w:id="72" w:name="_Toc369531582"/>
      <w:bookmarkStart w:id="73" w:name="_Toc152042380"/>
      <w:bookmarkStart w:id="74" w:name="_Toc352691538"/>
      <w:bookmarkStart w:id="75" w:name="_Toc38430827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6955"/>
      <w:bookmarkStart w:id="77" w:name="_Toc13563"/>
      <w:bookmarkStart w:id="78" w:name="_Toc29291"/>
      <w:bookmarkStart w:id="79" w:name="_Toc33795835"/>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80" w:name="_Toc32669"/>
      <w:bookmarkStart w:id="81" w:name="_Toc15253"/>
      <w:bookmarkStart w:id="82" w:name="_Toc3366"/>
      <w:bookmarkStart w:id="83" w:name="_Toc3379583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pPr>
        <w:pStyle w:val="2"/>
        <w:pageBreakBefore w:val="0"/>
        <w:kinsoku/>
        <w:wordWrap/>
        <w:overflowPunct/>
        <w:topLinePunct w:val="0"/>
        <w:autoSpaceDE/>
        <w:autoSpaceDN/>
        <w:bidi w:val="0"/>
        <w:snapToGrid/>
        <w:spacing w:before="0" w:after="0" w:line="430" w:lineRule="exact"/>
        <w:ind w:left="0" w:firstLine="562" w:firstLineChars="200"/>
        <w:jc w:val="both"/>
        <w:rPr>
          <w:rFonts w:hint="eastAsia" w:ascii="仿宋" w:hAnsi="仿宋" w:eastAsia="仿宋" w:cs="仿宋"/>
          <w:color w:val="auto"/>
          <w:sz w:val="28"/>
          <w:szCs w:val="28"/>
        </w:rPr>
      </w:pPr>
      <w:bookmarkStart w:id="84" w:name="_Toc9481"/>
      <w:bookmarkStart w:id="85" w:name="_Toc33795807"/>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87" w:name="_Toc30852"/>
      <w:bookmarkStart w:id="88" w:name="_Toc33795808"/>
      <w:bookmarkStart w:id="89" w:name="_Toc16094"/>
      <w:bookmarkStart w:id="90" w:name="_Toc2109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91" w:name="_Toc10372"/>
      <w:bookmarkStart w:id="92" w:name="_Toc7018"/>
      <w:bookmarkStart w:id="93" w:name="_Toc33795809"/>
      <w:bookmarkStart w:id="94" w:name="_Toc190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61508618"/>
      <w:bookmarkStart w:id="96" w:name="_Toc144974529"/>
      <w:bookmarkStart w:id="97" w:name="_Toc247513985"/>
      <w:bookmarkStart w:id="98" w:name="_Toc384308243"/>
      <w:bookmarkStart w:id="99" w:name="_Toc30095"/>
      <w:bookmarkStart w:id="100" w:name="_Toc247527586"/>
      <w:bookmarkStart w:id="101" w:name="_Toc369531549"/>
      <w:bookmarkStart w:id="102" w:name="_Toc300834982"/>
      <w:bookmarkStart w:id="103" w:name="_Toc152045561"/>
      <w:bookmarkStart w:id="104" w:name="_Toc352691505"/>
      <w:bookmarkStart w:id="105" w:name="_Toc152042337"/>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106" w:name="_Toc21648"/>
      <w:bookmarkStart w:id="107" w:name="_Toc25590"/>
      <w:bookmarkStart w:id="108" w:name="_Toc28756"/>
      <w:bookmarkStart w:id="109"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lang w:val="en-US"/>
        </w:rPr>
      </w:pPr>
      <w:bookmarkStart w:id="110" w:name="_Toc24665"/>
      <w:bookmarkStart w:id="111" w:name="_Toc2191"/>
      <w:bookmarkStart w:id="112" w:name="_Toc19470"/>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114" w:name="_Toc10813"/>
      <w:bookmarkStart w:id="115" w:name="_Toc6928"/>
      <w:bookmarkStart w:id="116" w:name="_Toc31681"/>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69531550"/>
      <w:bookmarkStart w:id="119" w:name="_Toc384308244"/>
      <w:bookmarkStart w:id="120" w:name="_Toc5668"/>
      <w:bookmarkStart w:id="121" w:name="_Toc300834983"/>
      <w:bookmarkStart w:id="122" w:name="_Toc352691506"/>
      <w:bookmarkStart w:id="123" w:name="_Toc361508619"/>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124" w:name="_Toc33795813"/>
      <w:bookmarkStart w:id="125" w:name="_Toc21613"/>
      <w:bookmarkStart w:id="126" w:name="_Toc4342"/>
      <w:bookmarkStart w:id="127"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128" w:name="_Toc11183"/>
      <w:bookmarkStart w:id="129" w:name="_Toc14362"/>
      <w:bookmarkStart w:id="130" w:name="_Toc33795814"/>
      <w:bookmarkStart w:id="131" w:name="_Toc36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4656"/>
      <w:bookmarkStart w:id="133" w:name="_Toc369531553"/>
      <w:bookmarkStart w:id="134" w:name="_Toc144974532"/>
      <w:bookmarkStart w:id="135" w:name="_Toc247513988"/>
      <w:bookmarkStart w:id="136" w:name="_Toc361508622"/>
      <w:bookmarkStart w:id="137" w:name="_Toc152045564"/>
      <w:bookmarkStart w:id="138" w:name="_Toc152042340"/>
      <w:bookmarkStart w:id="139" w:name="_Toc384308247"/>
      <w:bookmarkStart w:id="140" w:name="_Toc300834986"/>
      <w:bookmarkStart w:id="141" w:name="_Toc247527589"/>
      <w:bookmarkStart w:id="142" w:name="_Toc35269150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84308248"/>
      <w:bookmarkStart w:id="144" w:name="_Toc361508623"/>
      <w:bookmarkStart w:id="145" w:name="_Toc352691510"/>
      <w:bookmarkStart w:id="146" w:name="_Toc144974533"/>
      <w:bookmarkStart w:id="147" w:name="_Toc369531554"/>
      <w:bookmarkStart w:id="148" w:name="_Toc152042341"/>
      <w:bookmarkStart w:id="149" w:name="_Toc247527590"/>
      <w:bookmarkStart w:id="150" w:name="_Toc152045565"/>
      <w:bookmarkStart w:id="151" w:name="_Toc18247"/>
      <w:bookmarkStart w:id="152" w:name="_Toc247513989"/>
      <w:bookmarkStart w:id="153" w:name="_Toc300834987"/>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84308252"/>
      <w:bookmarkStart w:id="156" w:name="_Toc361508627"/>
      <w:bookmarkStart w:id="157" w:name="_Toc144974536"/>
      <w:bookmarkStart w:id="158" w:name="_Toc152042344"/>
      <w:bookmarkStart w:id="159" w:name="_Toc300834991"/>
      <w:bookmarkStart w:id="160" w:name="_Toc247527593"/>
      <w:bookmarkStart w:id="161" w:name="_Toc247513992"/>
      <w:bookmarkStart w:id="162" w:name="_Toc152045568"/>
    </w:p>
    <w:bookmarkEnd w:id="154"/>
    <w:bookmarkEnd w:id="155"/>
    <w:bookmarkEnd w:id="156"/>
    <w:p>
      <w:pPr>
        <w:pStyle w:val="2"/>
        <w:pageBreakBefore w:val="0"/>
        <w:kinsoku/>
        <w:wordWrap/>
        <w:overflowPunct/>
        <w:topLinePunct w:val="0"/>
        <w:autoSpaceDE/>
        <w:autoSpaceDN/>
        <w:bidi w:val="0"/>
        <w:snapToGrid/>
        <w:spacing w:before="0" w:after="0" w:line="430" w:lineRule="exact"/>
        <w:ind w:left="0" w:firstLine="562" w:firstLineChars="200"/>
        <w:jc w:val="both"/>
        <w:rPr>
          <w:rFonts w:hint="eastAsia" w:ascii="仿宋" w:hAnsi="仿宋" w:eastAsia="仿宋" w:cs="仿宋"/>
          <w:color w:val="auto"/>
          <w:sz w:val="28"/>
          <w:szCs w:val="28"/>
        </w:rPr>
      </w:pPr>
      <w:bookmarkStart w:id="163" w:name="_Toc25347"/>
      <w:bookmarkStart w:id="164" w:name="_Toc33795815"/>
      <w:bookmarkStart w:id="165"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52691515"/>
      <w:bookmarkStart w:id="167" w:name="_Toc361508628"/>
      <w:bookmarkStart w:id="168" w:name="_Toc369531559"/>
      <w:bookmarkStart w:id="169" w:name="_Toc13644"/>
      <w:bookmarkStart w:id="170" w:name="_Toc384308253"/>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pPr>
        <w:pStyle w:val="3"/>
        <w:pageBreakBefore w:val="0"/>
        <w:numPr>
          <w:ilvl w:val="0"/>
          <w:numId w:val="0"/>
        </w:numPr>
        <w:kinsoku/>
        <w:wordWrap/>
        <w:overflowPunct/>
        <w:topLinePunct w:val="0"/>
        <w:autoSpaceDE/>
        <w:autoSpaceDN/>
        <w:bidi w:val="0"/>
        <w:snapToGrid/>
        <w:spacing w:before="0" w:after="0" w:line="430" w:lineRule="exact"/>
        <w:ind w:left="0" w:firstLine="560" w:firstLineChars="200"/>
        <w:jc w:val="both"/>
        <w:rPr>
          <w:rFonts w:hint="eastAsia" w:ascii="仿宋" w:hAnsi="仿宋" w:eastAsia="仿宋" w:cs="仿宋"/>
          <w:color w:val="auto"/>
          <w:sz w:val="28"/>
          <w:szCs w:val="28"/>
        </w:rPr>
      </w:pPr>
      <w:bookmarkStart w:id="171" w:name="_Toc22294"/>
      <w:bookmarkStart w:id="172" w:name="_Toc18070"/>
      <w:bookmarkStart w:id="173" w:name="_Toc24957"/>
      <w:bookmarkStart w:id="174" w:name="_Toc33795820"/>
      <w:r>
        <w:rPr>
          <w:rFonts w:hint="eastAsia" w:ascii="仿宋" w:hAnsi="仿宋" w:eastAsia="仿宋" w:cs="仿宋"/>
          <w:color w:val="auto"/>
          <w:sz w:val="28"/>
          <w:szCs w:val="28"/>
          <w:lang w:val="en-US" w:eastAsia="zh-CN"/>
        </w:rPr>
        <w:t>（三）异议</w:t>
      </w:r>
      <w:bookmarkEnd w:id="171"/>
      <w:bookmarkEnd w:id="172"/>
      <w:bookmarkEnd w:id="173"/>
      <w:bookmarkEnd w:id="174"/>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4200" w:firstLineChars="1500"/>
        <w:jc w:val="both"/>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4760" w:firstLineChars="17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4760" w:firstLineChars="1700"/>
        <w:jc w:val="both"/>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2026年6月11日</w:t>
      </w: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宋体" w:hAnsi="宋体" w:eastAsia="宋体" w:cs="宋体"/>
          <w:b/>
          <w:bCs/>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pPr>
        <w:pageBreakBefore w:val="0"/>
        <w:kinsoku/>
        <w:wordWrap/>
        <w:overflowPunct/>
        <w:topLinePunct w:val="0"/>
        <w:autoSpaceDE/>
        <w:autoSpaceDN/>
        <w:bidi w:val="0"/>
        <w:snapToGrid/>
        <w:spacing w:line="48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210" w:name="_GoBack"/>
      <w:bookmarkEnd w:id="210"/>
    </w:p>
    <w:p>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pPr>
        <w:spacing w:line="400" w:lineRule="exact"/>
        <w:rPr>
          <w:rFonts w:hint="eastAsia" w:ascii="仿宋" w:hAnsi="仿宋" w:eastAsia="仿宋" w:cs="仿宋"/>
          <w:color w:val="auto"/>
          <w:sz w:val="32"/>
          <w:szCs w:val="32"/>
        </w:rPr>
      </w:pPr>
    </w:p>
    <w:p>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2026年下半年石灰</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pPr>
        <w:spacing w:line="360" w:lineRule="auto"/>
        <w:jc w:val="center"/>
        <w:rPr>
          <w:rFonts w:hint="eastAsia" w:ascii="黑体" w:hAnsi="黑体" w:eastAsia="黑体" w:cs="黑体"/>
          <w:b/>
          <w:bCs/>
          <w:color w:val="auto"/>
          <w:sz w:val="44"/>
          <w:szCs w:val="44"/>
          <w:lang w:val="en-US" w:eastAsia="zh-CN"/>
        </w:rPr>
      </w:pPr>
    </w:p>
    <w:p>
      <w:pPr>
        <w:rPr>
          <w:rFonts w:hint="eastAsia" w:ascii="黑体" w:hAnsi="黑体" w:eastAsia="黑体" w:cs="黑体"/>
          <w:b/>
          <w:bCs/>
          <w:color w:val="auto"/>
          <w:sz w:val="44"/>
          <w:szCs w:val="44"/>
        </w:rPr>
      </w:pPr>
    </w:p>
    <w:p>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pPr>
        <w:jc w:val="center"/>
        <w:rPr>
          <w:rFonts w:hint="eastAsia" w:ascii="黑体" w:hAnsi="黑体" w:eastAsia="黑体" w:cs="黑体"/>
          <w:b/>
          <w:bCs/>
          <w:color w:val="auto"/>
          <w:sz w:val="44"/>
          <w:szCs w:val="44"/>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360" w:lineRule="auto"/>
        <w:rPr>
          <w:rFonts w:hint="eastAsia" w:ascii="仿宋" w:hAnsi="仿宋" w:eastAsia="仿宋" w:cs="仿宋"/>
          <w:color w:val="auto"/>
          <w:sz w:val="32"/>
          <w:szCs w:val="32"/>
        </w:rPr>
      </w:pPr>
    </w:p>
    <w:p>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pPr>
        <w:jc w:val="center"/>
        <w:rPr>
          <w:rFonts w:hint="eastAsia" w:ascii="宋体" w:hAnsi="宋体" w:eastAsia="宋体" w:cs="宋体"/>
          <w:b/>
          <w:bCs/>
          <w:color w:val="auto"/>
          <w:sz w:val="32"/>
          <w:szCs w:val="32"/>
        </w:rPr>
      </w:pPr>
    </w:p>
    <w:p>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pPr>
        <w:spacing w:line="540" w:lineRule="exact"/>
        <w:rPr>
          <w:rFonts w:hint="eastAsia" w:ascii="仿宋" w:hAnsi="仿宋" w:eastAsia="仿宋" w:cs="仿宋"/>
          <w:color w:val="auto"/>
          <w:sz w:val="32"/>
          <w:szCs w:val="32"/>
        </w:rPr>
      </w:pP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352691662"/>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69531699"/>
      <w:bookmarkStart w:id="185" w:name="_Toc144974858"/>
      <w:bookmarkStart w:id="186" w:name="_Toc152045789"/>
      <w:bookmarkStart w:id="187" w:name="_Toc152042578"/>
      <w:bookmarkStart w:id="188" w:name="_Toc384308377"/>
      <w:bookmarkStart w:id="189" w:name="_Toc300835211"/>
      <w:bookmarkStart w:id="190" w:name="_Toc247527829"/>
      <w:bookmarkStart w:id="191" w:name="_Toc352691663"/>
      <w:bookmarkStart w:id="192" w:name="_Toc15573"/>
      <w:bookmarkStart w:id="193" w:name="_Toc361508754"/>
      <w:bookmarkStart w:id="194" w:name="_Toc247514248"/>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pPr>
        <w:spacing w:line="440" w:lineRule="exact"/>
        <w:rPr>
          <w:rFonts w:hint="eastAsia" w:ascii="仿宋" w:hAnsi="仿宋" w:eastAsia="仿宋" w:cs="仿宋"/>
          <w:b/>
          <w:bCs/>
          <w:color w:val="auto"/>
          <w:sz w:val="32"/>
          <w:szCs w:val="32"/>
        </w:rPr>
      </w:pP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pPr>
        <w:spacing w:line="440" w:lineRule="exact"/>
        <w:rPr>
          <w:rFonts w:hint="eastAsia" w:ascii="仿宋" w:hAnsi="仿宋" w:eastAsia="仿宋" w:cs="仿宋"/>
          <w:color w:val="auto"/>
          <w:sz w:val="32"/>
          <w:szCs w:val="32"/>
          <w:u w:val="single"/>
        </w:rPr>
      </w:pPr>
    </w:p>
    <w:p>
      <w:pPr>
        <w:spacing w:line="440" w:lineRule="exact"/>
        <w:rPr>
          <w:rFonts w:hint="eastAsia" w:ascii="仿宋" w:hAnsi="仿宋" w:eastAsia="仿宋" w:cs="仿宋"/>
          <w:color w:val="auto"/>
          <w:sz w:val="32"/>
          <w:szCs w:val="32"/>
          <w:u w:val="single"/>
        </w:rPr>
      </w:pPr>
    </w:p>
    <w:p>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pPr>
        <w:snapToGrid w:val="0"/>
        <w:spacing w:line="312" w:lineRule="auto"/>
        <w:rPr>
          <w:rFonts w:hint="eastAsia" w:ascii="仿宋" w:hAnsi="仿宋" w:eastAsia="仿宋" w:cs="仿宋"/>
          <w:color w:val="auto"/>
          <w:sz w:val="32"/>
          <w:szCs w:val="32"/>
        </w:rPr>
      </w:pP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pPr>
        <w:snapToGrid w:val="0"/>
        <w:spacing w:line="312" w:lineRule="auto"/>
        <w:ind w:firstLine="1280" w:firstLineChars="400"/>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pPr>
        <w:widowControl/>
        <w:jc w:val="left"/>
        <w:rPr>
          <w:rFonts w:ascii="Times New Roman" w:hAnsi="Times New Roman"/>
          <w:color w:val="auto"/>
          <w:sz w:val="24"/>
          <w:szCs w:val="24"/>
        </w:rPr>
      </w:pPr>
    </w:p>
    <w:p>
      <w:pPr>
        <w:spacing w:line="440" w:lineRule="exact"/>
        <w:jc w:val="center"/>
        <w:rPr>
          <w:rFonts w:ascii="Times New Roman" w:hAnsi="Times New Roman" w:eastAsia="黑体"/>
          <w:color w:val="auto"/>
          <w:sz w:val="27"/>
          <w:szCs w:val="27"/>
        </w:rPr>
      </w:pPr>
    </w:p>
    <w:p>
      <w:pPr>
        <w:spacing w:line="440" w:lineRule="exact"/>
        <w:ind w:firstLine="420" w:firstLineChars="200"/>
        <w:rPr>
          <w:rFonts w:ascii="Times New Roman" w:hAnsi="Times New Roman"/>
          <w:color w:val="auto"/>
          <w:szCs w:val="21"/>
        </w:rPr>
      </w:pPr>
    </w:p>
    <w:p>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pPr>
        <w:pStyle w:val="2"/>
        <w:pageBreakBefore w:val="0"/>
        <w:numPr>
          <w:ilvl w:val="0"/>
          <w:numId w:val="0"/>
        </w:numPr>
        <w:kinsoku/>
        <w:wordWrap/>
        <w:overflowPunct/>
        <w:topLinePunct w:val="0"/>
        <w:autoSpaceDE/>
        <w:autoSpaceDN/>
        <w:bidi w:val="0"/>
        <w:adjustRightInd/>
        <w:snapToGrid/>
        <w:spacing w:line="320" w:lineRule="exact"/>
        <w:jc w:val="left"/>
        <w:rPr>
          <w:rFonts w:hint="eastAsia" w:ascii="Times New Roman" w:hAnsi="Times New Roman" w:eastAsia="宋体" w:cs="Times New Roman"/>
          <w:b/>
          <w:bCs/>
          <w:color w:val="auto"/>
          <w:kern w:val="2"/>
          <w:sz w:val="36"/>
          <w:szCs w:val="36"/>
          <w:lang w:val="en-US" w:eastAsia="zh-CN" w:bidi="ar-SA"/>
        </w:rPr>
      </w:pPr>
      <w:bookmarkStart w:id="200" w:name="_Toc504488775"/>
      <w:bookmarkStart w:id="201" w:name="_Toc1755"/>
    </w:p>
    <w:p>
      <w:pPr>
        <w:rPr>
          <w:rFonts w:hint="eastAsia" w:ascii="仿宋" w:hAnsi="仿宋" w:eastAsia="仿宋" w:cs="仿宋"/>
          <w:sz w:val="32"/>
          <w:szCs w:val="32"/>
          <w:lang w:val="en-US" w:eastAsia="zh-CN"/>
        </w:rPr>
      </w:pPr>
      <w:r>
        <w:rPr>
          <w:rFonts w:hint="eastAsia" w:ascii="仿宋" w:hAnsi="仿宋" w:eastAsia="仿宋" w:cs="仿宋"/>
          <w:b/>
          <w:bCs/>
          <w:color w:val="auto"/>
          <w:kern w:val="2"/>
          <w:sz w:val="32"/>
          <w:szCs w:val="32"/>
          <w:lang w:val="en-US" w:eastAsia="zh-CN" w:bidi="ar-SA"/>
        </w:rPr>
        <w:t>五、分项报价</w:t>
      </w:r>
    </w:p>
    <w:tbl>
      <w:tblPr>
        <w:tblStyle w:val="9"/>
        <w:tblW w:w="8736" w:type="dxa"/>
        <w:tblInd w:w="-332" w:type="dxa"/>
        <w:tblLayout w:type="fixed"/>
        <w:tblCellMar>
          <w:top w:w="0" w:type="dxa"/>
          <w:left w:w="0" w:type="dxa"/>
          <w:bottom w:w="0" w:type="dxa"/>
          <w:right w:w="0" w:type="dxa"/>
        </w:tblCellMar>
      </w:tblPr>
      <w:tblGrid>
        <w:gridCol w:w="546"/>
        <w:gridCol w:w="966"/>
        <w:gridCol w:w="2466"/>
        <w:gridCol w:w="786"/>
        <w:gridCol w:w="1704"/>
        <w:gridCol w:w="1116"/>
        <w:gridCol w:w="1152"/>
      </w:tblGrid>
      <w:tr>
        <w:tblPrEx>
          <w:tblCellMar>
            <w:top w:w="0" w:type="dxa"/>
            <w:left w:w="0" w:type="dxa"/>
            <w:bottom w:w="0" w:type="dxa"/>
            <w:right w:w="0" w:type="dxa"/>
          </w:tblCellMar>
        </w:tblPrEx>
        <w:trPr>
          <w:trHeight w:val="1843" w:hRule="atLeast"/>
        </w:trPr>
        <w:tc>
          <w:tcPr>
            <w:tcW w:w="5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序  号</w:t>
            </w:r>
          </w:p>
        </w:tc>
        <w:tc>
          <w:tcPr>
            <w:tcW w:w="9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物品    名称</w:t>
            </w:r>
          </w:p>
        </w:tc>
        <w:tc>
          <w:tcPr>
            <w:tcW w:w="24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规格型号</w:t>
            </w:r>
          </w:p>
        </w:tc>
        <w:tc>
          <w:tcPr>
            <w:tcW w:w="7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数量   （吨）</w:t>
            </w:r>
          </w:p>
        </w:tc>
        <w:tc>
          <w:tcPr>
            <w:tcW w:w="17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报价（吨/元），</w:t>
            </w:r>
            <w:r>
              <w:rPr>
                <w:rFonts w:hint="eastAsia" w:ascii="宋体" w:hAnsi="宋体" w:eastAsia="宋体" w:cs="宋体"/>
                <w:b w:val="0"/>
                <w:bCs w:val="0"/>
                <w:sz w:val="24"/>
                <w:szCs w:val="24"/>
                <w:highlight w:val="none"/>
                <w:lang w:val="en-US" w:eastAsia="zh-CN"/>
              </w:rPr>
              <w:t>如有不同税率，报价方自行换算成13%的报价</w:t>
            </w:r>
          </w:p>
        </w:tc>
        <w:tc>
          <w:tcPr>
            <w:tcW w:w="11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kern w:val="0"/>
                <w:sz w:val="24"/>
                <w:szCs w:val="24"/>
                <w:u w:val="none"/>
                <w:lang w:val="en-US" w:eastAsia="zh-CN" w:bidi="ar"/>
              </w:rPr>
              <w:t>金额  （元）</w:t>
            </w:r>
            <w:r>
              <w:rPr>
                <w:rFonts w:hint="eastAsia" w:ascii="宋体" w:hAnsi="宋体" w:eastAsia="宋体" w:cs="宋体"/>
                <w:b w:val="0"/>
                <w:bCs/>
                <w:i w:val="0"/>
                <w:color w:val="000000"/>
                <w:sz w:val="24"/>
                <w:szCs w:val="24"/>
                <w:u w:val="none"/>
                <w:lang w:val="en-US" w:eastAsia="zh-CN"/>
              </w:rPr>
              <w:t xml:space="preserve">   </w:t>
            </w:r>
          </w:p>
        </w:tc>
        <w:tc>
          <w:tcPr>
            <w:tcW w:w="1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522" w:hRule="atLeast"/>
        </w:trPr>
        <w:tc>
          <w:tcPr>
            <w:tcW w:w="546" w:type="dxa"/>
            <w:vMerge w:val="restart"/>
            <w:tcBorders>
              <w:top w:val="single" w:color="auto" w:sz="4" w:space="0"/>
              <w:left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1</w:t>
            </w:r>
          </w:p>
        </w:tc>
        <w:tc>
          <w:tcPr>
            <w:tcW w:w="966"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石灰</w:t>
            </w: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val="0"/>
                <w:sz w:val="24"/>
                <w:szCs w:val="24"/>
              </w:rPr>
              <w:t>Ca0</w:t>
            </w:r>
            <w:r>
              <w:rPr>
                <w:rFonts w:hint="eastAsia" w:ascii="仿宋" w:hAnsi="仿宋" w:eastAsia="仿宋" w:cs="仿宋"/>
                <w:b w:val="0"/>
                <w:bCs w:val="0"/>
                <w:sz w:val="24"/>
                <w:szCs w:val="24"/>
                <w:lang w:val="en-US" w:eastAsia="zh-CN"/>
              </w:rPr>
              <w:t>含量</w:t>
            </w:r>
            <w:r>
              <w:rPr>
                <w:rFonts w:hint="eastAsia" w:ascii="仿宋" w:hAnsi="仿宋" w:eastAsia="仿宋" w:cs="仿宋"/>
                <w:b w:val="0"/>
                <w:bCs/>
                <w:i w:val="0"/>
                <w:color w:val="000000"/>
                <w:sz w:val="24"/>
                <w:szCs w:val="24"/>
                <w:u w:val="none"/>
                <w:lang w:val="en-US" w:eastAsia="zh-CN"/>
              </w:rPr>
              <w:t>80%--85%</w:t>
            </w:r>
          </w:p>
        </w:tc>
        <w:tc>
          <w:tcPr>
            <w:tcW w:w="786"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约300</w:t>
            </w: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i w:val="0"/>
                <w:color w:val="000000"/>
                <w:sz w:val="24"/>
                <w:szCs w:val="24"/>
                <w:u w:val="none"/>
                <w:lang w:val="en-US" w:eastAsia="zh-CN"/>
              </w:rPr>
            </w:pPr>
          </w:p>
        </w:tc>
        <w:tc>
          <w:tcPr>
            <w:tcW w:w="1152"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缺项报价无效</w:t>
            </w:r>
          </w:p>
        </w:tc>
      </w:tr>
      <w:tr>
        <w:tblPrEx>
          <w:tblCellMar>
            <w:top w:w="0" w:type="dxa"/>
            <w:left w:w="0" w:type="dxa"/>
            <w:bottom w:w="0" w:type="dxa"/>
            <w:right w:w="0" w:type="dxa"/>
          </w:tblCellMar>
        </w:tblPrEx>
        <w:trPr>
          <w:trHeight w:val="527" w:hRule="atLeast"/>
        </w:trPr>
        <w:tc>
          <w:tcPr>
            <w:tcW w:w="546" w:type="dxa"/>
            <w:vMerge w:val="continue"/>
            <w:tcBorders>
              <w:left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966"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val="0"/>
                <w:sz w:val="24"/>
                <w:szCs w:val="24"/>
              </w:rPr>
              <w:t>Ca0</w:t>
            </w:r>
            <w:r>
              <w:rPr>
                <w:rFonts w:hint="eastAsia" w:ascii="仿宋" w:hAnsi="仿宋" w:eastAsia="仿宋" w:cs="仿宋"/>
                <w:b w:val="0"/>
                <w:bCs w:val="0"/>
                <w:sz w:val="24"/>
                <w:szCs w:val="24"/>
                <w:lang w:val="en-US" w:eastAsia="zh-CN"/>
              </w:rPr>
              <w:t>含量</w:t>
            </w:r>
            <w:r>
              <w:rPr>
                <w:rFonts w:hint="eastAsia" w:ascii="仿宋" w:hAnsi="仿宋" w:eastAsia="仿宋" w:cs="仿宋"/>
                <w:b w:val="0"/>
                <w:bCs/>
                <w:i w:val="0"/>
                <w:color w:val="000000"/>
                <w:sz w:val="24"/>
                <w:szCs w:val="24"/>
                <w:u w:val="none"/>
                <w:lang w:val="en-US" w:eastAsia="zh-CN"/>
              </w:rPr>
              <w:t>86%--90%</w:t>
            </w:r>
          </w:p>
        </w:tc>
        <w:tc>
          <w:tcPr>
            <w:tcW w:w="786"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tblPrEx>
          <w:tblCellMar>
            <w:top w:w="0" w:type="dxa"/>
            <w:left w:w="0" w:type="dxa"/>
            <w:bottom w:w="0" w:type="dxa"/>
            <w:right w:w="0" w:type="dxa"/>
          </w:tblCellMar>
        </w:tblPrEx>
        <w:trPr>
          <w:trHeight w:val="510" w:hRule="atLeast"/>
        </w:trPr>
        <w:tc>
          <w:tcPr>
            <w:tcW w:w="546" w:type="dxa"/>
            <w:vMerge w:val="continue"/>
            <w:tcBorders>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966"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val="0"/>
                <w:sz w:val="24"/>
                <w:szCs w:val="24"/>
              </w:rPr>
              <w:t>Ca0</w:t>
            </w:r>
            <w:r>
              <w:rPr>
                <w:rFonts w:hint="eastAsia" w:ascii="仿宋" w:hAnsi="仿宋" w:eastAsia="仿宋" w:cs="仿宋"/>
                <w:b w:val="0"/>
                <w:bCs w:val="0"/>
                <w:sz w:val="24"/>
                <w:szCs w:val="24"/>
                <w:lang w:val="en-US" w:eastAsia="zh-CN"/>
              </w:rPr>
              <w:t>含量&gt;</w:t>
            </w:r>
            <w:r>
              <w:rPr>
                <w:rFonts w:hint="eastAsia" w:ascii="仿宋" w:hAnsi="仿宋" w:eastAsia="仿宋" w:cs="仿宋"/>
                <w:b w:val="0"/>
                <w:bCs/>
                <w:i w:val="0"/>
                <w:color w:val="000000"/>
                <w:sz w:val="24"/>
                <w:szCs w:val="24"/>
                <w:u w:val="none"/>
                <w:lang w:val="en-US" w:eastAsia="zh-CN"/>
              </w:rPr>
              <w:t>90%</w:t>
            </w:r>
          </w:p>
        </w:tc>
        <w:tc>
          <w:tcPr>
            <w:tcW w:w="786"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tblPrEx>
          <w:tblCellMar>
            <w:top w:w="0" w:type="dxa"/>
            <w:left w:w="0" w:type="dxa"/>
            <w:bottom w:w="0" w:type="dxa"/>
            <w:right w:w="0" w:type="dxa"/>
          </w:tblCellMar>
        </w:tblPrEx>
        <w:trPr>
          <w:trHeight w:val="612" w:hRule="atLeast"/>
        </w:trPr>
        <w:tc>
          <w:tcPr>
            <w:tcW w:w="1512" w:type="dxa"/>
            <w:gridSpan w:val="2"/>
            <w:tcBorders>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合计</w:t>
            </w: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24"/>
                <w:szCs w:val="24"/>
                <w:lang w:val="en-US" w:eastAsia="zh-CN"/>
              </w:rPr>
            </w:pPr>
          </w:p>
        </w:tc>
        <w:tc>
          <w:tcPr>
            <w:tcW w:w="786" w:type="dxa"/>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tblPrEx>
          <w:tblCellMar>
            <w:top w:w="0" w:type="dxa"/>
            <w:left w:w="0" w:type="dxa"/>
            <w:bottom w:w="0" w:type="dxa"/>
            <w:right w:w="0" w:type="dxa"/>
          </w:tblCellMar>
        </w:tblPrEx>
        <w:trPr>
          <w:trHeight w:val="671" w:hRule="atLeast"/>
        </w:trPr>
        <w:tc>
          <w:tcPr>
            <w:tcW w:w="8736" w:type="dxa"/>
            <w:gridSpan w:val="7"/>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i w:val="0"/>
                <w:color w:val="000000"/>
                <w:sz w:val="28"/>
                <w:szCs w:val="28"/>
                <w:u w:val="none"/>
                <w:lang w:val="en-US" w:eastAsia="zh-CN"/>
              </w:rPr>
              <w:t>价格</w:t>
            </w:r>
            <w:r>
              <w:rPr>
                <w:rFonts w:hint="eastAsia" w:ascii="仿宋" w:hAnsi="仿宋" w:eastAsia="仿宋" w:cs="仿宋"/>
                <w:b w:val="0"/>
                <w:bCs/>
                <w:color w:val="auto"/>
                <w:sz w:val="28"/>
                <w:szCs w:val="28"/>
                <w:lang w:eastAsia="zh-CN"/>
              </w:rPr>
              <w:t>响应有效期：</w:t>
            </w:r>
            <w:r>
              <w:rPr>
                <w:rFonts w:hint="eastAsia" w:ascii="仿宋" w:hAnsi="仿宋" w:eastAsia="仿宋" w:cs="仿宋"/>
                <w:b w:val="0"/>
                <w:bCs/>
                <w:color w:val="auto"/>
                <w:sz w:val="28"/>
                <w:szCs w:val="28"/>
              </w:rPr>
              <w:t>从提交</w:t>
            </w:r>
            <w:r>
              <w:rPr>
                <w:rFonts w:hint="eastAsia" w:ascii="仿宋" w:hAnsi="仿宋" w:eastAsia="仿宋" w:cs="仿宋"/>
                <w:b w:val="0"/>
                <w:bCs/>
                <w:color w:val="auto"/>
                <w:sz w:val="28"/>
                <w:szCs w:val="28"/>
                <w:lang w:val="en-US" w:eastAsia="zh-CN"/>
              </w:rPr>
              <w:t>报价单</w:t>
            </w:r>
            <w:r>
              <w:rPr>
                <w:rFonts w:hint="eastAsia" w:ascii="仿宋" w:hAnsi="仿宋" w:eastAsia="仿宋" w:cs="仿宋"/>
                <w:b w:val="0"/>
                <w:bCs/>
                <w:color w:val="auto"/>
                <w:sz w:val="28"/>
                <w:szCs w:val="28"/>
              </w:rPr>
              <w:t>之日起</w:t>
            </w:r>
            <w:r>
              <w:rPr>
                <w:rFonts w:hint="eastAsia" w:ascii="仿宋" w:hAnsi="仿宋" w:eastAsia="仿宋" w:cs="仿宋"/>
                <w:b w:val="0"/>
                <w:bCs/>
                <w:color w:val="auto"/>
                <w:sz w:val="28"/>
                <w:szCs w:val="28"/>
                <w:lang w:val="en-US" w:eastAsia="zh-CN"/>
              </w:rPr>
              <w:t>180</w:t>
            </w:r>
            <w:r>
              <w:rPr>
                <w:rFonts w:hint="eastAsia" w:ascii="仿宋" w:hAnsi="仿宋" w:eastAsia="仿宋" w:cs="仿宋"/>
                <w:b w:val="0"/>
                <w:bCs/>
                <w:color w:val="auto"/>
                <w:sz w:val="28"/>
                <w:szCs w:val="28"/>
              </w:rPr>
              <w:t>天</w:t>
            </w:r>
            <w:r>
              <w:rPr>
                <w:rFonts w:hint="eastAsia" w:ascii="仿宋" w:hAnsi="仿宋" w:eastAsia="仿宋" w:cs="仿宋"/>
                <w:b w:val="0"/>
                <w:bCs/>
                <w:color w:val="auto"/>
                <w:sz w:val="28"/>
                <w:szCs w:val="28"/>
                <w:lang w:val="en-US" w:eastAsia="zh-CN"/>
              </w:rPr>
              <w:t>内</w:t>
            </w:r>
            <w:r>
              <w:rPr>
                <w:rFonts w:hint="eastAsia" w:ascii="仿宋" w:hAnsi="仿宋" w:eastAsia="仿宋" w:cs="仿宋"/>
                <w:b w:val="0"/>
                <w:bCs/>
                <w:color w:val="auto"/>
                <w:sz w:val="28"/>
                <w:szCs w:val="28"/>
                <w:lang w:eastAsia="zh-CN"/>
              </w:rPr>
              <w:t>。</w:t>
            </w:r>
          </w:p>
        </w:tc>
      </w:tr>
    </w:tbl>
    <w:p>
      <w:pPr>
        <w:bidi w:val="0"/>
        <w:ind w:firstLine="3000" w:firstLineChars="1000"/>
        <w:jc w:val="left"/>
        <w:rPr>
          <w:rFonts w:hint="eastAsia" w:ascii="Times New Roman" w:hAnsi="Times New Roman"/>
          <w:color w:val="auto"/>
          <w:kern w:val="0"/>
          <w:sz w:val="30"/>
          <w:szCs w:val="30"/>
          <w:lang w:val="en-US" w:eastAsia="zh-CN"/>
        </w:rPr>
      </w:pPr>
    </w:p>
    <w:p>
      <w:pPr>
        <w:bidi w:val="0"/>
        <w:ind w:firstLine="3000" w:firstLineChars="1000"/>
        <w:jc w:val="left"/>
        <w:rPr>
          <w:rFonts w:hint="eastAsia" w:ascii="Times New Roman" w:hAnsi="Times New Roman"/>
          <w:color w:val="auto"/>
          <w:kern w:val="0"/>
          <w:sz w:val="30"/>
          <w:szCs w:val="30"/>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pPr>
        <w:pStyle w:val="2"/>
        <w:pageBreakBefore w:val="0"/>
        <w:kinsoku/>
        <w:wordWrap/>
        <w:overflowPunct/>
        <w:topLinePunct w:val="0"/>
        <w:autoSpaceDE/>
        <w:autoSpaceDN/>
        <w:bidi w:val="0"/>
        <w:adjustRightInd/>
        <w:snapToGrid/>
        <w:spacing w:after="0" w:line="320" w:lineRule="exact"/>
        <w:ind w:firstLine="5100" w:firstLineChars="17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pPr>
        <w:rPr>
          <w:b/>
          <w:color w:val="auto"/>
          <w:sz w:val="28"/>
          <w:szCs w:val="28"/>
        </w:rPr>
      </w:pPr>
      <w:r>
        <w:rPr>
          <w:rFonts w:hint="eastAsia" w:ascii="宋体" w:hAnsi="宋体" w:eastAsia="宋体" w:cs="宋体"/>
          <w:color w:val="auto"/>
          <w:sz w:val="24"/>
          <w:szCs w:val="24"/>
        </w:rPr>
        <w:br w:type="page"/>
      </w:r>
    </w:p>
    <w:p>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pPr>
        <w:spacing w:line="440" w:lineRule="exact"/>
        <w:ind w:firstLine="643" w:firstLineChars="200"/>
        <w:jc w:val="left"/>
        <w:rPr>
          <w:rFonts w:hint="eastAsia" w:ascii="仿宋" w:hAnsi="仿宋" w:eastAsia="仿宋" w:cs="仿宋"/>
          <w:b/>
          <w:color w:val="auto"/>
          <w:sz w:val="32"/>
          <w:szCs w:val="32"/>
          <w:u w:val="single"/>
        </w:rPr>
      </w:pP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pPr>
        <w:spacing w:line="440" w:lineRule="exact"/>
        <w:ind w:firstLine="480" w:firstLineChars="200"/>
        <w:rPr>
          <w:color w:val="auto"/>
          <w:sz w:val="24"/>
          <w:szCs w:val="24"/>
        </w:rPr>
      </w:pPr>
    </w:p>
    <w:p>
      <w:pPr>
        <w:spacing w:line="440" w:lineRule="exact"/>
        <w:rPr>
          <w:rFonts w:ascii="Times New Roman" w:hAnsi="Times New Roman"/>
          <w:color w:val="auto"/>
        </w:rPr>
      </w:pPr>
    </w:p>
    <w:p>
      <w:pPr>
        <w:spacing w:line="440" w:lineRule="exact"/>
        <w:rPr>
          <w:rFonts w:ascii="Times New Roman" w:hAnsi="Times New Roman"/>
          <w:color w:val="auto"/>
        </w:rPr>
      </w:pPr>
    </w:p>
    <w:p>
      <w:pPr>
        <w:topLinePunct/>
        <w:spacing w:line="440" w:lineRule="exact"/>
        <w:rPr>
          <w:rFonts w:ascii="Times New Roman" w:hAnsi="Times New Roman"/>
          <w:color w:val="auto"/>
        </w:rPr>
      </w:pPr>
      <w:r>
        <w:rPr>
          <w:rFonts w:ascii="Times New Roman" w:hAnsi="Times New Roman"/>
          <w:color w:val="auto"/>
        </w:rPr>
        <w:br w:type="page"/>
      </w:r>
    </w:p>
    <w:p>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pPr>
        <w:spacing w:line="440" w:lineRule="exact"/>
        <w:rPr>
          <w:rFonts w:hint="eastAsia" w:ascii="Times New Roman"/>
          <w:b/>
          <w:bCs/>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pPr>
        <w:rPr>
          <w:rFonts w:hint="eastAsia" w:ascii="Times New Roman" w:hAnsi="Times New Roman"/>
          <w:color w:val="auto"/>
        </w:rPr>
      </w:pPr>
    </w:p>
    <w:p>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pPr>
        <w:rPr>
          <w:rFonts w:hint="eastAsia" w:ascii="Times New Roman" w:hAnsi="Times New Roman" w:eastAsia="黑体" w:cs="Times New Roman"/>
          <w:b/>
          <w:color w:val="auto"/>
          <w:kern w:val="2"/>
          <w:sz w:val="32"/>
          <w:szCs w:val="20"/>
          <w:lang w:val="en-US" w:eastAsia="zh-CN" w:bidi="ar-SA"/>
        </w:rPr>
      </w:pPr>
    </w:p>
    <w:p>
      <w:pPr>
        <w:jc w:val="center"/>
        <w:rPr>
          <w:color w:val="auto"/>
        </w:rPr>
      </w:pPr>
    </w:p>
    <w:p>
      <w:pPr>
        <w:rPr>
          <w:color w:val="auto"/>
        </w:rPr>
      </w:pPr>
    </w:p>
    <w:p>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2ACD6621"/>
    <w:rsid w:val="01D152A8"/>
    <w:rsid w:val="077D6B70"/>
    <w:rsid w:val="0D4E6125"/>
    <w:rsid w:val="0DAD78C4"/>
    <w:rsid w:val="0E2D6815"/>
    <w:rsid w:val="1DC013CC"/>
    <w:rsid w:val="1E90646C"/>
    <w:rsid w:val="1F283F6C"/>
    <w:rsid w:val="2ACD6621"/>
    <w:rsid w:val="2CC1509E"/>
    <w:rsid w:val="37415920"/>
    <w:rsid w:val="39A352BA"/>
    <w:rsid w:val="4EB23531"/>
    <w:rsid w:val="586456A3"/>
    <w:rsid w:val="61F01D56"/>
    <w:rsid w:val="6FF43342"/>
    <w:rsid w:val="70EB02B8"/>
    <w:rsid w:val="75BC63A3"/>
    <w:rsid w:val="7B38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autoRedefine/>
    <w:qFormat/>
    <w:uiPriority w:val="0"/>
    <w:pPr>
      <w:spacing w:after="120"/>
      <w:ind w:left="420" w:leftChars="200"/>
    </w:pPr>
    <w:rPr>
      <w:rFonts w:ascii="Times New Roman" w:hAnsi="Times New Roman" w:eastAsia="宋体" w:cs="Times New Roman"/>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7486</Words>
  <Characters>7707</Characters>
  <Lines>0</Lines>
  <Paragraphs>0</Paragraphs>
  <TotalTime>1</TotalTime>
  <ScaleCrop>false</ScaleCrop>
  <LinksUpToDate>false</LinksUpToDate>
  <CharactersWithSpaces>8205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2025-06-04T01:08:00Z</dcterms:created>
  <dc:creator>瞬间无语</dc:creator>
  <cp:lastModifiedBy>瞬间无语</cp:lastModifiedBy>
  <cp:lastPrinted>2026-06-11T06:11:50Z</cp:lastPrinted>
  <dcterms:modified xsi:type="dcterms:W3CDTF">2026-06-11T06:11:59Z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CB36AA52A38F469EA52E59D58BCAC177_11</vt:lpwstr>
  </property>
  <property fmtid="{D5CDD505-2E9C-101B-9397-08002B2CF9AE}" pid="4" name="KSOTemplateDocerSaveRecord">
    <vt:lpwstr>eyJoZGlkIjoiY2IxODczYmMzOTcyYmM0NzgyNTU5ODFiNzc0MzFlMTQiLCJ1c2VySWQiOiI1MjE0ODc1ODYifQ==</vt:lpwstr>
  </property>
</Properties>
</file>