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8C50D">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Style w:val="11"/>
          <w:rFonts w:hint="eastAsia" w:ascii="仿宋" w:hAnsi="仿宋" w:eastAsia="仿宋" w:cs="仿宋"/>
          <w:b/>
          <w:bCs w:val="0"/>
          <w:i w:val="0"/>
          <w:iCs w:val="0"/>
          <w:caps w:val="0"/>
          <w:color w:val="000000"/>
          <w:spacing w:val="0"/>
          <w:sz w:val="36"/>
          <w:szCs w:val="36"/>
        </w:rPr>
      </w:pPr>
      <w:r>
        <w:rPr>
          <w:rStyle w:val="11"/>
          <w:rFonts w:hint="eastAsia" w:ascii="仿宋" w:hAnsi="仿宋" w:eastAsia="仿宋" w:cs="仿宋"/>
          <w:b/>
          <w:bCs w:val="0"/>
          <w:i w:val="0"/>
          <w:iCs w:val="0"/>
          <w:caps w:val="0"/>
          <w:color w:val="000000"/>
          <w:spacing w:val="0"/>
          <w:sz w:val="36"/>
          <w:szCs w:val="36"/>
          <w:lang w:val="en-US" w:eastAsia="zh-CN"/>
        </w:rPr>
        <w:t>陕</w:t>
      </w:r>
      <w:r>
        <w:rPr>
          <w:rStyle w:val="11"/>
          <w:rFonts w:hint="eastAsia" w:ascii="仿宋" w:hAnsi="仿宋" w:eastAsia="仿宋" w:cs="仿宋"/>
          <w:b/>
          <w:bCs w:val="0"/>
          <w:i w:val="0"/>
          <w:iCs w:val="0"/>
          <w:caps w:val="0"/>
          <w:color w:val="000000"/>
          <w:spacing w:val="0"/>
          <w:sz w:val="36"/>
          <w:szCs w:val="36"/>
        </w:rPr>
        <w:t>西锌业有限公司</w:t>
      </w:r>
    </w:p>
    <w:p w14:paraId="332FE89F">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Fonts w:hint="default" w:ascii="仿宋" w:hAnsi="仿宋" w:eastAsia="仿宋" w:cs="仿宋"/>
          <w:b/>
          <w:bCs w:val="0"/>
          <w:i w:val="0"/>
          <w:iCs w:val="0"/>
          <w:caps w:val="0"/>
          <w:color w:val="000000"/>
          <w:spacing w:val="0"/>
          <w:sz w:val="36"/>
          <w:szCs w:val="36"/>
          <w:lang w:val="en-US" w:eastAsia="zh-CN"/>
        </w:rPr>
      </w:pPr>
      <w:r>
        <w:rPr>
          <w:rStyle w:val="11"/>
          <w:rFonts w:hint="eastAsia" w:ascii="仿宋" w:hAnsi="仿宋" w:eastAsia="仿宋" w:cs="仿宋"/>
          <w:b/>
          <w:bCs w:val="0"/>
          <w:i w:val="0"/>
          <w:iCs w:val="0"/>
          <w:caps w:val="0"/>
          <w:color w:val="000000"/>
          <w:spacing w:val="0"/>
          <w:sz w:val="36"/>
          <w:szCs w:val="36"/>
          <w:lang w:val="en-US" w:eastAsia="zh-CN"/>
        </w:rPr>
        <w:t>2026年下半年润滑脂二次询比采购文件</w:t>
      </w:r>
    </w:p>
    <w:p w14:paraId="5BDE5287">
      <w:pPr>
        <w:keepNext w:val="0"/>
        <w:keepLines w:val="0"/>
        <w:pageBreakBefore w:val="0"/>
        <w:kinsoku/>
        <w:wordWrap/>
        <w:overflowPunct/>
        <w:topLinePunct w:val="0"/>
        <w:autoSpaceDE/>
        <w:autoSpaceDN/>
        <w:bidi w:val="0"/>
        <w:adjustRightInd/>
        <w:snapToGrid/>
        <w:spacing w:line="430" w:lineRule="exact"/>
        <w:jc w:val="left"/>
        <w:textAlignment w:val="auto"/>
        <w:outlineLvl w:val="9"/>
        <w:rPr>
          <w:rFonts w:hint="eastAsia" w:ascii="仿宋" w:hAnsi="仿宋" w:eastAsia="仿宋" w:cs="仿宋"/>
          <w:i w:val="0"/>
          <w:iCs w:val="0"/>
          <w:caps w:val="0"/>
          <w:color w:val="000000"/>
          <w:spacing w:val="0"/>
          <w:sz w:val="32"/>
          <w:szCs w:val="32"/>
        </w:rPr>
      </w:pPr>
    </w:p>
    <w:p w14:paraId="47F0C04D">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采购润滑脂若干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4472E162">
      <w:pPr>
        <w:pStyle w:val="2"/>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textAlignment w:val="auto"/>
        <w:rPr>
          <w:rFonts w:hint="eastAsia" w:ascii="仿宋" w:hAnsi="仿宋" w:eastAsia="仿宋" w:cs="仿宋"/>
          <w:b/>
          <w:bCs/>
          <w:color w:val="auto"/>
          <w:sz w:val="28"/>
          <w:szCs w:val="28"/>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60E48A2">
      <w:pPr>
        <w:pStyle w:val="2"/>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05FA26F6">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后半年润滑脂采购项目</w:t>
      </w:r>
      <w:bookmarkEnd w:id="4"/>
      <w:bookmarkEnd w:id="5"/>
      <w:bookmarkEnd w:id="6"/>
      <w:bookmarkEnd w:id="7"/>
      <w:r>
        <w:rPr>
          <w:rFonts w:hint="eastAsia" w:ascii="仿宋" w:hAnsi="仿宋" w:eastAsia="仿宋" w:cs="仿宋"/>
          <w:color w:val="auto"/>
          <w:sz w:val="28"/>
          <w:szCs w:val="28"/>
          <w:lang w:val="en-US" w:eastAsia="zh-CN"/>
        </w:rPr>
        <w:t>。</w:t>
      </w:r>
    </w:p>
    <w:p w14:paraId="0C2E233F">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05D37578">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（四）交货地点：采购方指定库房。</w:t>
      </w:r>
    </w:p>
    <w:p w14:paraId="19FC0356">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p>
    <w:p w14:paraId="413C7020">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b/>
          <w:bCs w:val="0"/>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产品质量符合国标要求</w:t>
      </w:r>
      <w:r>
        <w:rPr>
          <w:rFonts w:hint="eastAsia" w:ascii="仿宋" w:hAnsi="仿宋" w:eastAsia="仿宋" w:cs="仿宋"/>
          <w:b/>
          <w:bCs/>
          <w:color w:val="auto"/>
          <w:sz w:val="28"/>
          <w:szCs w:val="28"/>
          <w:highlight w:val="none"/>
          <w:lang w:eastAsia="zh-CN"/>
        </w:rPr>
        <w:t>。</w:t>
      </w:r>
    </w:p>
    <w:p w14:paraId="698EF508">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w:t>
      </w:r>
      <w:r>
        <w:rPr>
          <w:rFonts w:hint="eastAsia" w:ascii="仿宋" w:hAnsi="仿宋" w:eastAsia="仿宋" w:cs="仿宋"/>
          <w:b/>
          <w:bCs/>
          <w:color w:val="auto"/>
          <w:sz w:val="28"/>
          <w:szCs w:val="28"/>
          <w:highlight w:val="none"/>
          <w:lang w:val="en-US" w:eastAsia="zh-CN"/>
        </w:rPr>
        <w:t>采购方</w:t>
      </w:r>
      <w:r>
        <w:rPr>
          <w:rFonts w:hint="eastAsia" w:ascii="仿宋" w:hAnsi="仿宋" w:eastAsia="仿宋" w:cs="仿宋"/>
          <w:b/>
          <w:bCs w:val="0"/>
          <w:sz w:val="28"/>
          <w:szCs w:val="28"/>
          <w:lang w:val="en-US" w:eastAsia="zh-CN"/>
        </w:rPr>
        <w:t>报价单中已注明报价品牌的，报价方按注明品牌报价，更换品牌报价的，整体报价无效。</w:t>
      </w:r>
    </w:p>
    <w:p w14:paraId="6C10F13D">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2、合同签订后，若报价方所送货物非其所报品牌货物以及贴牌货物，采购方取消其后续送货资格，已送的非指定品牌货物不结算，不付款</w:t>
      </w:r>
      <w:r>
        <w:rPr>
          <w:rFonts w:hint="eastAsia" w:ascii="仿宋" w:hAnsi="仿宋" w:eastAsia="仿宋" w:cs="仿宋"/>
          <w:b/>
          <w:bCs w:val="0"/>
          <w:sz w:val="28"/>
          <w:szCs w:val="28"/>
          <w:lang w:eastAsia="zh-CN"/>
        </w:rPr>
        <w:t>。</w:t>
      </w:r>
    </w:p>
    <w:p w14:paraId="142B559B">
      <w:pPr>
        <w:keepNext w:val="0"/>
        <w:keepLines w:val="0"/>
        <w:pageBreakBefore w:val="0"/>
        <w:kinsoku/>
        <w:wordWrap/>
        <w:overflowPunct/>
        <w:topLinePunct w:val="0"/>
        <w:autoSpaceDE/>
        <w:autoSpaceDN/>
        <w:bidi w:val="0"/>
        <w:adjustRightInd/>
        <w:snapToGrid/>
        <w:spacing w:line="43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1EFF3C93">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eastAsia="zh-CN"/>
        </w:rPr>
        <w:t>买受人</w:t>
      </w:r>
      <w:r>
        <w:rPr>
          <w:rFonts w:hint="eastAsia" w:ascii="仿宋" w:hAnsi="仿宋" w:eastAsia="仿宋" w:cs="仿宋"/>
          <w:b w:val="0"/>
          <w:bCs/>
          <w:sz w:val="28"/>
          <w:szCs w:val="28"/>
        </w:rPr>
        <w:t>公司厂内。</w:t>
      </w:r>
    </w:p>
    <w:p w14:paraId="2DC894F8">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710C6921">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桶装，若包装物回收，请在报价单上注明</w:t>
      </w:r>
      <w:r>
        <w:rPr>
          <w:rFonts w:hint="eastAsia" w:ascii="仿宋" w:hAnsi="仿宋" w:eastAsia="仿宋" w:cs="仿宋"/>
          <w:b w:val="0"/>
          <w:bCs w:val="0"/>
          <w:sz w:val="28"/>
          <w:szCs w:val="28"/>
          <w:highlight w:val="none"/>
          <w:lang w:val="en-US" w:eastAsia="zh-CN"/>
        </w:rPr>
        <w:t>。</w:t>
      </w:r>
    </w:p>
    <w:p w14:paraId="5BBB7CE9">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6C74CBF">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验收合格后，</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10CC7802">
      <w:pPr>
        <w:pageBreakBefore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12C8663B">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73C0BDE5">
      <w:pPr>
        <w:keepNext w:val="0"/>
        <w:keepLines w:val="0"/>
        <w:pageBreakBefore w:val="0"/>
        <w:widowControl/>
        <w:suppressLineNumbers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6B5A71B4">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7EF439C0">
      <w:pPr>
        <w:pageBreakBefore w:val="0"/>
        <w:numPr>
          <w:ilvl w:val="0"/>
          <w:numId w:val="0"/>
        </w:numPr>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5A62FAD">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EA36AEC">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供应商2023年5月至今具有润滑脂业绩（提供合同复印件，时间以合同签订时间为准）；</w:t>
      </w:r>
    </w:p>
    <w:p w14:paraId="20E0212B">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78CF6806">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3C96C198">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4876B25">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3787A33B">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7F58EE0F">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6F12E930">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75DC7554">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6AEF7620">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7BDD0927">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154F4DF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AB9FC4F">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63806B4C">
      <w:pPr>
        <w:pStyle w:val="3"/>
        <w:pageBreakBefore w:val="0"/>
        <w:kinsoku/>
        <w:wordWrap/>
        <w:overflowPunct/>
        <w:topLinePunct w:val="0"/>
        <w:autoSpaceDE/>
        <w:autoSpaceDN/>
        <w:bidi w:val="0"/>
        <w:snapToGrid/>
        <w:spacing w:before="0" w:after="0" w:line="43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730518E5">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225FD9A6">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6DE62F4F">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669FB9EB">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52045542"/>
      <w:bookmarkStart w:id="13" w:name="_Toc25772"/>
      <w:bookmarkStart w:id="14" w:name="_Toc352691486"/>
      <w:bookmarkStart w:id="15" w:name="_Toc247527567"/>
      <w:bookmarkStart w:id="16" w:name="_Toc300834963"/>
      <w:bookmarkStart w:id="17" w:name="_Toc152042318"/>
      <w:bookmarkStart w:id="18" w:name="_Toc369531529"/>
      <w:bookmarkStart w:id="19" w:name="_Toc384308223"/>
      <w:bookmarkStart w:id="20" w:name="_Toc144974510"/>
      <w:bookmarkStart w:id="21" w:name="_Toc247513966"/>
      <w:bookmarkStart w:id="22" w:name="_Toc36150859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84308224"/>
      <w:bookmarkStart w:id="25" w:name="_Toc247527568"/>
      <w:bookmarkStart w:id="26" w:name="_Toc369531530"/>
      <w:bookmarkStart w:id="27" w:name="_Toc300834964"/>
      <w:bookmarkStart w:id="28" w:name="_Toc15242"/>
      <w:bookmarkStart w:id="29" w:name="_Toc247513967"/>
      <w:bookmarkStart w:id="30" w:name="_Toc152045543"/>
      <w:bookmarkStart w:id="31" w:name="_Toc352691487"/>
      <w:bookmarkStart w:id="32" w:name="_Toc144974511"/>
      <w:bookmarkStart w:id="33" w:name="_Toc36150859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1613397F">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4A64FB5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40822F46">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476543A">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46542CF5">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3795DB21">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59C827E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538A0CF2">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12FE6A4D">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4F357CA0">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471BF793">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4A070214">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3C423970">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534ABC36">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30B01D5E">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29025"/>
      <w:bookmarkStart w:id="36" w:name="_Toc384308227"/>
      <w:bookmarkStart w:id="37" w:name="_Toc352691490"/>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0756B7D">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152042322"/>
      <w:bookmarkStart w:id="41" w:name="_Toc247513970"/>
      <w:bookmarkStart w:id="42" w:name="_Toc152045546"/>
      <w:bookmarkStart w:id="43" w:name="_Toc144974514"/>
      <w:bookmarkStart w:id="44" w:name="_Toc352691491"/>
      <w:bookmarkStart w:id="45" w:name="_Toc361508603"/>
      <w:bookmarkStart w:id="46" w:name="_Toc300834967"/>
      <w:bookmarkStart w:id="47" w:name="_Toc384308228"/>
      <w:bookmarkStart w:id="48" w:name="_Toc247527571"/>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52691492"/>
      <w:bookmarkStart w:id="51" w:name="_Toc361508604"/>
      <w:bookmarkStart w:id="52" w:name="_Toc369531535"/>
      <w:bookmarkStart w:id="53" w:name="_Toc384308229"/>
      <w:bookmarkStart w:id="54" w:name="_Toc152045547"/>
      <w:bookmarkStart w:id="55" w:name="_Toc152042323"/>
      <w:bookmarkStart w:id="56" w:name="_Toc247527572"/>
      <w:bookmarkStart w:id="57" w:name="_Toc247513971"/>
      <w:bookmarkStart w:id="58" w:name="_Toc144974515"/>
      <w:bookmarkStart w:id="59" w:name="_Toc17952"/>
      <w:bookmarkStart w:id="60" w:name="_Toc300834968"/>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8996C12">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B5AFD77">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455E0ABE">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D2CD0B">
      <w:pPr>
        <w:pStyle w:val="3"/>
        <w:pageBreakBefore w:val="0"/>
        <w:kinsoku/>
        <w:wordWrap/>
        <w:overflowPunct/>
        <w:topLinePunct w:val="0"/>
        <w:autoSpaceDE/>
        <w:autoSpaceDN/>
        <w:bidi w:val="0"/>
        <w:snapToGrid/>
        <w:spacing w:before="0" w:after="0" w:line="430" w:lineRule="exact"/>
        <w:ind w:left="0" w:firstLine="280" w:firstLineChars="100"/>
        <w:jc w:val="both"/>
        <w:textAlignment w:val="auto"/>
        <w:rPr>
          <w:rFonts w:hint="eastAsia" w:ascii="仿宋" w:hAnsi="仿宋" w:eastAsia="仿宋" w:cs="仿宋"/>
          <w:color w:val="auto"/>
          <w:sz w:val="28"/>
          <w:szCs w:val="28"/>
        </w:rPr>
      </w:pPr>
      <w:bookmarkStart w:id="61" w:name="_Toc33795794"/>
      <w:bookmarkStart w:id="62" w:name="_Toc24514"/>
      <w:bookmarkStart w:id="63" w:name="_Toc21871"/>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024A56C3">
      <w:pPr>
        <w:pStyle w:val="3"/>
        <w:pageBreakBefore w:val="0"/>
        <w:kinsoku/>
        <w:wordWrap/>
        <w:overflowPunct/>
        <w:topLinePunct w:val="0"/>
        <w:autoSpaceDE/>
        <w:autoSpaceDN/>
        <w:bidi w:val="0"/>
        <w:snapToGrid/>
        <w:spacing w:before="0"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4B59050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44C48850">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492BFEB4">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06A3895">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72A727D0">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7366F432">
      <w:pPr>
        <w:pageBreakBefore w:val="0"/>
        <w:kinsoku/>
        <w:wordWrap/>
        <w:topLinePunct w:val="0"/>
        <w:autoSpaceDE/>
        <w:autoSpaceDN/>
        <w:bidi w:val="0"/>
        <w:snapToGrid/>
        <w:spacing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2B01FB46">
      <w:pPr>
        <w:pageBreakBefore w:val="0"/>
        <w:kinsoku/>
        <w:wordWrap/>
        <w:topLinePunct w:val="0"/>
        <w:autoSpaceDE/>
        <w:autoSpaceDN/>
        <w:bidi w:val="0"/>
        <w:snapToGrid/>
        <w:spacing w:line="43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230BDBE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2860F48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6FCC72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EF57B4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0308825">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0C5D9323">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4BF4738B">
      <w:pPr>
        <w:keepNext w:val="0"/>
        <w:keepLines w:val="0"/>
        <w:pageBreakBefore w:val="0"/>
        <w:shd w:val="clear" w:color="auto" w:fill="auto"/>
        <w:kinsoku/>
        <w:wordWrap/>
        <w:overflowPunct/>
        <w:topLinePunct w:val="0"/>
        <w:autoSpaceDE/>
        <w:autoSpaceDN/>
        <w:bidi w:val="0"/>
        <w:adjustRightInd/>
        <w:snapToGrid/>
        <w:spacing w:line="430" w:lineRule="exact"/>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5ED3D002">
      <w:pPr>
        <w:pageBreakBefore w:val="0"/>
        <w:kinsoku/>
        <w:wordWrap/>
        <w:topLinePunct w:val="0"/>
        <w:autoSpaceDE/>
        <w:autoSpaceDN/>
        <w:bidi w:val="0"/>
        <w:snapToGrid/>
        <w:spacing w:line="430" w:lineRule="exact"/>
        <w:textAlignment w:val="auto"/>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1B400FE8">
      <w:pPr>
        <w:pStyle w:val="2"/>
        <w:pageBreakBefore w:val="0"/>
        <w:widowControl w:val="0"/>
        <w:kinsoku/>
        <w:wordWrap/>
        <w:overflowPunct/>
        <w:topLinePunct w:val="0"/>
        <w:autoSpaceDE/>
        <w:autoSpaceDN/>
        <w:bidi w:val="0"/>
        <w:adjustRightInd/>
        <w:snapToGrid/>
        <w:spacing w:before="0" w:after="0" w:line="43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297D9F4F">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1C83D5AF">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679FC6C">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4887D75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3C610DD">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503192A">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0C33CEAE">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6F7D575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5DD62B4B">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923A9AD">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8B756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284ECE69">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54DA3AD9">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15E557DA">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5EEBE265">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14027"/>
      <w:bookmarkStart w:id="66" w:name="_Toc152045603"/>
      <w:bookmarkStart w:id="67" w:name="_Toc384308277"/>
      <w:bookmarkStart w:id="68" w:name="_Toc352691538"/>
      <w:bookmarkStart w:id="69" w:name="_Toc144974570"/>
      <w:bookmarkStart w:id="70" w:name="_Toc152042380"/>
      <w:bookmarkStart w:id="71" w:name="_Toc300835013"/>
      <w:bookmarkStart w:id="72" w:name="_Toc2907"/>
      <w:bookmarkStart w:id="73" w:name="_Toc369531582"/>
      <w:bookmarkStart w:id="74" w:name="_Toc361508651"/>
      <w:bookmarkStart w:id="75" w:name="_Toc24752762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33795835"/>
      <w:bookmarkStart w:id="78" w:name="_Toc13563"/>
      <w:bookmarkStart w:id="79" w:name="_Toc29291"/>
    </w:p>
    <w:p w14:paraId="3F86E79E">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C8C469A">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720828EC">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2FCC4F32">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0D5E8FBF">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795836"/>
      <w:bookmarkStart w:id="82" w:name="_Toc336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79AA667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617347F9">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36FEC0">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761F0B69">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7E008904">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11654C98">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84" w:name="_Toc8518"/>
      <w:bookmarkStart w:id="85" w:name="_Toc9481"/>
      <w:bookmarkStart w:id="86" w:name="_Toc33795807"/>
    </w:p>
    <w:p w14:paraId="2318A3C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4C2080AE">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7" w:name="_Toc16094"/>
      <w:bookmarkStart w:id="88" w:name="_Toc30852"/>
      <w:bookmarkStart w:id="89" w:name="_Toc21093"/>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13BBE91C">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0FA98569">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91" w:name="_Toc19079"/>
      <w:bookmarkStart w:id="92" w:name="_Toc7018"/>
      <w:bookmarkStart w:id="93" w:name="_Toc10372"/>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02735F9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52691505"/>
      <w:bookmarkStart w:id="96" w:name="_Toc152042337"/>
      <w:bookmarkStart w:id="97" w:name="_Toc369531549"/>
      <w:bookmarkStart w:id="98" w:name="_Toc361508618"/>
      <w:bookmarkStart w:id="99" w:name="_Toc247527586"/>
      <w:bookmarkStart w:id="100" w:name="_Toc247513985"/>
      <w:bookmarkStart w:id="101" w:name="_Toc384308243"/>
      <w:bookmarkStart w:id="102" w:name="_Toc30095"/>
      <w:bookmarkStart w:id="103" w:name="_Toc152045561"/>
      <w:bookmarkStart w:id="104" w:name="_Toc144974529"/>
      <w:bookmarkStart w:id="105" w:name="_Toc300834982"/>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8C3913D">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06" w:name="_Toc28756"/>
      <w:bookmarkStart w:id="107" w:name="_Toc33795810"/>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0AE25D90">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0BCD6969">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4C09345D">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04BEDBB">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14" w:name="_Toc6928"/>
      <w:bookmarkStart w:id="115" w:name="_Toc10813"/>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51A27BAF">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5668"/>
      <w:bookmarkStart w:id="120" w:name="_Toc361508619"/>
      <w:bookmarkStart w:id="121" w:name="_Toc300834983"/>
      <w:bookmarkStart w:id="122" w:name="_Toc352691506"/>
      <w:bookmarkStart w:id="123" w:name="_Toc36953155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8B8148F">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4" w:name="_Toc33795813"/>
      <w:bookmarkStart w:id="125" w:name="_Toc4342"/>
      <w:bookmarkStart w:id="126" w:name="_Toc30705"/>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7410001C">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0DCD0150">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18889D5C">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8" w:name="_Toc14362"/>
      <w:bookmarkStart w:id="129" w:name="_Toc3671"/>
      <w:bookmarkStart w:id="130" w:name="_Toc11183"/>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0A337CBE">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4656"/>
      <w:bookmarkStart w:id="133" w:name="_Toc247513988"/>
      <w:bookmarkStart w:id="134" w:name="_Toc152045564"/>
      <w:bookmarkStart w:id="135" w:name="_Toc300834986"/>
      <w:bookmarkStart w:id="136" w:name="_Toc361508622"/>
      <w:bookmarkStart w:id="137" w:name="_Toc144974532"/>
      <w:bookmarkStart w:id="138" w:name="_Toc247527589"/>
      <w:bookmarkStart w:id="139" w:name="_Toc352691509"/>
      <w:bookmarkStart w:id="140" w:name="_Toc152042340"/>
      <w:bookmarkStart w:id="141" w:name="_Toc369531553"/>
      <w:bookmarkStart w:id="142"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27590"/>
      <w:bookmarkStart w:id="144" w:name="_Toc300834987"/>
      <w:bookmarkStart w:id="145" w:name="_Toc152042341"/>
      <w:bookmarkStart w:id="146" w:name="_Toc384308248"/>
      <w:bookmarkStart w:id="147" w:name="_Toc18247"/>
      <w:bookmarkStart w:id="148" w:name="_Toc352691510"/>
      <w:bookmarkStart w:id="149" w:name="_Toc247513989"/>
      <w:bookmarkStart w:id="150" w:name="_Toc361508623"/>
      <w:bookmarkStart w:id="151" w:name="_Toc369531554"/>
      <w:bookmarkStart w:id="152" w:name="_Toc144974533"/>
      <w:bookmarkStart w:id="153" w:name="_Toc152045565"/>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0B6AB51">
      <w:pPr>
        <w:pageBreakBefore w:val="0"/>
        <w:widowControl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61508627"/>
      <w:bookmarkStart w:id="156" w:name="_Toc384308252"/>
      <w:bookmarkStart w:id="157" w:name="_Toc247527593"/>
      <w:bookmarkStart w:id="158" w:name="_Toc144974536"/>
      <w:bookmarkStart w:id="159" w:name="_Toc152042344"/>
      <w:bookmarkStart w:id="160" w:name="_Toc247513992"/>
      <w:bookmarkStart w:id="161" w:name="_Toc300834991"/>
      <w:bookmarkStart w:id="162" w:name="_Toc152045568"/>
    </w:p>
    <w:bookmarkEnd w:id="154"/>
    <w:bookmarkEnd w:id="155"/>
    <w:bookmarkEnd w:id="156"/>
    <w:p w14:paraId="1194FA54">
      <w:pPr>
        <w:pStyle w:val="2"/>
        <w:pageBreakBefore w:val="0"/>
        <w:widowControl w:val="0"/>
        <w:kinsoku/>
        <w:wordWrap/>
        <w:overflowPunct/>
        <w:topLinePunct w:val="0"/>
        <w:autoSpaceDE/>
        <w:autoSpaceDN/>
        <w:bidi w:val="0"/>
        <w:adjustRightInd/>
        <w:snapToGrid/>
        <w:spacing w:before="0" w:after="0" w:line="430" w:lineRule="exact"/>
        <w:ind w:left="0" w:firstLine="562" w:firstLineChars="200"/>
        <w:jc w:val="both"/>
        <w:textAlignment w:val="auto"/>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526E23B3">
      <w:pPr>
        <w:pageBreakBefore w:val="0"/>
        <w:widowControl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0E3AF6B6">
      <w:pPr>
        <w:pageBreakBefore w:val="0"/>
        <w:widowControl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5F62EC8B">
      <w:pPr>
        <w:pStyle w:val="3"/>
        <w:pageBreakBefore w:val="0"/>
        <w:widowControl w:val="0"/>
        <w:numPr>
          <w:ilvl w:val="0"/>
          <w:numId w:val="0"/>
        </w:numPr>
        <w:kinsoku/>
        <w:wordWrap/>
        <w:overflowPunct/>
        <w:topLinePunct w:val="0"/>
        <w:autoSpaceDE/>
        <w:autoSpaceDN/>
        <w:bidi w:val="0"/>
        <w:adjustRightInd/>
        <w:snapToGrid/>
        <w:spacing w:before="0" w:after="0" w:line="430" w:lineRule="exact"/>
        <w:ind w:left="0" w:firstLine="560" w:firstLineChars="200"/>
        <w:jc w:val="both"/>
        <w:textAlignment w:val="auto"/>
        <w:rPr>
          <w:rFonts w:hint="eastAsia" w:ascii="仿宋" w:hAnsi="仿宋" w:eastAsia="仿宋" w:cs="仿宋"/>
          <w:color w:val="auto"/>
          <w:sz w:val="28"/>
          <w:szCs w:val="28"/>
        </w:rPr>
      </w:pPr>
      <w:bookmarkStart w:id="171" w:name="_Toc24957"/>
      <w:bookmarkStart w:id="172" w:name="_Toc18070"/>
      <w:bookmarkStart w:id="173" w:name="_Toc22294"/>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075C4696">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7EA58014">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7C8290E3">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343C0A2B">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446589BC">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5C291B99">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667EAF40">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64A5E83A">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0C1B0ADB">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14:paraId="6DECFAAC">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宋体" w:hAnsi="宋体" w:eastAsia="宋体" w:cs="宋体"/>
          <w:b/>
          <w:bCs/>
          <w:color w:val="auto"/>
          <w:sz w:val="36"/>
          <w:szCs w:val="36"/>
          <w:lang w:val="en-US" w:eastAsia="zh-CN"/>
        </w:rPr>
      </w:pPr>
    </w:p>
    <w:p w14:paraId="5ECC1F43">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宋体" w:hAnsi="宋体" w:eastAsia="宋体" w:cs="宋体"/>
          <w:b/>
          <w:bCs/>
          <w:color w:val="auto"/>
          <w:sz w:val="36"/>
          <w:szCs w:val="36"/>
          <w:lang w:val="en-US" w:eastAsia="zh-CN"/>
        </w:rPr>
      </w:pPr>
    </w:p>
    <w:p w14:paraId="12E652B8">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宋体" w:hAnsi="宋体" w:eastAsia="宋体" w:cs="宋体"/>
          <w:b/>
          <w:bCs/>
          <w:color w:val="auto"/>
          <w:sz w:val="36"/>
          <w:szCs w:val="36"/>
          <w:lang w:val="en-US" w:eastAsia="zh-CN"/>
        </w:rPr>
      </w:pPr>
    </w:p>
    <w:p w14:paraId="236B0314">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2DEFA9F9">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C40E169">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6849FB3D">
      <w:pPr>
        <w:spacing w:line="400" w:lineRule="exact"/>
        <w:rPr>
          <w:rFonts w:hint="eastAsia" w:ascii="仿宋" w:hAnsi="仿宋" w:eastAsia="仿宋" w:cs="仿宋"/>
          <w:color w:val="auto"/>
          <w:sz w:val="32"/>
          <w:szCs w:val="32"/>
        </w:rPr>
      </w:pPr>
    </w:p>
    <w:p w14:paraId="4D2F4372">
      <w:pPr>
        <w:spacing w:line="360" w:lineRule="auto"/>
        <w:jc w:val="center"/>
        <w:rPr>
          <w:rFonts w:hint="eastAsia" w:ascii="黑体" w:hAnsi="黑体" w:eastAsia="黑体" w:cs="黑体"/>
          <w:b/>
          <w:bCs/>
          <w:color w:val="auto"/>
          <w:sz w:val="44"/>
          <w:szCs w:val="44"/>
          <w:lang w:eastAsia="zh-CN"/>
        </w:rPr>
      </w:pPr>
    </w:p>
    <w:p w14:paraId="21F358EA">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EECF7E0">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2026年后半年润滑脂采购项目二次</w:t>
      </w:r>
    </w:p>
    <w:p w14:paraId="3F99CC7F">
      <w:pPr>
        <w:spacing w:line="360" w:lineRule="auto"/>
        <w:jc w:val="center"/>
        <w:rPr>
          <w:rFonts w:hint="eastAsia" w:ascii="黑体" w:hAnsi="黑体" w:eastAsia="黑体" w:cs="黑体"/>
          <w:b/>
          <w:bCs/>
          <w:color w:val="auto"/>
          <w:sz w:val="44"/>
          <w:szCs w:val="44"/>
          <w:lang w:val="en-US" w:eastAsia="zh-CN"/>
        </w:rPr>
      </w:pPr>
      <w:bookmarkStart w:id="206" w:name="_GoBack"/>
      <w:bookmarkEnd w:id="206"/>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441C82B0">
      <w:pPr>
        <w:spacing w:line="360" w:lineRule="auto"/>
        <w:jc w:val="center"/>
        <w:rPr>
          <w:rFonts w:hint="eastAsia" w:ascii="黑体" w:hAnsi="黑体" w:eastAsia="黑体" w:cs="黑体"/>
          <w:b/>
          <w:bCs/>
          <w:color w:val="auto"/>
          <w:sz w:val="44"/>
          <w:szCs w:val="44"/>
          <w:lang w:val="en-US" w:eastAsia="zh-CN"/>
        </w:rPr>
      </w:pPr>
    </w:p>
    <w:p w14:paraId="35BC7372">
      <w:pPr>
        <w:rPr>
          <w:rFonts w:hint="eastAsia" w:ascii="黑体" w:hAnsi="黑体" w:eastAsia="黑体" w:cs="黑体"/>
          <w:b/>
          <w:bCs/>
          <w:color w:val="auto"/>
          <w:sz w:val="44"/>
          <w:szCs w:val="44"/>
        </w:rPr>
      </w:pPr>
    </w:p>
    <w:p w14:paraId="0A649141">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0874AEDD">
      <w:pPr>
        <w:jc w:val="center"/>
        <w:rPr>
          <w:rFonts w:hint="eastAsia" w:ascii="黑体" w:hAnsi="黑体" w:eastAsia="黑体" w:cs="黑体"/>
          <w:b/>
          <w:bCs/>
          <w:color w:val="auto"/>
          <w:sz w:val="44"/>
          <w:szCs w:val="44"/>
        </w:rPr>
      </w:pPr>
    </w:p>
    <w:p w14:paraId="5FEA8AB6">
      <w:pPr>
        <w:rPr>
          <w:rFonts w:hint="eastAsia" w:ascii="仿宋" w:hAnsi="仿宋" w:eastAsia="仿宋" w:cs="仿宋"/>
          <w:color w:val="auto"/>
          <w:sz w:val="32"/>
          <w:szCs w:val="32"/>
        </w:rPr>
      </w:pPr>
    </w:p>
    <w:p w14:paraId="01EBA817">
      <w:pPr>
        <w:rPr>
          <w:rFonts w:hint="eastAsia" w:ascii="仿宋" w:hAnsi="仿宋" w:eastAsia="仿宋" w:cs="仿宋"/>
          <w:color w:val="auto"/>
          <w:sz w:val="32"/>
          <w:szCs w:val="32"/>
        </w:rPr>
      </w:pPr>
    </w:p>
    <w:p w14:paraId="49387392">
      <w:pPr>
        <w:rPr>
          <w:rFonts w:hint="eastAsia" w:ascii="仿宋" w:hAnsi="仿宋" w:eastAsia="仿宋" w:cs="仿宋"/>
          <w:color w:val="auto"/>
          <w:sz w:val="32"/>
          <w:szCs w:val="32"/>
        </w:rPr>
      </w:pPr>
    </w:p>
    <w:p w14:paraId="51169FDC">
      <w:pPr>
        <w:rPr>
          <w:rFonts w:hint="eastAsia" w:ascii="仿宋" w:hAnsi="仿宋" w:eastAsia="仿宋" w:cs="仿宋"/>
          <w:color w:val="auto"/>
          <w:sz w:val="32"/>
          <w:szCs w:val="32"/>
        </w:rPr>
      </w:pPr>
    </w:p>
    <w:p w14:paraId="43E7921C">
      <w:pPr>
        <w:rPr>
          <w:rFonts w:hint="eastAsia" w:ascii="仿宋" w:hAnsi="仿宋" w:eastAsia="仿宋" w:cs="仿宋"/>
          <w:color w:val="auto"/>
          <w:sz w:val="32"/>
          <w:szCs w:val="32"/>
        </w:rPr>
      </w:pPr>
    </w:p>
    <w:p w14:paraId="71793DB5">
      <w:pPr>
        <w:rPr>
          <w:rFonts w:hint="eastAsia" w:ascii="仿宋" w:hAnsi="仿宋" w:eastAsia="仿宋" w:cs="仿宋"/>
          <w:color w:val="auto"/>
          <w:sz w:val="32"/>
          <w:szCs w:val="32"/>
        </w:rPr>
      </w:pPr>
    </w:p>
    <w:p w14:paraId="6F2412DB">
      <w:pPr>
        <w:rPr>
          <w:rFonts w:hint="eastAsia" w:ascii="仿宋" w:hAnsi="仿宋" w:eastAsia="仿宋" w:cs="仿宋"/>
          <w:color w:val="auto"/>
          <w:sz w:val="32"/>
          <w:szCs w:val="32"/>
        </w:rPr>
      </w:pPr>
    </w:p>
    <w:p w14:paraId="5B341F98">
      <w:pPr>
        <w:rPr>
          <w:rFonts w:hint="eastAsia" w:ascii="仿宋" w:hAnsi="仿宋" w:eastAsia="仿宋" w:cs="仿宋"/>
          <w:color w:val="auto"/>
          <w:sz w:val="32"/>
          <w:szCs w:val="32"/>
        </w:rPr>
      </w:pPr>
    </w:p>
    <w:p w14:paraId="3F7A0FB5">
      <w:pPr>
        <w:spacing w:line="360" w:lineRule="auto"/>
        <w:rPr>
          <w:rFonts w:hint="eastAsia" w:ascii="仿宋" w:hAnsi="仿宋" w:eastAsia="仿宋" w:cs="仿宋"/>
          <w:color w:val="auto"/>
          <w:sz w:val="32"/>
          <w:szCs w:val="32"/>
        </w:rPr>
      </w:pPr>
    </w:p>
    <w:p w14:paraId="3FB36F2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5C7C12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EC8672B">
      <w:pPr>
        <w:jc w:val="center"/>
        <w:rPr>
          <w:rFonts w:hint="eastAsia" w:ascii="宋体" w:hAnsi="宋体" w:eastAsia="宋体" w:cs="宋体"/>
          <w:b/>
          <w:bCs/>
          <w:color w:val="auto"/>
          <w:sz w:val="32"/>
          <w:szCs w:val="32"/>
        </w:rPr>
      </w:pPr>
    </w:p>
    <w:p w14:paraId="20861A2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7CA49DDA">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0D45235A">
      <w:pPr>
        <w:spacing w:line="540" w:lineRule="exact"/>
        <w:rPr>
          <w:rFonts w:hint="eastAsia" w:ascii="仿宋" w:hAnsi="仿宋" w:eastAsia="仿宋" w:cs="仿宋"/>
          <w:color w:val="auto"/>
          <w:sz w:val="32"/>
          <w:szCs w:val="32"/>
        </w:rPr>
      </w:pPr>
    </w:p>
    <w:p w14:paraId="2BE5B5B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4FE2107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08ACC3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33AA77A2">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3BA786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1696DA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503A2332">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A429777">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1508D8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27DC3F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0CADA7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040F270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33F6B1B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2255D85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862ACF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12E8759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9BBFC9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18C1F9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44D7F2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AF49A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195308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1790891D">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5B045E0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AA9EE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4BCC57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BA0CB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CFC9E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342F06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2B839CD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78FB703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2C73301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52410C8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005DC05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227A4A8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6FDAD30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754E735C">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7B3FC1DA">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48702B3">
      <w:pPr>
        <w:spacing w:line="440" w:lineRule="exact"/>
        <w:rPr>
          <w:rFonts w:hint="eastAsia" w:ascii="仿宋" w:hAnsi="仿宋" w:eastAsia="仿宋" w:cs="仿宋"/>
          <w:color w:val="auto"/>
          <w:sz w:val="32"/>
          <w:szCs w:val="32"/>
        </w:rPr>
      </w:pPr>
    </w:p>
    <w:p w14:paraId="2326A20D">
      <w:pPr>
        <w:spacing w:line="440" w:lineRule="exact"/>
        <w:rPr>
          <w:rFonts w:hint="eastAsia" w:ascii="仿宋" w:hAnsi="仿宋" w:eastAsia="仿宋" w:cs="仿宋"/>
          <w:color w:val="auto"/>
          <w:sz w:val="32"/>
          <w:szCs w:val="32"/>
        </w:rPr>
      </w:pPr>
    </w:p>
    <w:p w14:paraId="5EB9E7A1">
      <w:pPr>
        <w:spacing w:line="440" w:lineRule="exact"/>
        <w:rPr>
          <w:rFonts w:hint="eastAsia" w:ascii="仿宋" w:hAnsi="仿宋" w:eastAsia="仿宋" w:cs="仿宋"/>
          <w:color w:val="auto"/>
          <w:sz w:val="32"/>
          <w:szCs w:val="32"/>
        </w:rPr>
      </w:pPr>
    </w:p>
    <w:p w14:paraId="54955EF3">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61E7679B">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1ED1B4B7">
      <w:pPr>
        <w:spacing w:line="440" w:lineRule="exact"/>
        <w:rPr>
          <w:rFonts w:hint="eastAsia" w:ascii="仿宋" w:hAnsi="仿宋" w:eastAsia="仿宋" w:cs="仿宋"/>
          <w:color w:val="auto"/>
          <w:sz w:val="32"/>
          <w:szCs w:val="32"/>
        </w:rPr>
      </w:pPr>
    </w:p>
    <w:p w14:paraId="5C8344BA">
      <w:pPr>
        <w:spacing w:line="440" w:lineRule="exact"/>
        <w:rPr>
          <w:rFonts w:hint="eastAsia" w:ascii="仿宋" w:hAnsi="仿宋" w:eastAsia="仿宋" w:cs="仿宋"/>
          <w:color w:val="auto"/>
          <w:sz w:val="32"/>
          <w:szCs w:val="32"/>
        </w:rPr>
      </w:pPr>
    </w:p>
    <w:p w14:paraId="660535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07930F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84308377"/>
      <w:bookmarkStart w:id="185" w:name="_Toc352691663"/>
      <w:bookmarkStart w:id="186" w:name="_Toc15573"/>
      <w:bookmarkStart w:id="187" w:name="_Toc369531699"/>
      <w:bookmarkStart w:id="188" w:name="_Toc361508754"/>
      <w:bookmarkStart w:id="189" w:name="_Toc247514248"/>
      <w:bookmarkStart w:id="190" w:name="_Toc247527829"/>
      <w:bookmarkStart w:id="191" w:name="_Toc152042578"/>
      <w:bookmarkStart w:id="192" w:name="_Toc300835211"/>
      <w:bookmarkStart w:id="193" w:name="_Toc152045789"/>
      <w:bookmarkStart w:id="194" w:name="_Toc14497485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32A80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3657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6E02C5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75BCC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083C83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71A87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67812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5947F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39B20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6D9DB7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496BEC7">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6BEBF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ABF3EC6">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8BF4118">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031ED348">
      <w:pPr>
        <w:spacing w:line="440" w:lineRule="exact"/>
        <w:rPr>
          <w:rFonts w:hint="eastAsia" w:ascii="仿宋" w:hAnsi="仿宋" w:eastAsia="仿宋" w:cs="仿宋"/>
          <w:color w:val="auto"/>
          <w:sz w:val="32"/>
          <w:szCs w:val="32"/>
        </w:rPr>
      </w:pPr>
    </w:p>
    <w:p w14:paraId="680525FB">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9EE97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3953082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7BC76FA2">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D68137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2E55B1E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A4C56D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69C111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B46EB5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4F51F22E">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4E8075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9FEE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FAC11E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56A54744">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3E469D1">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205087F">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CCB8BD">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3D9FA26F">
      <w:pPr>
        <w:spacing w:line="440" w:lineRule="exact"/>
        <w:rPr>
          <w:rFonts w:hint="eastAsia" w:ascii="仿宋" w:hAnsi="仿宋" w:eastAsia="仿宋" w:cs="仿宋"/>
          <w:b/>
          <w:bCs/>
          <w:color w:val="auto"/>
          <w:sz w:val="32"/>
          <w:szCs w:val="32"/>
        </w:rPr>
      </w:pPr>
    </w:p>
    <w:p w14:paraId="6E7A9D06">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EE6F74D">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316A5FD">
      <w:pPr>
        <w:spacing w:line="440" w:lineRule="exact"/>
        <w:rPr>
          <w:rFonts w:hint="eastAsia" w:ascii="仿宋" w:hAnsi="仿宋" w:eastAsia="仿宋" w:cs="仿宋"/>
          <w:color w:val="auto"/>
          <w:sz w:val="32"/>
          <w:szCs w:val="32"/>
          <w:u w:val="single"/>
        </w:rPr>
      </w:pPr>
    </w:p>
    <w:p w14:paraId="6F55871C">
      <w:pPr>
        <w:spacing w:line="440" w:lineRule="exact"/>
        <w:rPr>
          <w:rFonts w:hint="eastAsia" w:ascii="仿宋" w:hAnsi="仿宋" w:eastAsia="仿宋" w:cs="仿宋"/>
          <w:color w:val="auto"/>
          <w:sz w:val="32"/>
          <w:szCs w:val="32"/>
          <w:u w:val="single"/>
        </w:rPr>
      </w:pPr>
    </w:p>
    <w:p w14:paraId="7236F485">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39891384">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E2BE44B">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2807BFEB">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423C8BAD">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BB0684E">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2053BF16">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6FECC208">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2AE151A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1CE2B9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97FAC4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E3DF9F2">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245BE63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63E76F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368E216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BEE393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365E7CF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3560783F">
      <w:pPr>
        <w:snapToGrid w:val="0"/>
        <w:spacing w:line="312" w:lineRule="auto"/>
        <w:rPr>
          <w:rFonts w:hint="eastAsia" w:ascii="仿宋" w:hAnsi="仿宋" w:eastAsia="仿宋" w:cs="仿宋"/>
          <w:color w:val="auto"/>
          <w:sz w:val="32"/>
          <w:szCs w:val="32"/>
        </w:rPr>
      </w:pPr>
    </w:p>
    <w:p w14:paraId="19B04067">
      <w:pPr>
        <w:snapToGrid w:val="0"/>
        <w:spacing w:line="312" w:lineRule="auto"/>
        <w:rPr>
          <w:rFonts w:hint="eastAsia" w:ascii="仿宋" w:hAnsi="仿宋" w:eastAsia="仿宋" w:cs="仿宋"/>
          <w:color w:val="auto"/>
          <w:sz w:val="32"/>
          <w:szCs w:val="32"/>
        </w:rPr>
      </w:pPr>
    </w:p>
    <w:p w14:paraId="59C85F71">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B944365">
      <w:pPr>
        <w:snapToGrid w:val="0"/>
        <w:spacing w:line="312" w:lineRule="auto"/>
        <w:rPr>
          <w:rFonts w:hint="eastAsia" w:ascii="仿宋" w:hAnsi="仿宋" w:eastAsia="仿宋" w:cs="仿宋"/>
          <w:color w:val="auto"/>
          <w:sz w:val="32"/>
          <w:szCs w:val="32"/>
        </w:rPr>
      </w:pPr>
    </w:p>
    <w:p w14:paraId="56B92F5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06039FE5">
      <w:pPr>
        <w:snapToGrid w:val="0"/>
        <w:spacing w:line="312" w:lineRule="auto"/>
        <w:rPr>
          <w:rFonts w:hint="eastAsia" w:ascii="仿宋" w:hAnsi="仿宋" w:eastAsia="仿宋" w:cs="仿宋"/>
          <w:color w:val="auto"/>
          <w:sz w:val="32"/>
          <w:szCs w:val="32"/>
        </w:rPr>
      </w:pPr>
    </w:p>
    <w:p w14:paraId="115946F6">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0DA1141B">
      <w:pPr>
        <w:snapToGrid w:val="0"/>
        <w:spacing w:line="312" w:lineRule="auto"/>
        <w:ind w:firstLine="1280" w:firstLineChars="400"/>
        <w:rPr>
          <w:rFonts w:hint="eastAsia" w:ascii="仿宋" w:hAnsi="仿宋" w:eastAsia="仿宋" w:cs="仿宋"/>
          <w:color w:val="auto"/>
          <w:sz w:val="32"/>
          <w:szCs w:val="32"/>
        </w:rPr>
      </w:pPr>
    </w:p>
    <w:p w14:paraId="334601FD">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EC75C0F">
      <w:pPr>
        <w:pStyle w:val="8"/>
        <w:snapToGrid w:val="0"/>
        <w:spacing w:after="120"/>
        <w:ind w:firstLine="0" w:firstLineChars="0"/>
        <w:jc w:val="both"/>
        <w:rPr>
          <w:rFonts w:hint="eastAsia" w:ascii="仿宋" w:hAnsi="仿宋" w:eastAsia="仿宋" w:cs="仿宋"/>
          <w:color w:val="auto"/>
          <w:sz w:val="32"/>
          <w:szCs w:val="32"/>
        </w:rPr>
      </w:pPr>
    </w:p>
    <w:p w14:paraId="647356E9">
      <w:pPr>
        <w:pStyle w:val="8"/>
        <w:snapToGrid w:val="0"/>
        <w:spacing w:after="120"/>
        <w:ind w:firstLine="0" w:firstLineChars="0"/>
        <w:jc w:val="both"/>
        <w:rPr>
          <w:rFonts w:hint="eastAsia" w:ascii="仿宋" w:hAnsi="仿宋" w:eastAsia="仿宋" w:cs="仿宋"/>
          <w:color w:val="auto"/>
          <w:sz w:val="32"/>
          <w:szCs w:val="32"/>
        </w:rPr>
      </w:pPr>
    </w:p>
    <w:p w14:paraId="0A711638">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42718F2C">
      <w:pPr>
        <w:widowControl/>
        <w:jc w:val="left"/>
        <w:rPr>
          <w:rFonts w:ascii="Times New Roman" w:hAnsi="Times New Roman"/>
          <w:color w:val="auto"/>
          <w:sz w:val="24"/>
          <w:szCs w:val="24"/>
        </w:rPr>
      </w:pPr>
    </w:p>
    <w:p w14:paraId="5183B077">
      <w:pPr>
        <w:spacing w:line="440" w:lineRule="exact"/>
        <w:jc w:val="center"/>
        <w:rPr>
          <w:rFonts w:ascii="Times New Roman" w:hAnsi="Times New Roman" w:eastAsia="黑体"/>
          <w:color w:val="auto"/>
          <w:sz w:val="27"/>
          <w:szCs w:val="27"/>
        </w:rPr>
      </w:pPr>
    </w:p>
    <w:p w14:paraId="11687ED2">
      <w:pPr>
        <w:spacing w:line="440" w:lineRule="exact"/>
        <w:ind w:firstLine="420" w:firstLineChars="200"/>
        <w:rPr>
          <w:rFonts w:ascii="Times New Roman" w:hAnsi="Times New Roman"/>
          <w:color w:val="auto"/>
          <w:szCs w:val="21"/>
        </w:rPr>
      </w:pPr>
    </w:p>
    <w:p w14:paraId="7FE6BFA2">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A4FF81C">
      <w:pPr>
        <w:pStyle w:val="2"/>
        <w:pageBreakBefore w:val="0"/>
        <w:numPr>
          <w:ilvl w:val="0"/>
          <w:numId w:val="0"/>
        </w:numPr>
        <w:kinsoku/>
        <w:wordWrap/>
        <w:overflowPunct/>
        <w:topLinePunct w:val="0"/>
        <w:autoSpaceDE/>
        <w:autoSpaceDN/>
        <w:bidi w:val="0"/>
        <w:adjustRightInd/>
        <w:snapToGrid/>
        <w:spacing w:line="400" w:lineRule="exact"/>
        <w:jc w:val="left"/>
        <w:rPr>
          <w:rFonts w:hint="default"/>
          <w:lang w:val="en-US" w:eastAsia="zh-CN"/>
        </w:rPr>
      </w:pPr>
      <w:bookmarkStart w:id="200" w:name="_Toc504488775"/>
      <w:bookmarkStart w:id="201" w:name="_Toc1755"/>
      <w:r>
        <w:rPr>
          <w:rFonts w:hint="eastAsia" w:ascii="Times New Roman" w:hAnsi="Times New Roman" w:eastAsia="宋体" w:cs="Times New Roman"/>
          <w:b/>
          <w:bCs/>
          <w:color w:val="auto"/>
          <w:kern w:val="2"/>
          <w:sz w:val="32"/>
          <w:szCs w:val="32"/>
          <w:lang w:val="en-US" w:eastAsia="zh-CN" w:bidi="ar-SA"/>
        </w:rPr>
        <w:t>五、分项报价</w:t>
      </w:r>
    </w:p>
    <w:tbl>
      <w:tblPr>
        <w:tblStyle w:val="9"/>
        <w:tblW w:w="8568"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816"/>
        <w:gridCol w:w="732"/>
        <w:gridCol w:w="1188"/>
        <w:gridCol w:w="1080"/>
        <w:gridCol w:w="1200"/>
      </w:tblGrid>
      <w:tr w14:paraId="7C3E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84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物资名称及规格型号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7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报价     品牌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07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 （元）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3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 注</w:t>
            </w:r>
          </w:p>
        </w:tc>
      </w:tr>
      <w:tr w14:paraId="738B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C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D0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道康宁二甲基硅油，PMX-200,粘度1000cs,最低温度-50℃、最高温度350℃,240升/桶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413">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C4F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9CAE">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5204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4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3C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3#、二硫化钼锂基脂、5kg/桶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C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55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83BE">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A4D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5B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3#、钙基脂、5kg/桶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F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5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22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14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1C0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4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0C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3#夏用通用锂基脂、15升/桶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0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京科牌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2423">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7ED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F56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9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黄油，2#工程机械销轴润滑脂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9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A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5376">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B35C">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0A8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87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黄油，3#工程机械销轴润滑脂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3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C560">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3A6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59D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7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57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高温润滑脂 7014-1，1kg/桶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F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7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长城牌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49C0">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185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D76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7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0C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多功能锂基润滑脂，EP2,16kg/桶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A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44D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BD19">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DB9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C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B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润滑脂NLG12 耐高温300</w:t>
            </w:r>
            <w:r>
              <w:rPr>
                <w:rStyle w:val="14"/>
                <w:lang w:val="en-US" w:eastAsia="zh-CN" w:bidi="ar"/>
              </w:rPr>
              <w:t>℃</w:t>
            </w:r>
            <w:r>
              <w:rPr>
                <w:rStyle w:val="15"/>
                <w:lang w:val="en-US" w:eastAsia="zh-CN" w:bidi="ar"/>
              </w:rPr>
              <w:t>以上， 16kg/桶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4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DDF">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6F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976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2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润滑脂，EM MOBIL POLYR/EX EM,    16kg/桶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4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E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7A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67F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6A91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F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超级齿轮油600xP220，18升/桶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1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A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861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6D8">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447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F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B8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轴承润滑油NLGI2,180Kg/桶装</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A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257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C1E">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2A2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7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B6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SKF润滑油LGWA2  5kg/桶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6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 SKF</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1A9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8B3">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579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F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8B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耐高温黄油喷剂，450ml/瓶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D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6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AC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021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5EF3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6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59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通用二冲程机械，园林专用，    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C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194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E50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6F9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B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机油，API 5W-40，4L/桶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C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6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蓝壳HX7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183">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E2F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260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L-HM46,高压抗磨液压油，180L/桶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7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C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CC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C8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112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B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合成制动液（刹车油）DOT3、4L/桶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0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B7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C8A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2A7F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C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8#液力传动油、18L/桶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157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4BFF">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5FDC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7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B2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柴油机油，CK4,18L/桶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B619">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78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C28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0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3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机油，SAE 10W-40 ,4L/桶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A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F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   五十铃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FBF6">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E6B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6691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8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D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机油，C-4-15W-40，18kg/桶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2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E8A6">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58B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2D9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0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34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重负荷齿轮油、18L/桶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4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3B0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BA2C">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00C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C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F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沃尔沃特级柴油机油VDS-3、SAE15W-40, 20L/桶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B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B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沃尔沃专用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35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160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535F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99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小松挖掘机发动机机油，15W-40、DH-1、CL-4, 18L/桶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6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5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小松制作纯正油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228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75F">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536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B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小松纯正液压油  H068-HM   180L/桶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9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小松制作纯正油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5630">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B70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9A7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1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昆仑之星冷却液HEC-JI-25、冻点&lt;-25℃，18kg/桶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F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0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昆仑牌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2D0">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38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782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F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A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国六车用尿素、10kg/桶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9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6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陕汽重卡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A33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AE5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64C8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3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7B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C1-4-15W-40机油,18升/桶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6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5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92D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479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157D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25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安美通用润滑脂 SHZ3  15kg/桶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D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8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D01C">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24EC">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C93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7EA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合计（填写报价合计）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0AB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553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F85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AFE">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B0B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568" w:type="dxa"/>
            <w:gridSpan w:val="6"/>
            <w:tcBorders>
              <w:top w:val="nil"/>
              <w:left w:val="nil"/>
              <w:bottom w:val="nil"/>
              <w:right w:val="nil"/>
            </w:tcBorders>
            <w:shd w:val="clear" w:color="auto" w:fill="auto"/>
            <w:noWrap/>
            <w:vAlign w:val="center"/>
          </w:tcPr>
          <w:p w14:paraId="061E9101">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注：缺项报价无效 </w:t>
            </w:r>
          </w:p>
          <w:p w14:paraId="10C0B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p w14:paraId="4050E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报价单位签字盖章：</w:t>
            </w:r>
            <w:r>
              <w:rPr>
                <w:rStyle w:val="16"/>
                <w:sz w:val="28"/>
                <w:szCs w:val="28"/>
                <w:lang w:val="en-US" w:eastAsia="zh-CN" w:bidi="ar"/>
              </w:rPr>
              <w:t xml:space="preserve">                           </w:t>
            </w:r>
          </w:p>
        </w:tc>
      </w:tr>
      <w:tr w14:paraId="39A8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68" w:type="dxa"/>
            <w:gridSpan w:val="6"/>
            <w:tcBorders>
              <w:top w:val="nil"/>
              <w:left w:val="nil"/>
              <w:bottom w:val="nil"/>
              <w:right w:val="nil"/>
            </w:tcBorders>
            <w:shd w:val="clear" w:color="auto" w:fill="auto"/>
            <w:noWrap/>
            <w:vAlign w:val="center"/>
          </w:tcPr>
          <w:p w14:paraId="618AD9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仿宋" w:hAnsi="仿宋" w:eastAsia="仿宋" w:cs="仿宋"/>
                <w:i w:val="0"/>
                <w:iCs w:val="0"/>
                <w:color w:val="000000"/>
                <w:sz w:val="28"/>
                <w:szCs w:val="28"/>
                <w:u w:val="single"/>
                <w:lang w:val="en-US"/>
              </w:rPr>
            </w:pPr>
            <w:r>
              <w:rPr>
                <w:rFonts w:hint="eastAsia" w:ascii="仿宋" w:hAnsi="仿宋" w:eastAsia="仿宋" w:cs="仿宋"/>
                <w:i w:val="0"/>
                <w:iCs w:val="0"/>
                <w:color w:val="000000"/>
                <w:kern w:val="0"/>
                <w:sz w:val="28"/>
                <w:szCs w:val="28"/>
                <w:u w:val="single"/>
                <w:lang w:val="en-US" w:eastAsia="zh-CN" w:bidi="ar"/>
              </w:rPr>
              <w:t xml:space="preserve">        </w:t>
            </w:r>
            <w:r>
              <w:rPr>
                <w:rStyle w:val="17"/>
                <w:sz w:val="28"/>
                <w:szCs w:val="28"/>
                <w:u w:val="single"/>
                <w:lang w:val="en-US" w:eastAsia="zh-CN" w:bidi="ar"/>
              </w:rPr>
              <w:t>年</w:t>
            </w:r>
            <w:r>
              <w:rPr>
                <w:rStyle w:val="16"/>
                <w:sz w:val="28"/>
                <w:szCs w:val="28"/>
                <w:lang w:val="en-US" w:eastAsia="zh-CN" w:bidi="ar"/>
              </w:rPr>
              <w:t xml:space="preserve">     </w:t>
            </w:r>
            <w:r>
              <w:rPr>
                <w:rStyle w:val="17"/>
                <w:sz w:val="28"/>
                <w:szCs w:val="28"/>
                <w:u w:val="single"/>
                <w:lang w:val="en-US" w:eastAsia="zh-CN" w:bidi="ar"/>
              </w:rPr>
              <w:t>月</w:t>
            </w:r>
            <w:r>
              <w:rPr>
                <w:rStyle w:val="16"/>
                <w:sz w:val="28"/>
                <w:szCs w:val="28"/>
                <w:lang w:val="en-US" w:eastAsia="zh-CN" w:bidi="ar"/>
              </w:rPr>
              <w:t xml:space="preserve">    </w:t>
            </w:r>
            <w:r>
              <w:rPr>
                <w:rStyle w:val="17"/>
                <w:sz w:val="28"/>
                <w:szCs w:val="28"/>
                <w:u w:val="single"/>
                <w:lang w:val="en-US" w:eastAsia="zh-CN" w:bidi="ar"/>
              </w:rPr>
              <w:t>日</w:t>
            </w:r>
          </w:p>
        </w:tc>
      </w:tr>
    </w:tbl>
    <w:p w14:paraId="75A5F67D">
      <w:pPr>
        <w:bidi w:val="0"/>
        <w:jc w:val="left"/>
        <w:rPr>
          <w:rFonts w:hint="eastAsia" w:ascii="Times New Roman" w:hAnsi="Times New Roman"/>
          <w:color w:val="auto"/>
          <w:kern w:val="0"/>
          <w:sz w:val="36"/>
          <w:szCs w:val="36"/>
          <w:lang w:val="en-US" w:eastAsia="zh-CN"/>
        </w:rPr>
      </w:pPr>
      <w:r>
        <w:rPr>
          <w:rFonts w:hint="eastAsia" w:ascii="Times New Roman" w:hAnsi="Times New Roman"/>
          <w:color w:val="auto"/>
          <w:kern w:val="0"/>
          <w:sz w:val="36"/>
          <w:szCs w:val="36"/>
          <w:lang w:val="en-US" w:eastAsia="zh-CN"/>
        </w:rPr>
        <w:t xml:space="preserve">  </w:t>
      </w:r>
    </w:p>
    <w:p w14:paraId="234DDECB">
      <w:pPr>
        <w:bidi w:val="0"/>
        <w:jc w:val="left"/>
        <w:rPr>
          <w:rFonts w:hint="eastAsia" w:ascii="Times New Roman" w:hAnsi="Times New Roman"/>
          <w:color w:val="auto"/>
          <w:kern w:val="0"/>
          <w:sz w:val="36"/>
          <w:szCs w:val="36"/>
          <w:lang w:val="en-US" w:eastAsia="zh-CN"/>
        </w:rPr>
      </w:pPr>
    </w:p>
    <w:p w14:paraId="007BE07E">
      <w:pPr>
        <w:bidi w:val="0"/>
        <w:jc w:val="left"/>
        <w:rPr>
          <w:rFonts w:hint="eastAsia" w:ascii="Times New Roman" w:hAnsi="Times New Roman"/>
          <w:color w:val="auto"/>
          <w:kern w:val="0"/>
          <w:sz w:val="36"/>
          <w:szCs w:val="36"/>
          <w:lang w:val="en-US" w:eastAsia="zh-CN"/>
        </w:rPr>
      </w:pPr>
    </w:p>
    <w:p w14:paraId="08382EC3">
      <w:pPr>
        <w:bidi w:val="0"/>
        <w:jc w:val="left"/>
        <w:rPr>
          <w:rFonts w:hint="eastAsia" w:ascii="Times New Roman" w:hAnsi="Times New Roman"/>
          <w:color w:val="auto"/>
          <w:kern w:val="0"/>
          <w:sz w:val="36"/>
          <w:szCs w:val="36"/>
          <w:lang w:val="en-US" w:eastAsia="zh-CN"/>
        </w:rPr>
      </w:pPr>
    </w:p>
    <w:p w14:paraId="66378D46">
      <w:pPr>
        <w:bidi w:val="0"/>
        <w:jc w:val="left"/>
        <w:rPr>
          <w:rFonts w:hint="eastAsia" w:ascii="Times New Roman" w:hAnsi="Times New Roman"/>
          <w:color w:val="auto"/>
          <w:kern w:val="0"/>
          <w:sz w:val="36"/>
          <w:szCs w:val="36"/>
          <w:lang w:val="en-US" w:eastAsia="zh-CN"/>
        </w:rPr>
      </w:pPr>
    </w:p>
    <w:p w14:paraId="57DDACE1">
      <w:pPr>
        <w:bidi w:val="0"/>
        <w:jc w:val="left"/>
        <w:rPr>
          <w:rFonts w:hint="eastAsia" w:ascii="Times New Roman" w:hAnsi="Times New Roman"/>
          <w:color w:val="auto"/>
          <w:kern w:val="0"/>
          <w:sz w:val="36"/>
          <w:szCs w:val="36"/>
          <w:lang w:val="en-US" w:eastAsia="zh-CN"/>
        </w:rPr>
      </w:pPr>
    </w:p>
    <w:p w14:paraId="52A2A402">
      <w:pPr>
        <w:bidi w:val="0"/>
        <w:jc w:val="left"/>
        <w:rPr>
          <w:rFonts w:hint="eastAsia" w:ascii="Times New Roman" w:hAnsi="Times New Roman"/>
          <w:color w:val="auto"/>
          <w:kern w:val="0"/>
          <w:sz w:val="36"/>
          <w:szCs w:val="36"/>
          <w:lang w:val="en-US" w:eastAsia="zh-CN"/>
        </w:rPr>
      </w:pPr>
    </w:p>
    <w:p w14:paraId="52A7B5A1">
      <w:pPr>
        <w:bidi w:val="0"/>
        <w:jc w:val="left"/>
        <w:rPr>
          <w:rFonts w:hint="eastAsia" w:ascii="Times New Roman" w:hAnsi="Times New Roman"/>
          <w:color w:val="auto"/>
          <w:kern w:val="0"/>
          <w:sz w:val="36"/>
          <w:szCs w:val="36"/>
          <w:lang w:val="en-US" w:eastAsia="zh-CN"/>
        </w:rPr>
      </w:pPr>
    </w:p>
    <w:p w14:paraId="30FD62B0">
      <w:pPr>
        <w:bidi w:val="0"/>
        <w:jc w:val="left"/>
        <w:rPr>
          <w:rFonts w:hint="eastAsia" w:ascii="Times New Roman" w:hAnsi="Times New Roman"/>
          <w:color w:val="auto"/>
          <w:kern w:val="0"/>
          <w:sz w:val="36"/>
          <w:szCs w:val="36"/>
          <w:lang w:val="en-US" w:eastAsia="zh-CN"/>
        </w:rPr>
      </w:pPr>
    </w:p>
    <w:p w14:paraId="2D72E133">
      <w:pPr>
        <w:bidi w:val="0"/>
        <w:jc w:val="left"/>
        <w:rPr>
          <w:rFonts w:hint="eastAsia" w:ascii="Times New Roman" w:hAnsi="Times New Roman"/>
          <w:color w:val="auto"/>
          <w:kern w:val="0"/>
          <w:sz w:val="36"/>
          <w:szCs w:val="36"/>
          <w:lang w:val="en-US" w:eastAsia="zh-CN"/>
        </w:rPr>
      </w:pPr>
    </w:p>
    <w:p w14:paraId="1840417F">
      <w:pPr>
        <w:bidi w:val="0"/>
        <w:jc w:val="left"/>
        <w:rPr>
          <w:rFonts w:hint="eastAsia" w:ascii="Times New Roman" w:hAnsi="Times New Roman"/>
          <w:color w:val="auto"/>
          <w:kern w:val="0"/>
          <w:sz w:val="36"/>
          <w:szCs w:val="36"/>
          <w:lang w:val="en-US" w:eastAsia="zh-CN"/>
        </w:rPr>
      </w:pPr>
    </w:p>
    <w:p w14:paraId="6BF3C541">
      <w:pPr>
        <w:bidi w:val="0"/>
        <w:jc w:val="left"/>
        <w:rPr>
          <w:rFonts w:ascii="Times New Roman" w:hAnsi="Times New Roman"/>
          <w:color w:val="auto"/>
        </w:rPr>
      </w:pP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14:paraId="5F349A1B">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4CA6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0F996B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6C8308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245E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4EE9E2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0ECAC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9013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0CA9DA9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8ACB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50FF0C6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467330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C60E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4556B4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0D97F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C515E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26ECD3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634D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200FCB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CAD2F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F8FB63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B69357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48D26D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3A47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15BA61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080B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397E43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D289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6AFD57D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C362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D9D93E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1AB44D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55F897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B172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77C1C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0D518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98A3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0F3EC2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044B0907">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09DE8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24E321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2804F1D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54C21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37F9ABD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7A9C6DD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4EAA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03A666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70CCD8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CAFC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29539321">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498EE88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148B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7357ED0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4641257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F0FB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70AB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0AD6B9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21F3BB3">
      <w:pPr>
        <w:spacing w:line="360" w:lineRule="auto"/>
        <w:ind w:firstLine="240" w:firstLineChars="1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7C53EBD2">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AB378C7">
      <w:pPr>
        <w:rPr>
          <w:b/>
          <w:color w:val="auto"/>
          <w:sz w:val="28"/>
          <w:szCs w:val="28"/>
        </w:rPr>
      </w:pPr>
      <w:r>
        <w:rPr>
          <w:rFonts w:hint="eastAsia" w:ascii="宋体" w:hAnsi="宋体" w:eastAsia="宋体" w:cs="宋体"/>
          <w:color w:val="auto"/>
          <w:sz w:val="24"/>
          <w:szCs w:val="24"/>
        </w:rPr>
        <w:br w:type="page"/>
      </w:r>
    </w:p>
    <w:p w14:paraId="7B9A5FB3">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42F3F4A3">
      <w:pPr>
        <w:spacing w:line="440" w:lineRule="exact"/>
        <w:ind w:firstLine="643" w:firstLineChars="200"/>
        <w:jc w:val="left"/>
        <w:rPr>
          <w:rFonts w:hint="eastAsia" w:ascii="仿宋" w:hAnsi="仿宋" w:eastAsia="仿宋" w:cs="仿宋"/>
          <w:b/>
          <w:color w:val="auto"/>
          <w:sz w:val="32"/>
          <w:szCs w:val="32"/>
          <w:u w:val="single"/>
        </w:rPr>
      </w:pPr>
    </w:p>
    <w:p w14:paraId="2769497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C4C8EB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0DDF2D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46316E8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03EB839B">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07DE7348">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71E2CD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77FACE90">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BC7CC7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5B9A957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FD09297">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A1F603E">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66115DA0"/>
    <w:p w14:paraId="5BD56EC2"/>
    <w:p w14:paraId="384DB68B"/>
    <w:p w14:paraId="4A4476B4"/>
    <w:p w14:paraId="74A47B44"/>
    <w:p w14:paraId="0D24952C"/>
    <w:p w14:paraId="1713D4C4"/>
    <w:p w14:paraId="01DA8283"/>
    <w:p w14:paraId="5F1E1345"/>
    <w:p w14:paraId="6857AA1B"/>
    <w:p w14:paraId="2648E62A"/>
    <w:p w14:paraId="67ACBE7B"/>
    <w:p w14:paraId="0BDC6738"/>
    <w:p w14:paraId="791C4B01"/>
    <w:p w14:paraId="6EB8FE2F"/>
    <w:p w14:paraId="2B06D436"/>
    <w:p w14:paraId="56F205A5"/>
    <w:p w14:paraId="2675687C"/>
    <w:p w14:paraId="14D02132"/>
    <w:p w14:paraId="6A4BECE9"/>
    <w:p w14:paraId="6294E848">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1CD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0B961C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7CE714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3B2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14E05FD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A51DA8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196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443EEA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4936AA9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C36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5A373F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4B6724D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230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333078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1FAC9B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31D10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27EC0B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E4BC9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F96837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A2A394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CB101E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02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DDE3A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5162540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CDB335">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AB1BD0C">
      <w:pPr>
        <w:spacing w:line="440" w:lineRule="exact"/>
        <w:ind w:firstLine="480" w:firstLineChars="200"/>
        <w:rPr>
          <w:color w:val="auto"/>
          <w:sz w:val="24"/>
          <w:szCs w:val="24"/>
        </w:rPr>
      </w:pPr>
    </w:p>
    <w:p w14:paraId="6F121536">
      <w:pPr>
        <w:spacing w:line="440" w:lineRule="exact"/>
        <w:rPr>
          <w:rFonts w:ascii="Times New Roman" w:hAnsi="Times New Roman"/>
          <w:color w:val="auto"/>
        </w:rPr>
      </w:pPr>
    </w:p>
    <w:p w14:paraId="0C5E636B">
      <w:pPr>
        <w:spacing w:line="440" w:lineRule="exact"/>
        <w:rPr>
          <w:rFonts w:ascii="Times New Roman" w:hAnsi="Times New Roman"/>
          <w:color w:val="auto"/>
        </w:rPr>
      </w:pPr>
    </w:p>
    <w:p w14:paraId="19BA2FA0">
      <w:pPr>
        <w:topLinePunct/>
        <w:spacing w:line="440" w:lineRule="exact"/>
        <w:rPr>
          <w:rFonts w:ascii="Times New Roman" w:hAnsi="Times New Roman"/>
          <w:color w:val="auto"/>
        </w:rPr>
      </w:pPr>
      <w:r>
        <w:rPr>
          <w:rFonts w:ascii="Times New Roman" w:hAnsi="Times New Roman"/>
          <w:color w:val="auto"/>
        </w:rPr>
        <w:br w:type="page"/>
      </w:r>
    </w:p>
    <w:p w14:paraId="60030BA1">
      <w:pPr>
        <w:spacing w:line="440" w:lineRule="exact"/>
        <w:rPr>
          <w:rFonts w:hint="eastAsia" w:ascii="Times New Roman"/>
          <w:b/>
          <w:bCs/>
          <w:color w:val="auto"/>
          <w:sz w:val="32"/>
          <w:szCs w:val="32"/>
        </w:rPr>
      </w:pPr>
      <w:bookmarkStart w:id="204" w:name="_Toc14234"/>
      <w:bookmarkStart w:id="205" w:name="_Toc504488780"/>
    </w:p>
    <w:p w14:paraId="682F3191">
      <w:pPr>
        <w:spacing w:line="440" w:lineRule="exact"/>
        <w:rPr>
          <w:rFonts w:ascii="Times New Roman"/>
          <w:b/>
          <w:bCs/>
          <w:color w:val="auto"/>
          <w:sz w:val="32"/>
          <w:szCs w:val="32"/>
        </w:rPr>
      </w:pPr>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14:paraId="4F6D9E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4282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095DF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58534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64A5BF4">
      <w:pPr>
        <w:spacing w:line="440" w:lineRule="exact"/>
        <w:rPr>
          <w:rFonts w:hint="eastAsia" w:ascii="Times New Roman"/>
          <w:b/>
          <w:bCs/>
          <w:color w:val="auto"/>
          <w:sz w:val="32"/>
          <w:szCs w:val="32"/>
        </w:rPr>
      </w:pPr>
    </w:p>
    <w:p w14:paraId="51F97ADE">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0CB29F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8C3A17">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1D818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278B5B8B">
      <w:pPr>
        <w:rPr>
          <w:rFonts w:hint="eastAsia"/>
          <w:lang w:val="en-US" w:eastAsia="zh-CN"/>
        </w:rPr>
      </w:pPr>
    </w:p>
    <w:p w14:paraId="19FD4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0B464A67"/>
    <w:p w14:paraId="105604F7"/>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646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6450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D6450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765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6E9A16BA"/>
    <w:rsid w:val="3EDE5446"/>
    <w:rsid w:val="42AD0777"/>
    <w:rsid w:val="50417B66"/>
    <w:rsid w:val="63CE1835"/>
    <w:rsid w:val="6E9A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 w:type="character" w:customStyle="1" w:styleId="14">
    <w:name w:val="font41"/>
    <w:basedOn w:val="10"/>
    <w:autoRedefine/>
    <w:qFormat/>
    <w:uiPriority w:val="0"/>
    <w:rPr>
      <w:rFonts w:ascii="宋体" w:hAnsi="宋体" w:eastAsia="宋体" w:cs="宋体"/>
      <w:color w:val="000000"/>
      <w:sz w:val="24"/>
      <w:szCs w:val="24"/>
      <w:u w:val="none"/>
    </w:rPr>
  </w:style>
  <w:style w:type="character" w:customStyle="1" w:styleId="15">
    <w:name w:val="font21"/>
    <w:basedOn w:val="10"/>
    <w:autoRedefine/>
    <w:qFormat/>
    <w:uiPriority w:val="0"/>
    <w:rPr>
      <w:rFonts w:hint="eastAsia" w:ascii="仿宋" w:hAnsi="仿宋" w:eastAsia="仿宋" w:cs="仿宋"/>
      <w:color w:val="000000"/>
      <w:sz w:val="24"/>
      <w:szCs w:val="24"/>
      <w:u w:val="none"/>
    </w:rPr>
  </w:style>
  <w:style w:type="character" w:customStyle="1" w:styleId="16">
    <w:name w:val="font31"/>
    <w:basedOn w:val="10"/>
    <w:autoRedefine/>
    <w:qFormat/>
    <w:uiPriority w:val="0"/>
    <w:rPr>
      <w:rFonts w:hint="eastAsia" w:ascii="仿宋" w:hAnsi="仿宋" w:eastAsia="仿宋" w:cs="仿宋"/>
      <w:color w:val="000000"/>
      <w:sz w:val="24"/>
      <w:szCs w:val="24"/>
      <w:u w:val="single"/>
    </w:rPr>
  </w:style>
  <w:style w:type="character" w:customStyle="1" w:styleId="17">
    <w:name w:val="font11"/>
    <w:basedOn w:val="10"/>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7987</Words>
  <Characters>8429</Characters>
  <Lines>0</Lines>
  <Paragraphs>0</Paragraphs>
  <TotalTime>3</TotalTime>
  <ScaleCrop>false</ScaleCrop>
  <LinksUpToDate>false</LinksUpToDate>
  <CharactersWithSpaces>8885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2025-12-18T03:40:00Z</dcterms:created>
  <dc:creator>瞬间无语</dc:creator>
  <cp:lastModifiedBy>瞬间无语</cp:lastModifiedBy>
  <cp:lastPrinted>2026-06-11T06:03:00Z</cp:lastPrinted>
  <dcterms:modified xsi:type="dcterms:W3CDTF">2026-06-17T03:06:10Z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BADBCA81E67C48D4B9438EAB8118A0DF_11</vt:lpwstr>
  </property>
  <property fmtid="{D5CDD505-2E9C-101B-9397-08002B2CF9AE}" pid="4" name="KSOTemplateDocerSaveRecord">
    <vt:lpwstr>eyJoZGlkIjoiYzJmOTZiODQzYWJiMjZmMWQzZGNhNWY0NzQyMjUwYzQiLCJ1c2VySWQiOiI1MjE0ODc1ODYifQ==</vt:lpwstr>
  </property>
</Properties>
</file>