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0CDCE">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40" w:lineRule="exact"/>
        <w:ind w:left="0" w:firstLine="0"/>
        <w:jc w:val="center"/>
        <w:rPr>
          <w:rStyle w:val="11"/>
          <w:rFonts w:hint="eastAsia" w:ascii="仿宋" w:hAnsi="仿宋" w:eastAsia="仿宋" w:cs="仿宋"/>
          <w:i w:val="0"/>
          <w:iCs w:val="0"/>
          <w:caps w:val="0"/>
          <w:color w:val="000000"/>
          <w:spacing w:val="0"/>
          <w:sz w:val="32"/>
          <w:szCs w:val="32"/>
        </w:rPr>
      </w:pPr>
      <w:r>
        <w:rPr>
          <w:rStyle w:val="11"/>
          <w:rFonts w:hint="eastAsia" w:ascii="仿宋" w:hAnsi="仿宋" w:eastAsia="仿宋" w:cs="仿宋"/>
          <w:i w:val="0"/>
          <w:iCs w:val="0"/>
          <w:caps w:val="0"/>
          <w:color w:val="000000"/>
          <w:spacing w:val="0"/>
          <w:sz w:val="32"/>
          <w:szCs w:val="32"/>
        </w:rPr>
        <w:t>陕西锌业有限公司</w:t>
      </w:r>
    </w:p>
    <w:p w14:paraId="312C7E7F">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40" w:lineRule="exact"/>
        <w:ind w:left="0" w:firstLine="0"/>
        <w:jc w:val="center"/>
        <w:rPr>
          <w:rFonts w:hint="eastAsia" w:ascii="仿宋" w:hAnsi="仿宋" w:eastAsia="仿宋" w:cs="仿宋"/>
          <w:i w:val="0"/>
          <w:iCs w:val="0"/>
          <w:caps w:val="0"/>
          <w:color w:val="000000"/>
          <w:spacing w:val="0"/>
          <w:sz w:val="32"/>
          <w:szCs w:val="32"/>
          <w:lang w:val="en-US" w:eastAsia="zh-CN"/>
        </w:rPr>
      </w:pPr>
      <w:r>
        <w:rPr>
          <w:rStyle w:val="11"/>
          <w:rFonts w:hint="eastAsia" w:ascii="仿宋" w:hAnsi="仿宋" w:eastAsia="仿宋" w:cs="仿宋"/>
          <w:i w:val="0"/>
          <w:iCs w:val="0"/>
          <w:caps w:val="0"/>
          <w:color w:val="000000"/>
          <w:spacing w:val="0"/>
          <w:sz w:val="32"/>
          <w:szCs w:val="32"/>
          <w:lang w:val="en-US" w:eastAsia="zh-CN"/>
        </w:rPr>
        <w:t>2026年下半年氢氧化钙采购项目二次</w:t>
      </w:r>
      <w:r>
        <w:rPr>
          <w:rStyle w:val="11"/>
          <w:rFonts w:hint="eastAsia" w:ascii="仿宋" w:hAnsi="仿宋" w:eastAsia="仿宋" w:cs="仿宋"/>
          <w:i w:val="0"/>
          <w:iCs w:val="0"/>
          <w:caps w:val="0"/>
          <w:color w:val="000000"/>
          <w:spacing w:val="0"/>
          <w:sz w:val="32"/>
          <w:szCs w:val="32"/>
        </w:rPr>
        <w:t>询比采购</w:t>
      </w:r>
      <w:r>
        <w:rPr>
          <w:rStyle w:val="11"/>
          <w:rFonts w:hint="eastAsia" w:ascii="仿宋" w:hAnsi="仿宋" w:eastAsia="仿宋" w:cs="仿宋"/>
          <w:i w:val="0"/>
          <w:iCs w:val="0"/>
          <w:caps w:val="0"/>
          <w:color w:val="000000"/>
          <w:spacing w:val="0"/>
          <w:sz w:val="32"/>
          <w:szCs w:val="32"/>
          <w:lang w:val="en-US" w:eastAsia="zh-CN"/>
        </w:rPr>
        <w:t>文件</w:t>
      </w:r>
    </w:p>
    <w:p w14:paraId="2077FE1B">
      <w:pPr>
        <w:keepNext w:val="0"/>
        <w:keepLines w:val="0"/>
        <w:pageBreakBefore w:val="0"/>
        <w:kinsoku/>
        <w:wordWrap/>
        <w:overflowPunct/>
        <w:topLinePunct w:val="0"/>
        <w:autoSpaceDE/>
        <w:autoSpaceDN/>
        <w:bidi w:val="0"/>
        <w:adjustRightInd/>
        <w:snapToGrid/>
        <w:spacing w:line="44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p>
    <w:p w14:paraId="373FE4D0">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陕西锌业有限公司</w:t>
      </w:r>
      <w:r>
        <w:rPr>
          <w:rFonts w:hint="eastAsia" w:ascii="仿宋" w:hAnsi="仿宋" w:eastAsia="仿宋" w:cs="仿宋"/>
          <w:i w:val="0"/>
          <w:iCs w:val="0"/>
          <w:caps w:val="0"/>
          <w:color w:val="000000"/>
          <w:spacing w:val="0"/>
          <w:sz w:val="28"/>
          <w:szCs w:val="28"/>
          <w:lang w:val="en-US" w:eastAsia="zh-CN"/>
        </w:rPr>
        <w:t>因生产需要，</w:t>
      </w:r>
      <w:r>
        <w:rPr>
          <w:rFonts w:hint="eastAsia" w:ascii="仿宋" w:hAnsi="仿宋" w:eastAsia="仿宋" w:cs="仿宋"/>
          <w:i w:val="0"/>
          <w:iCs w:val="0"/>
          <w:caps w:val="0"/>
          <w:color w:val="000000"/>
          <w:spacing w:val="0"/>
          <w:sz w:val="28"/>
          <w:szCs w:val="28"/>
        </w:rPr>
        <w:t>拟</w:t>
      </w:r>
      <w:r>
        <w:rPr>
          <w:rFonts w:hint="eastAsia" w:ascii="仿宋" w:hAnsi="仿宋" w:eastAsia="仿宋" w:cs="仿宋"/>
          <w:i w:val="0"/>
          <w:iCs w:val="0"/>
          <w:caps w:val="0"/>
          <w:color w:val="000000"/>
          <w:spacing w:val="0"/>
          <w:sz w:val="28"/>
          <w:szCs w:val="28"/>
          <w:lang w:val="en-US" w:eastAsia="zh-CN"/>
        </w:rPr>
        <w:t>采购氢氧化钙若干</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按照公司有关规定，拟通过</w:t>
      </w:r>
      <w:r>
        <w:rPr>
          <w:rFonts w:hint="eastAsia" w:ascii="仿宋" w:hAnsi="仿宋" w:eastAsia="仿宋" w:cs="仿宋"/>
          <w:i w:val="0"/>
          <w:iCs w:val="0"/>
          <w:caps w:val="0"/>
          <w:color w:val="000000"/>
          <w:spacing w:val="0"/>
          <w:sz w:val="28"/>
          <w:szCs w:val="28"/>
        </w:rPr>
        <w:t>询比</w:t>
      </w:r>
      <w:r>
        <w:rPr>
          <w:rFonts w:hint="eastAsia" w:ascii="仿宋" w:hAnsi="仿宋" w:eastAsia="仿宋" w:cs="仿宋"/>
          <w:i w:val="0"/>
          <w:iCs w:val="0"/>
          <w:caps w:val="0"/>
          <w:color w:val="000000"/>
          <w:spacing w:val="0"/>
          <w:sz w:val="28"/>
          <w:szCs w:val="28"/>
          <w:lang w:val="en-US" w:eastAsia="zh-CN"/>
        </w:rPr>
        <w:t>方式确定供应商，欢迎</w:t>
      </w:r>
      <w:r>
        <w:rPr>
          <w:rFonts w:hint="eastAsia" w:ascii="仿宋" w:hAnsi="仿宋" w:eastAsia="仿宋" w:cs="仿宋"/>
          <w:i w:val="0"/>
          <w:iCs w:val="0"/>
          <w:caps w:val="0"/>
          <w:color w:val="000000"/>
          <w:spacing w:val="0"/>
          <w:sz w:val="28"/>
          <w:szCs w:val="28"/>
        </w:rPr>
        <w:t>具备相应资质</w:t>
      </w:r>
      <w:r>
        <w:rPr>
          <w:rFonts w:hint="eastAsia" w:ascii="仿宋" w:hAnsi="仿宋" w:eastAsia="仿宋" w:cs="仿宋"/>
          <w:i w:val="0"/>
          <w:iCs w:val="0"/>
          <w:caps w:val="0"/>
          <w:color w:val="000000"/>
          <w:spacing w:val="0"/>
          <w:sz w:val="28"/>
          <w:szCs w:val="28"/>
          <w:lang w:val="en-US" w:eastAsia="zh-CN"/>
        </w:rPr>
        <w:t>及能力</w:t>
      </w:r>
      <w:r>
        <w:rPr>
          <w:rFonts w:hint="eastAsia" w:ascii="仿宋" w:hAnsi="仿宋" w:eastAsia="仿宋" w:cs="仿宋"/>
          <w:i w:val="0"/>
          <w:iCs w:val="0"/>
          <w:caps w:val="0"/>
          <w:color w:val="000000"/>
          <w:spacing w:val="0"/>
          <w:sz w:val="28"/>
          <w:szCs w:val="28"/>
        </w:rPr>
        <w:t>的单位</w:t>
      </w:r>
      <w:r>
        <w:rPr>
          <w:rFonts w:hint="eastAsia" w:ascii="仿宋" w:hAnsi="仿宋" w:eastAsia="仿宋" w:cs="仿宋"/>
          <w:i w:val="0"/>
          <w:iCs w:val="0"/>
          <w:caps w:val="0"/>
          <w:color w:val="000000"/>
          <w:spacing w:val="0"/>
          <w:sz w:val="28"/>
          <w:szCs w:val="28"/>
          <w:lang w:val="en-US" w:eastAsia="zh-CN"/>
        </w:rPr>
        <w:t>参与该项目询比采购</w:t>
      </w:r>
      <w:r>
        <w:rPr>
          <w:rFonts w:hint="eastAsia" w:ascii="仿宋" w:hAnsi="仿宋" w:eastAsia="仿宋" w:cs="仿宋"/>
          <w:i w:val="0"/>
          <w:iCs w:val="0"/>
          <w:caps w:val="0"/>
          <w:color w:val="000000"/>
          <w:spacing w:val="0"/>
          <w:sz w:val="28"/>
          <w:szCs w:val="28"/>
        </w:rPr>
        <w:t>，具体内容如下：</w:t>
      </w:r>
    </w:p>
    <w:p w14:paraId="39680C26">
      <w:pPr>
        <w:pStyle w:val="2"/>
        <w:pageBreakBefore w:val="0"/>
        <w:numPr>
          <w:ilvl w:val="0"/>
          <w:numId w:val="0"/>
        </w:numPr>
        <w:kinsoku/>
        <w:wordWrap/>
        <w:overflowPunct/>
        <w:topLinePunct w:val="0"/>
        <w:autoSpaceDE/>
        <w:autoSpaceDN/>
        <w:bidi w:val="0"/>
        <w:snapToGrid/>
        <w:spacing w:before="0" w:after="0" w:line="440" w:lineRule="exact"/>
        <w:ind w:firstLine="562" w:firstLineChars="200"/>
        <w:jc w:val="both"/>
        <w:rPr>
          <w:rFonts w:hint="default" w:ascii="仿宋" w:hAnsi="仿宋" w:eastAsia="仿宋" w:cs="仿宋"/>
          <w:b/>
          <w:bCs/>
          <w:color w:val="auto"/>
          <w:sz w:val="28"/>
          <w:szCs w:val="28"/>
          <w:lang w:val="en-US"/>
        </w:rPr>
      </w:pPr>
      <w:bookmarkStart w:id="0" w:name="_Toc33795775"/>
      <w:bookmarkStart w:id="1" w:name="_Toc4593"/>
      <w:bookmarkStart w:id="2" w:name="_Toc20230"/>
      <w:bookmarkStart w:id="3" w:name="_Toc14440"/>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采购项目</w:t>
      </w:r>
      <w:bookmarkEnd w:id="0"/>
      <w:bookmarkEnd w:id="1"/>
      <w:bookmarkEnd w:id="2"/>
      <w:bookmarkEnd w:id="3"/>
      <w:r>
        <w:rPr>
          <w:rFonts w:hint="eastAsia" w:ascii="仿宋" w:hAnsi="仿宋" w:eastAsia="仿宋" w:cs="仿宋"/>
          <w:b/>
          <w:bCs/>
          <w:color w:val="auto"/>
          <w:sz w:val="28"/>
          <w:szCs w:val="28"/>
          <w:lang w:val="en-US" w:eastAsia="zh-CN"/>
        </w:rPr>
        <w:t>基本要求</w:t>
      </w:r>
    </w:p>
    <w:p w14:paraId="3261664C">
      <w:pPr>
        <w:pStyle w:val="2"/>
        <w:pageBreakBefore w:val="0"/>
        <w:numPr>
          <w:ilvl w:val="0"/>
          <w:numId w:val="0"/>
        </w:numPr>
        <w:kinsoku/>
        <w:wordWrap/>
        <w:overflowPunct/>
        <w:topLinePunct w:val="0"/>
        <w:autoSpaceDE/>
        <w:autoSpaceDN/>
        <w:bidi w:val="0"/>
        <w:snapToGrid/>
        <w:spacing w:before="0" w:after="0" w:line="440" w:lineRule="exact"/>
        <w:ind w:firstLine="280" w:firstLineChars="100"/>
        <w:jc w:val="both"/>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（一）采购人：陕西锌业有限公司</w:t>
      </w:r>
    </w:p>
    <w:p w14:paraId="0D5D165F">
      <w:pPr>
        <w:pageBreakBefore w:val="0"/>
        <w:kinsoku/>
        <w:wordWrap/>
        <w:overflowPunct/>
        <w:topLinePunct w:val="0"/>
        <w:autoSpaceDE/>
        <w:autoSpaceDN/>
        <w:bidi w:val="0"/>
        <w:snapToGrid/>
        <w:spacing w:line="44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采购项目</w:t>
      </w:r>
      <w:r>
        <w:rPr>
          <w:rFonts w:hint="eastAsia" w:ascii="仿宋" w:hAnsi="仿宋" w:eastAsia="仿宋" w:cs="仿宋"/>
          <w:color w:val="auto"/>
          <w:sz w:val="28"/>
          <w:szCs w:val="28"/>
        </w:rPr>
        <w:t>名称：</w:t>
      </w:r>
      <w:bookmarkStart w:id="4" w:name="_Toc14565"/>
      <w:bookmarkStart w:id="5" w:name="_Toc7037"/>
      <w:bookmarkStart w:id="6" w:name="_Toc11471"/>
      <w:bookmarkStart w:id="7" w:name="_Toc33795776"/>
      <w:r>
        <w:rPr>
          <w:rFonts w:hint="eastAsia" w:ascii="仿宋" w:hAnsi="仿宋" w:eastAsia="仿宋" w:cs="仿宋"/>
          <w:color w:val="auto"/>
          <w:sz w:val="28"/>
          <w:szCs w:val="28"/>
          <w:lang w:eastAsia="zh-CN"/>
        </w:rPr>
        <w:t>陕西锌业有限公司</w:t>
      </w:r>
      <w:r>
        <w:rPr>
          <w:rFonts w:hint="eastAsia" w:ascii="仿宋" w:hAnsi="仿宋" w:eastAsia="仿宋" w:cs="仿宋"/>
          <w:color w:val="auto"/>
          <w:sz w:val="28"/>
          <w:szCs w:val="28"/>
          <w:lang w:val="en-US" w:eastAsia="zh-CN"/>
        </w:rPr>
        <w:t>采购</w:t>
      </w:r>
      <w:r>
        <w:rPr>
          <w:rFonts w:hint="eastAsia" w:ascii="仿宋" w:hAnsi="仿宋" w:eastAsia="仿宋" w:cs="仿宋"/>
          <w:i w:val="0"/>
          <w:iCs w:val="0"/>
          <w:caps w:val="0"/>
          <w:color w:val="000000"/>
          <w:spacing w:val="0"/>
          <w:sz w:val="28"/>
          <w:szCs w:val="28"/>
          <w:lang w:val="en-US" w:eastAsia="zh-CN"/>
        </w:rPr>
        <w:t>氢氧化钙</w:t>
      </w:r>
      <w:r>
        <w:rPr>
          <w:rFonts w:hint="eastAsia" w:ascii="仿宋" w:hAnsi="仿宋" w:eastAsia="仿宋" w:cs="仿宋"/>
          <w:color w:val="auto"/>
          <w:sz w:val="28"/>
          <w:szCs w:val="28"/>
          <w:lang w:val="en-US" w:eastAsia="zh-CN"/>
        </w:rPr>
        <w:t>项目</w:t>
      </w:r>
      <w:bookmarkEnd w:id="4"/>
      <w:bookmarkEnd w:id="5"/>
      <w:bookmarkEnd w:id="6"/>
      <w:bookmarkEnd w:id="7"/>
      <w:r>
        <w:rPr>
          <w:rFonts w:hint="eastAsia" w:ascii="仿宋" w:hAnsi="仿宋" w:eastAsia="仿宋" w:cs="仿宋"/>
          <w:color w:val="auto"/>
          <w:sz w:val="28"/>
          <w:szCs w:val="28"/>
          <w:lang w:val="en-US" w:eastAsia="zh-CN"/>
        </w:rPr>
        <w:t>。</w:t>
      </w:r>
    </w:p>
    <w:p w14:paraId="738226BB">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交货时间</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合同签订后，每月分批供货，供货期至2026年12月31日止。在此期间，如遇采购人检修、减产、生产工艺调整等，采购人根据实际情况适时调整采购量。</w:t>
      </w:r>
    </w:p>
    <w:p w14:paraId="1F244B98">
      <w:pPr>
        <w:pageBreakBefore w:val="0"/>
        <w:kinsoku/>
        <w:wordWrap/>
        <w:overflowPunct/>
        <w:topLinePunct w:val="0"/>
        <w:autoSpaceDE/>
        <w:autoSpaceDN/>
        <w:bidi w:val="0"/>
        <w:snapToGrid/>
        <w:spacing w:line="44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（四）交货地点：采购方公司辅材库房（带磅码单、质检单、合格证）。</w:t>
      </w:r>
    </w:p>
    <w:p w14:paraId="3F833E3C">
      <w:pPr>
        <w:keepNext w:val="0"/>
        <w:keepLines w:val="0"/>
        <w:pageBreakBefore w:val="0"/>
        <w:numPr>
          <w:ilvl w:val="0"/>
          <w:numId w:val="0"/>
        </w:numPr>
        <w:kinsoku/>
        <w:wordWrap/>
        <w:overflowPunct/>
        <w:topLinePunct w:val="0"/>
        <w:autoSpaceDE/>
        <w:autoSpaceDN/>
        <w:bidi w:val="0"/>
        <w:adjustRightInd/>
        <w:snapToGrid/>
        <w:spacing w:line="440" w:lineRule="exact"/>
        <w:ind w:firstLine="280" w:firstLineChars="1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（五）数量：约400吨。</w:t>
      </w:r>
    </w:p>
    <w:p w14:paraId="06BC338A">
      <w:pPr>
        <w:keepNext w:val="0"/>
        <w:keepLines w:val="0"/>
        <w:pageBreakBefore w:val="0"/>
        <w:widowControl w:val="0"/>
        <w:kinsoku/>
        <w:wordWrap/>
        <w:overflowPunct/>
        <w:topLinePunct w:val="0"/>
        <w:autoSpaceDE/>
        <w:autoSpaceDN/>
        <w:bidi w:val="0"/>
        <w:adjustRightInd w:val="0"/>
        <w:snapToGrid/>
        <w:spacing w:line="440" w:lineRule="exact"/>
        <w:ind w:left="0" w:firstLine="280" w:firstLineChars="100"/>
        <w:jc w:val="both"/>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质量</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w:t>
      </w:r>
    </w:p>
    <w:p w14:paraId="311CCE1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560" w:firstLineChars="200"/>
        <w:textAlignment w:val="auto"/>
        <w:rPr>
          <w:rFonts w:hint="default" w:ascii="仿宋" w:hAnsi="仿宋" w:eastAsia="仿宋" w:cs="仿宋"/>
          <w:bCs/>
          <w:color w:val="auto"/>
          <w:sz w:val="28"/>
          <w:szCs w:val="28"/>
          <w:lang w:val="en-US"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质量要求：</w:t>
      </w:r>
      <w:r>
        <w:rPr>
          <w:rFonts w:hint="eastAsia" w:ascii="仿宋" w:hAnsi="仿宋" w:eastAsia="仿宋" w:cs="仿宋"/>
          <w:color w:val="auto"/>
          <w:sz w:val="28"/>
          <w:szCs w:val="28"/>
          <w:lang w:val="en-US" w:eastAsia="zh-CN"/>
        </w:rPr>
        <w:t>粒度100目，碱度</w:t>
      </w:r>
      <w:r>
        <w:rPr>
          <w:rFonts w:hint="default" w:ascii="Arial" w:hAnsi="Arial" w:eastAsia="仿宋" w:cs="Arial"/>
          <w:color w:val="auto"/>
          <w:sz w:val="28"/>
          <w:szCs w:val="28"/>
          <w:lang w:val="en-US" w:eastAsia="zh-CN"/>
        </w:rPr>
        <w:t>≥</w:t>
      </w:r>
      <w:r>
        <w:rPr>
          <w:rFonts w:hint="eastAsia" w:ascii="仿宋" w:hAnsi="仿宋" w:eastAsia="仿宋" w:cs="仿宋"/>
          <w:color w:val="auto"/>
          <w:sz w:val="28"/>
          <w:szCs w:val="28"/>
          <w:lang w:val="en-US" w:eastAsia="zh-CN"/>
        </w:rPr>
        <w:t>90%及</w:t>
      </w:r>
      <w:r>
        <w:rPr>
          <w:rFonts w:hint="eastAsia" w:ascii="仿宋" w:hAnsi="仿宋" w:eastAsia="仿宋" w:cs="仿宋"/>
          <w:i w:val="0"/>
          <w:iCs w:val="0"/>
          <w:caps w:val="0"/>
          <w:color w:val="333333"/>
          <w:spacing w:val="0"/>
          <w:sz w:val="28"/>
          <w:szCs w:val="28"/>
          <w:shd w:val="clear" w:fill="FFFFFF"/>
        </w:rPr>
        <w:t>Ca(OH)</w:t>
      </w:r>
      <w:r>
        <w:rPr>
          <w:rFonts w:hint="eastAsia" w:ascii="仿宋" w:hAnsi="仿宋" w:eastAsia="仿宋" w:cs="仿宋"/>
          <w:i w:val="0"/>
          <w:iCs w:val="0"/>
          <w:caps w:val="0"/>
          <w:color w:val="333333"/>
          <w:spacing w:val="0"/>
          <w:sz w:val="21"/>
          <w:szCs w:val="21"/>
          <w:shd w:val="clear" w:fill="FFFFFF"/>
        </w:rPr>
        <w:t>2</w:t>
      </w:r>
      <w:r>
        <w:rPr>
          <w:rFonts w:hint="default" w:ascii="Arial" w:hAnsi="Arial" w:eastAsia="仿宋" w:cs="Arial"/>
          <w:color w:val="auto"/>
          <w:sz w:val="28"/>
          <w:szCs w:val="28"/>
          <w:lang w:val="en-US" w:eastAsia="zh-CN"/>
        </w:rPr>
        <w:t>≥</w:t>
      </w:r>
      <w:r>
        <w:rPr>
          <w:rFonts w:hint="eastAsia" w:ascii="仿宋" w:hAnsi="仿宋" w:eastAsia="仿宋" w:cs="仿宋"/>
          <w:color w:val="auto"/>
          <w:sz w:val="28"/>
          <w:szCs w:val="28"/>
          <w:lang w:val="en-US" w:eastAsia="zh-CN"/>
        </w:rPr>
        <w:t>90%。</w:t>
      </w:r>
    </w:p>
    <w:p w14:paraId="32AD28A3">
      <w:pPr>
        <w:keepNext w:val="0"/>
        <w:keepLines w:val="0"/>
        <w:pageBreakBefore w:val="0"/>
        <w:widowControl w:val="0"/>
        <w:kinsoku/>
        <w:wordWrap/>
        <w:overflowPunct/>
        <w:topLinePunct w:val="0"/>
        <w:autoSpaceDE/>
        <w:autoSpaceDN/>
        <w:bidi w:val="0"/>
        <w:adjustRightInd w:val="0"/>
        <w:snapToGrid/>
        <w:spacing w:line="440" w:lineRule="exact"/>
        <w:ind w:left="0" w:firstLine="560" w:firstLineChars="2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rPr>
        <w:t>如发生质量问题，</w:t>
      </w:r>
      <w:r>
        <w:rPr>
          <w:rFonts w:hint="eastAsia" w:ascii="仿宋" w:hAnsi="仿宋" w:eastAsia="仿宋" w:cs="仿宋"/>
          <w:color w:val="auto"/>
          <w:sz w:val="28"/>
          <w:szCs w:val="28"/>
        </w:rPr>
        <w:t>供</w:t>
      </w:r>
      <w:r>
        <w:rPr>
          <w:rFonts w:hint="eastAsia" w:ascii="仿宋" w:hAnsi="仿宋" w:eastAsia="仿宋" w:cs="仿宋"/>
          <w:color w:val="auto"/>
          <w:sz w:val="28"/>
          <w:szCs w:val="28"/>
          <w:lang w:val="en-US" w:eastAsia="zh-CN"/>
        </w:rPr>
        <w:t>货</w:t>
      </w:r>
      <w:r>
        <w:rPr>
          <w:rFonts w:hint="eastAsia" w:ascii="仿宋" w:hAnsi="仿宋" w:eastAsia="仿宋" w:cs="仿宋"/>
          <w:color w:val="auto"/>
          <w:sz w:val="28"/>
          <w:szCs w:val="28"/>
        </w:rPr>
        <w:t>方</w:t>
      </w:r>
      <w:r>
        <w:rPr>
          <w:rFonts w:hint="eastAsia" w:ascii="仿宋" w:hAnsi="仿宋" w:eastAsia="仿宋" w:cs="仿宋"/>
          <w:bCs/>
          <w:color w:val="auto"/>
          <w:sz w:val="28"/>
          <w:szCs w:val="28"/>
        </w:rPr>
        <w:t>包退、包换，确保</w:t>
      </w:r>
      <w:r>
        <w:rPr>
          <w:rFonts w:hint="eastAsia" w:ascii="仿宋" w:hAnsi="仿宋" w:eastAsia="仿宋" w:cs="仿宋"/>
          <w:bCs/>
          <w:color w:val="auto"/>
          <w:sz w:val="28"/>
          <w:szCs w:val="28"/>
          <w:lang w:val="en-US" w:eastAsia="zh-CN"/>
        </w:rPr>
        <w:t>货物</w:t>
      </w:r>
      <w:r>
        <w:rPr>
          <w:rFonts w:hint="eastAsia" w:ascii="仿宋" w:hAnsi="仿宋" w:eastAsia="仿宋" w:cs="仿宋"/>
          <w:bCs/>
          <w:color w:val="auto"/>
          <w:sz w:val="28"/>
          <w:szCs w:val="28"/>
        </w:rPr>
        <w:t>质量合格率100%</w:t>
      </w:r>
      <w:r>
        <w:rPr>
          <w:rFonts w:hint="eastAsia" w:ascii="仿宋" w:hAnsi="仿宋" w:eastAsia="仿宋" w:cs="仿宋"/>
          <w:bCs/>
          <w:color w:val="auto"/>
          <w:sz w:val="28"/>
          <w:szCs w:val="28"/>
          <w:lang w:eastAsia="zh-CN"/>
        </w:rPr>
        <w:t>。</w:t>
      </w:r>
      <w:bookmarkStart w:id="8" w:name="_Toc14196"/>
      <w:bookmarkStart w:id="9" w:name="_Toc33795778"/>
      <w:bookmarkStart w:id="10" w:name="_Toc14688"/>
      <w:bookmarkStart w:id="11" w:name="_Toc29895"/>
    </w:p>
    <w:p w14:paraId="2AF13B4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80" w:firstLineChars="100"/>
        <w:jc w:val="lef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七</w:t>
      </w:r>
      <w:r>
        <w:rPr>
          <w:rFonts w:hint="eastAsia" w:ascii="仿宋" w:hAnsi="仿宋" w:eastAsia="仿宋" w:cs="仿宋"/>
          <w:bCs/>
          <w:color w:val="auto"/>
          <w:sz w:val="28"/>
          <w:szCs w:val="28"/>
          <w:lang w:eastAsia="zh-CN"/>
        </w:rPr>
        <w:t>）运输方式及到达站港和费用负担：汽车运输，</w:t>
      </w:r>
      <w:r>
        <w:rPr>
          <w:rFonts w:hint="eastAsia" w:ascii="仿宋" w:hAnsi="仿宋" w:eastAsia="仿宋" w:cs="仿宋"/>
          <w:b w:val="0"/>
          <w:bCs w:val="0"/>
          <w:sz w:val="28"/>
          <w:szCs w:val="28"/>
          <w:highlight w:val="none"/>
        </w:rPr>
        <w:t>运输费用由</w:t>
      </w:r>
      <w:r>
        <w:rPr>
          <w:rFonts w:hint="eastAsia" w:ascii="仿宋" w:hAnsi="仿宋" w:eastAsia="仿宋" w:cs="仿宋"/>
          <w:b w:val="0"/>
          <w:bCs w:val="0"/>
          <w:sz w:val="28"/>
          <w:szCs w:val="28"/>
          <w:highlight w:val="none"/>
          <w:lang w:val="en-US" w:eastAsia="zh-CN"/>
        </w:rPr>
        <w:t>报</w:t>
      </w:r>
      <w:r>
        <w:rPr>
          <w:rFonts w:hint="eastAsia" w:ascii="仿宋" w:hAnsi="仿宋" w:eastAsia="仿宋" w:cs="仿宋"/>
          <w:b w:val="0"/>
          <w:bCs w:val="0"/>
          <w:sz w:val="28"/>
          <w:szCs w:val="28"/>
          <w:highlight w:val="none"/>
        </w:rPr>
        <w:t>价方承担，运输车辆必须符合国家安全</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环保</w:t>
      </w:r>
      <w:r>
        <w:rPr>
          <w:rFonts w:hint="eastAsia" w:ascii="仿宋" w:hAnsi="仿宋" w:eastAsia="仿宋" w:cs="仿宋"/>
          <w:b w:val="0"/>
          <w:bCs w:val="0"/>
          <w:sz w:val="28"/>
          <w:szCs w:val="28"/>
          <w:highlight w:val="none"/>
        </w:rPr>
        <w:t>管理需要，否则不允许进入</w:t>
      </w:r>
      <w:r>
        <w:rPr>
          <w:rFonts w:hint="eastAsia" w:ascii="仿宋" w:hAnsi="仿宋" w:eastAsia="仿宋" w:cs="仿宋"/>
          <w:b w:val="0"/>
          <w:bCs w:val="0"/>
          <w:sz w:val="28"/>
          <w:szCs w:val="28"/>
          <w:highlight w:val="none"/>
          <w:lang w:eastAsia="zh-CN"/>
        </w:rPr>
        <w:t>采</w:t>
      </w:r>
      <w:r>
        <w:rPr>
          <w:rFonts w:hint="eastAsia" w:ascii="仿宋" w:hAnsi="仿宋" w:eastAsia="仿宋" w:cs="仿宋"/>
          <w:b w:val="0"/>
          <w:bCs w:val="0"/>
          <w:sz w:val="28"/>
          <w:szCs w:val="28"/>
          <w:highlight w:val="none"/>
        </w:rPr>
        <w:t>购方厂内</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运输安全责任由报价方承担，采购方不负任何责任。</w:t>
      </w:r>
    </w:p>
    <w:p w14:paraId="1E1268FD">
      <w:pPr>
        <w:keepNext w:val="0"/>
        <w:keepLines w:val="0"/>
        <w:pageBreakBefore w:val="0"/>
        <w:widowControl w:val="0"/>
        <w:kinsoku/>
        <w:wordWrap/>
        <w:overflowPunct/>
        <w:topLinePunct w:val="0"/>
        <w:autoSpaceDE/>
        <w:autoSpaceDN/>
        <w:bidi w:val="0"/>
        <w:adjustRightInd w:val="0"/>
        <w:snapToGrid/>
        <w:spacing w:line="44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八</w:t>
      </w:r>
      <w:r>
        <w:rPr>
          <w:rFonts w:hint="eastAsia" w:ascii="仿宋" w:hAnsi="仿宋" w:eastAsia="仿宋" w:cs="仿宋"/>
          <w:bCs/>
          <w:color w:val="auto"/>
          <w:sz w:val="28"/>
          <w:szCs w:val="28"/>
          <w:lang w:eastAsia="zh-CN"/>
        </w:rPr>
        <w:t>）合理损耗及计算方法：无损耗，以采购方计量为准。</w:t>
      </w:r>
    </w:p>
    <w:p w14:paraId="68345E86">
      <w:pPr>
        <w:keepNext w:val="0"/>
        <w:keepLines w:val="0"/>
        <w:pageBreakBefore w:val="0"/>
        <w:widowControl w:val="0"/>
        <w:kinsoku/>
        <w:wordWrap/>
        <w:overflowPunct/>
        <w:topLinePunct w:val="0"/>
        <w:autoSpaceDE/>
        <w:autoSpaceDN/>
        <w:bidi w:val="0"/>
        <w:adjustRightInd/>
        <w:snapToGrid/>
        <w:spacing w:line="440" w:lineRule="exact"/>
        <w:ind w:firstLine="280" w:firstLineChars="100"/>
        <w:jc w:val="lef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九</w:t>
      </w:r>
      <w:r>
        <w:rPr>
          <w:rFonts w:hint="eastAsia" w:ascii="仿宋" w:hAnsi="仿宋" w:eastAsia="仿宋" w:cs="仿宋"/>
          <w:bCs/>
          <w:color w:val="auto"/>
          <w:sz w:val="28"/>
          <w:szCs w:val="28"/>
          <w:lang w:eastAsia="zh-CN"/>
        </w:rPr>
        <w:t>）包装标准，包装物的供应及回收：</w:t>
      </w:r>
      <w:r>
        <w:rPr>
          <w:rFonts w:hint="eastAsia" w:ascii="仿宋" w:hAnsi="仿宋" w:eastAsia="仿宋" w:cs="仿宋"/>
          <w:bCs/>
          <w:color w:val="auto"/>
          <w:sz w:val="28"/>
          <w:szCs w:val="28"/>
          <w:lang w:val="en-US" w:eastAsia="zh-CN"/>
        </w:rPr>
        <w:t>罐装</w:t>
      </w:r>
      <w:r>
        <w:rPr>
          <w:rFonts w:hint="eastAsia" w:ascii="仿宋" w:hAnsi="仿宋" w:eastAsia="仿宋" w:cs="仿宋"/>
          <w:b w:val="0"/>
          <w:bCs w:val="0"/>
          <w:sz w:val="28"/>
          <w:szCs w:val="28"/>
          <w:highlight w:val="none"/>
          <w:lang w:val="en-US" w:eastAsia="zh-CN"/>
        </w:rPr>
        <w:t>。</w:t>
      </w:r>
    </w:p>
    <w:p w14:paraId="16F4E2F4">
      <w:pPr>
        <w:keepNext w:val="0"/>
        <w:keepLines w:val="0"/>
        <w:pageBreakBefore w:val="0"/>
        <w:widowControl w:val="0"/>
        <w:kinsoku/>
        <w:wordWrap/>
        <w:overflowPunct/>
        <w:topLinePunct w:val="0"/>
        <w:autoSpaceDE/>
        <w:autoSpaceDN/>
        <w:bidi w:val="0"/>
        <w:adjustRightInd w:val="0"/>
        <w:snapToGrid/>
        <w:spacing w:line="44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w:t>
      </w:r>
      <w:r>
        <w:rPr>
          <w:rFonts w:hint="eastAsia" w:ascii="仿宋" w:hAnsi="仿宋" w:eastAsia="仿宋" w:cs="仿宋"/>
          <w:bCs/>
          <w:color w:val="auto"/>
          <w:sz w:val="28"/>
          <w:szCs w:val="28"/>
          <w:lang w:eastAsia="zh-CN"/>
        </w:rPr>
        <w:t>）验收标准、方法：依据本</w:t>
      </w:r>
      <w:r>
        <w:rPr>
          <w:rFonts w:hint="eastAsia" w:ascii="仿宋" w:hAnsi="仿宋" w:eastAsia="仿宋" w:cs="仿宋"/>
          <w:bCs/>
          <w:color w:val="auto"/>
          <w:sz w:val="28"/>
          <w:szCs w:val="28"/>
          <w:lang w:val="en-US" w:eastAsia="zh-CN"/>
        </w:rPr>
        <w:t>条</w:t>
      </w:r>
      <w:r>
        <w:rPr>
          <w:rFonts w:hint="eastAsia" w:ascii="仿宋" w:hAnsi="仿宋" w:eastAsia="仿宋" w:cs="仿宋"/>
          <w:bCs/>
          <w:color w:val="auto"/>
          <w:sz w:val="28"/>
          <w:szCs w:val="28"/>
          <w:lang w:eastAsia="zh-CN"/>
        </w:rPr>
        <w:t>第</w:t>
      </w:r>
      <w:r>
        <w:rPr>
          <w:rFonts w:hint="eastAsia" w:ascii="仿宋" w:hAnsi="仿宋" w:eastAsia="仿宋" w:cs="仿宋"/>
          <w:bCs/>
          <w:color w:val="auto"/>
          <w:sz w:val="28"/>
          <w:szCs w:val="28"/>
          <w:lang w:val="en-US" w:eastAsia="zh-CN"/>
        </w:rPr>
        <w:t>六款质量标准</w:t>
      </w:r>
      <w:r>
        <w:rPr>
          <w:rFonts w:hint="eastAsia" w:ascii="仿宋" w:hAnsi="仿宋" w:eastAsia="仿宋" w:cs="仿宋"/>
          <w:bCs/>
          <w:color w:val="auto"/>
          <w:sz w:val="28"/>
          <w:szCs w:val="28"/>
          <w:lang w:eastAsia="zh-CN"/>
        </w:rPr>
        <w:t>验收，双方共同采样，样品一式三份，双方各持一份，留仲裁样一份，以采购方化验为准结算，如一方对质量有异议，可在交货之日起7</w:t>
      </w:r>
      <w:r>
        <w:rPr>
          <w:rFonts w:hint="eastAsia" w:ascii="仿宋" w:hAnsi="仿宋" w:eastAsia="仿宋" w:cs="仿宋"/>
          <w:bCs/>
          <w:color w:val="auto"/>
          <w:sz w:val="28"/>
          <w:szCs w:val="28"/>
          <w:lang w:val="en-US" w:eastAsia="zh-CN"/>
        </w:rPr>
        <w:t>日</w:t>
      </w:r>
      <w:r>
        <w:rPr>
          <w:rFonts w:hint="eastAsia" w:ascii="仿宋" w:hAnsi="仿宋" w:eastAsia="仿宋" w:cs="仿宋"/>
          <w:bCs/>
          <w:color w:val="auto"/>
          <w:sz w:val="28"/>
          <w:szCs w:val="28"/>
          <w:lang w:eastAsia="zh-CN"/>
        </w:rPr>
        <w:t>内向有资质机构提请仲裁。</w:t>
      </w:r>
    </w:p>
    <w:p w14:paraId="75CCC351">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十一</w:t>
      </w:r>
      <w:r>
        <w:rPr>
          <w:rFonts w:hint="eastAsia" w:ascii="仿宋" w:hAnsi="仿宋" w:eastAsia="仿宋" w:cs="仿宋"/>
          <w:bCs/>
          <w:color w:val="auto"/>
          <w:sz w:val="28"/>
          <w:szCs w:val="28"/>
          <w:lang w:eastAsia="zh-CN"/>
        </w:rPr>
        <w:t>）结算</w:t>
      </w:r>
      <w:r>
        <w:rPr>
          <w:rFonts w:hint="eastAsia" w:ascii="仿宋" w:hAnsi="仿宋" w:eastAsia="仿宋" w:cs="仿宋"/>
          <w:bCs/>
          <w:color w:val="auto"/>
          <w:sz w:val="28"/>
          <w:szCs w:val="28"/>
          <w:lang w:val="en-US" w:eastAsia="zh-CN"/>
        </w:rPr>
        <w:t>细则</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付款</w:t>
      </w:r>
      <w:r>
        <w:rPr>
          <w:rFonts w:hint="eastAsia" w:ascii="仿宋" w:hAnsi="仿宋" w:eastAsia="仿宋" w:cs="仿宋"/>
          <w:bCs/>
          <w:color w:val="auto"/>
          <w:sz w:val="28"/>
          <w:szCs w:val="28"/>
          <w:lang w:eastAsia="zh-CN"/>
        </w:rPr>
        <w:t>方式、标准及期限：</w:t>
      </w:r>
    </w:p>
    <w:p w14:paraId="4FFE37A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val="en-US" w:eastAsia="zh-CN"/>
        </w:rPr>
        <w:t>验收合格后，报价</w:t>
      </w:r>
      <w:r>
        <w:rPr>
          <w:rFonts w:hint="eastAsia" w:ascii="仿宋" w:hAnsi="仿宋" w:eastAsia="仿宋" w:cs="仿宋"/>
          <w:b w:val="0"/>
          <w:bCs w:val="0"/>
          <w:sz w:val="28"/>
          <w:szCs w:val="28"/>
          <w:highlight w:val="none"/>
          <w:lang w:eastAsia="zh-CN"/>
        </w:rPr>
        <w:t>方提供</w:t>
      </w:r>
      <w:r>
        <w:rPr>
          <w:rFonts w:hint="eastAsia" w:ascii="仿宋" w:hAnsi="仿宋" w:eastAsia="仿宋" w:cs="仿宋"/>
          <w:b w:val="0"/>
          <w:bCs w:val="0"/>
          <w:sz w:val="28"/>
          <w:szCs w:val="28"/>
          <w:highlight w:val="none"/>
          <w:lang w:val="en-US" w:eastAsia="zh-CN"/>
        </w:rPr>
        <w:t>13%增值税</w:t>
      </w:r>
      <w:r>
        <w:rPr>
          <w:rFonts w:hint="eastAsia" w:ascii="仿宋" w:hAnsi="仿宋" w:eastAsia="仿宋" w:cs="仿宋"/>
          <w:b w:val="0"/>
          <w:bCs w:val="0"/>
          <w:sz w:val="28"/>
          <w:szCs w:val="28"/>
          <w:highlight w:val="none"/>
          <w:lang w:eastAsia="zh-CN"/>
        </w:rPr>
        <w:t>发票（</w:t>
      </w:r>
      <w:r>
        <w:rPr>
          <w:rFonts w:hint="eastAsia" w:ascii="仿宋" w:hAnsi="仿宋" w:eastAsia="仿宋" w:cs="仿宋"/>
          <w:b w:val="0"/>
          <w:bCs w:val="0"/>
          <w:sz w:val="28"/>
          <w:szCs w:val="28"/>
          <w:highlight w:val="none"/>
          <w:lang w:val="en-US" w:eastAsia="zh-CN"/>
        </w:rPr>
        <w:t>如有不同税率，报价方自行换算成13%的报价。签订合同时，再换算成实际开票税率</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采购人发票挂账</w:t>
      </w:r>
      <w:r>
        <w:rPr>
          <w:rFonts w:hint="eastAsia" w:ascii="仿宋" w:hAnsi="仿宋" w:eastAsia="仿宋" w:cs="仿宋"/>
          <w:b w:val="0"/>
          <w:bCs w:val="0"/>
          <w:sz w:val="28"/>
          <w:szCs w:val="28"/>
          <w:highlight w:val="none"/>
          <w:lang w:eastAsia="zh-CN"/>
        </w:rPr>
        <w:t>后</w:t>
      </w:r>
      <w:r>
        <w:rPr>
          <w:rFonts w:hint="eastAsia" w:ascii="仿宋" w:hAnsi="仿宋" w:eastAsia="仿宋" w:cs="仿宋"/>
          <w:b w:val="0"/>
          <w:bCs w:val="0"/>
          <w:sz w:val="28"/>
          <w:szCs w:val="28"/>
          <w:highlight w:val="none"/>
          <w:lang w:val="en-US" w:eastAsia="zh-CN"/>
        </w:rPr>
        <w:t>六个</w:t>
      </w:r>
      <w:r>
        <w:rPr>
          <w:rFonts w:hint="eastAsia" w:ascii="仿宋" w:hAnsi="仿宋" w:eastAsia="仿宋" w:cs="仿宋"/>
          <w:b w:val="0"/>
          <w:bCs w:val="0"/>
          <w:sz w:val="28"/>
          <w:szCs w:val="28"/>
          <w:highlight w:val="none"/>
        </w:rPr>
        <w:t>月内</w:t>
      </w:r>
      <w:r>
        <w:rPr>
          <w:rFonts w:hint="eastAsia" w:ascii="仿宋" w:hAnsi="仿宋" w:eastAsia="仿宋" w:cs="仿宋"/>
          <w:b w:val="0"/>
          <w:bCs w:val="0"/>
          <w:sz w:val="28"/>
          <w:szCs w:val="28"/>
          <w:highlight w:val="none"/>
          <w:lang w:val="en-US" w:eastAsia="zh-CN"/>
        </w:rPr>
        <w:t>付款</w:t>
      </w:r>
      <w:r>
        <w:rPr>
          <w:rFonts w:hint="eastAsia" w:ascii="仿宋" w:hAnsi="仿宋" w:eastAsia="仿宋" w:cs="仿宋"/>
          <w:b w:val="0"/>
          <w:bCs w:val="0"/>
          <w:sz w:val="28"/>
          <w:szCs w:val="28"/>
          <w:highlight w:val="none"/>
          <w:lang w:eastAsia="zh-CN"/>
        </w:rPr>
        <w:t>。</w:t>
      </w:r>
    </w:p>
    <w:p w14:paraId="5D41BC09">
      <w:pPr>
        <w:pageBreakBefore w:val="0"/>
        <w:kinsoku/>
        <w:wordWrap/>
        <w:overflowPunct/>
        <w:topLinePunct w:val="0"/>
        <w:autoSpaceDE/>
        <w:autoSpaceDN/>
        <w:bidi w:val="0"/>
        <w:snapToGrid/>
        <w:spacing w:line="440" w:lineRule="exact"/>
        <w:ind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十二</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资格和履约能力要求</w:t>
      </w:r>
      <w:bookmarkEnd w:id="8"/>
      <w:bookmarkEnd w:id="9"/>
      <w:bookmarkEnd w:id="10"/>
      <w:bookmarkEnd w:id="11"/>
      <w:r>
        <w:rPr>
          <w:rFonts w:hint="eastAsia" w:ascii="仿宋" w:hAnsi="仿宋" w:eastAsia="仿宋" w:cs="仿宋"/>
          <w:color w:val="auto"/>
          <w:sz w:val="28"/>
          <w:szCs w:val="28"/>
          <w:lang w:eastAsia="zh-CN"/>
        </w:rPr>
        <w:t>：</w:t>
      </w:r>
    </w:p>
    <w:p w14:paraId="2C5E61CE">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资质要求：</w:t>
      </w:r>
    </w:p>
    <w:p w14:paraId="31303ECD">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供应商须为中华人民共和国境内依法注册的法人或者其他组织，有能力完成本项目的厂家或经销商，具备合法的营业执照及经营范围；</w:t>
      </w:r>
    </w:p>
    <w:p w14:paraId="64F18772">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信用要求：</w:t>
      </w:r>
    </w:p>
    <w:p w14:paraId="3E245ADA">
      <w:pPr>
        <w:pageBreakBefore w:val="0"/>
        <w:numPr>
          <w:ilvl w:val="0"/>
          <w:numId w:val="0"/>
        </w:numPr>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（1）供应商具有良好的银行资信和商业信誉，没有处于被责令停业、财产被接管、冻结、破产状态（附承诺书）；</w:t>
      </w:r>
    </w:p>
    <w:p w14:paraId="3879657F">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（2）供应商不得在“信用中国-中国执行信息公开网”被列为失信被执行人；</w:t>
      </w:r>
    </w:p>
    <w:p w14:paraId="6F72930F">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业绩要求：</w:t>
      </w:r>
      <w:r>
        <w:rPr>
          <w:rFonts w:hint="eastAsia" w:ascii="仿宋" w:hAnsi="仿宋" w:eastAsia="仿宋" w:cs="仿宋"/>
          <w:color w:val="auto"/>
          <w:sz w:val="28"/>
          <w:szCs w:val="28"/>
          <w:lang w:val="en-US" w:eastAsia="zh-CN"/>
        </w:rPr>
        <w:t>供应商2023年5月至今具有碳酸钙粉、氢氧化钙粉业绩（提供合同复印件，时间以合同签订时间为准）；</w:t>
      </w:r>
    </w:p>
    <w:p w14:paraId="57B17EC5">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4.联合体响应：本项目不接受联合体响应。</w:t>
      </w:r>
    </w:p>
    <w:p w14:paraId="77403B29">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其他要求：</w:t>
      </w:r>
    </w:p>
    <w:p w14:paraId="2CF4428F">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不得存在下列情形之一：</w:t>
      </w:r>
    </w:p>
    <w:p w14:paraId="14E2A5AD">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存在利害关系可能影响</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公正性；</w:t>
      </w:r>
    </w:p>
    <w:p w14:paraId="6684785A">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法定代表人（单位负责人）为同一人或者存在控股、管理关系的不同法人或其他组织同时参加</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w:t>
      </w:r>
    </w:p>
    <w:p w14:paraId="1D8AA584">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被依法暂停或者取消</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 xml:space="preserve">资格； </w:t>
      </w:r>
    </w:p>
    <w:p w14:paraId="504845FC">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被责令停产停业、暂扣或者吊销许可证、暂扣或者吊销执照；</w:t>
      </w:r>
    </w:p>
    <w:p w14:paraId="5604B675">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进入清算程序，或被宣告破产，或其他丧失履约能力的情形；</w:t>
      </w:r>
    </w:p>
    <w:p w14:paraId="696CC806">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在最近三年内发生重大产品质量问题；</w:t>
      </w:r>
    </w:p>
    <w:p w14:paraId="25E9BC09">
      <w:pPr>
        <w:pageBreakBefore w:val="0"/>
        <w:kinsoku/>
        <w:wordWrap/>
        <w:overflowPunct/>
        <w:topLinePunct w:val="0"/>
        <w:autoSpaceDE/>
        <w:autoSpaceDN/>
        <w:bidi w:val="0"/>
        <w:snapToGrid/>
        <w:spacing w:line="440" w:lineRule="exact"/>
        <w:ind w:left="0" w:firstLine="280" w:firstLineChars="100"/>
        <w:jc w:val="both"/>
        <w:rPr>
          <w:rFonts w:hint="eastAsia" w:ascii="微软雅黑" w:hAnsi="微软雅黑" w:eastAsia="微软雅黑" w:cs="微软雅黑"/>
          <w:i w:val="0"/>
          <w:iCs w:val="0"/>
          <w:caps w:val="0"/>
          <w:color w:val="000000"/>
          <w:spacing w:val="0"/>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法律法规规定的其他情形。</w:t>
      </w:r>
    </w:p>
    <w:p w14:paraId="32992CA3">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2"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pacing w:val="1"/>
          <w:sz w:val="28"/>
          <w:szCs w:val="28"/>
          <w:highlight w:val="none"/>
          <w:lang w:eastAsia="zh-CN"/>
        </w:rPr>
        <w:t>询比采购文件的获取</w:t>
      </w:r>
    </w:p>
    <w:p w14:paraId="16F21FEB">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询比采购文件在陕西锌业有限公司网络询比采购平台（www.sxxyjjpt.com）发布，符合条件的供应商可自行下载采购文件。</w:t>
      </w:r>
    </w:p>
    <w:p w14:paraId="79629FC2">
      <w:pPr>
        <w:pStyle w:val="3"/>
        <w:pageBreakBefore w:val="0"/>
        <w:kinsoku/>
        <w:wordWrap/>
        <w:overflowPunct/>
        <w:topLinePunct w:val="0"/>
        <w:autoSpaceDE/>
        <w:autoSpaceDN/>
        <w:bidi w:val="0"/>
        <w:snapToGrid/>
        <w:spacing w:before="0" w:after="0" w:line="440" w:lineRule="exact"/>
        <w:ind w:left="0" w:leftChars="0" w:firstLine="562" w:firstLineChars="2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三、供应商</w:t>
      </w:r>
      <w:r>
        <w:rPr>
          <w:rFonts w:hint="eastAsia" w:ascii="仿宋" w:hAnsi="仿宋" w:eastAsia="仿宋" w:cs="仿宋"/>
          <w:b/>
          <w:bCs/>
          <w:color w:val="auto"/>
          <w:sz w:val="28"/>
          <w:szCs w:val="28"/>
          <w:lang w:eastAsia="zh-CN"/>
        </w:rPr>
        <w:t>响应</w:t>
      </w:r>
    </w:p>
    <w:p w14:paraId="0118B4C2">
      <w:pPr>
        <w:pageBreakBefore w:val="0"/>
        <w:kinsoku/>
        <w:wordWrap/>
        <w:overflowPunct/>
        <w:topLinePunct w:val="0"/>
        <w:autoSpaceDE/>
        <w:autoSpaceDN/>
        <w:bidi w:val="0"/>
        <w:snapToGrid/>
        <w:spacing w:line="440" w:lineRule="exact"/>
        <w:rPr>
          <w:rFonts w:hint="default"/>
          <w:sz w:val="28"/>
          <w:szCs w:val="28"/>
          <w:lang w:val="en-US"/>
        </w:rPr>
      </w:pPr>
      <w:r>
        <w:rPr>
          <w:rFonts w:hint="eastAsia" w:ascii="仿宋" w:hAnsi="仿宋" w:eastAsia="仿宋" w:cs="仿宋"/>
          <w:b/>
          <w:bCs/>
          <w:color w:val="auto"/>
          <w:sz w:val="28"/>
          <w:szCs w:val="28"/>
          <w:lang w:val="en-US" w:eastAsia="zh-CN"/>
        </w:rPr>
        <w:t xml:space="preserve">   </w:t>
      </w:r>
      <w:r>
        <w:rPr>
          <w:rFonts w:hint="eastAsia" w:ascii="仿宋" w:hAnsi="仿宋" w:eastAsia="仿宋" w:cs="仿宋"/>
          <w:b w:val="0"/>
          <w:bCs w:val="0"/>
          <w:color w:val="auto"/>
          <w:sz w:val="28"/>
          <w:szCs w:val="28"/>
          <w:lang w:val="en-US" w:eastAsia="zh-CN"/>
        </w:rPr>
        <w:t>（一）响应报价</w:t>
      </w:r>
    </w:p>
    <w:p w14:paraId="34A212EF">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w:t>
      </w:r>
      <w:r>
        <w:rPr>
          <w:rFonts w:hint="eastAsia" w:ascii="仿宋" w:hAnsi="仿宋" w:eastAsia="仿宋" w:cs="仿宋"/>
          <w:color w:val="auto"/>
          <w:sz w:val="28"/>
          <w:szCs w:val="28"/>
          <w:lang w:val="en-US" w:eastAsia="zh-CN"/>
        </w:rPr>
        <w:t>按</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格式”要求在</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中进行报价并填写</w:t>
      </w:r>
      <w:r>
        <w:rPr>
          <w:rFonts w:hint="eastAsia" w:ascii="仿宋" w:hAnsi="仿宋" w:eastAsia="仿宋" w:cs="仿宋"/>
          <w:color w:val="auto"/>
          <w:sz w:val="28"/>
          <w:szCs w:val="28"/>
          <w:lang w:eastAsia="zh-CN"/>
        </w:rPr>
        <w:t>响应文件的</w:t>
      </w:r>
      <w:r>
        <w:rPr>
          <w:rFonts w:hint="eastAsia" w:ascii="仿宋" w:hAnsi="仿宋" w:eastAsia="仿宋" w:cs="仿宋"/>
          <w:color w:val="auto"/>
          <w:sz w:val="28"/>
          <w:szCs w:val="28"/>
          <w:lang w:val="en-US" w:eastAsia="zh-CN"/>
        </w:rPr>
        <w:t>开启</w:t>
      </w:r>
      <w:r>
        <w:rPr>
          <w:rFonts w:hint="eastAsia" w:ascii="仿宋" w:hAnsi="仿宋" w:eastAsia="仿宋" w:cs="仿宋"/>
          <w:color w:val="auto"/>
          <w:sz w:val="28"/>
          <w:szCs w:val="28"/>
        </w:rPr>
        <w:t>一览表。</w:t>
      </w:r>
    </w:p>
    <w:p w14:paraId="0AC2B092">
      <w:pPr>
        <w:pStyle w:val="5"/>
        <w:pageBreakBefore w:val="0"/>
        <w:numPr>
          <w:ilvl w:val="0"/>
          <w:numId w:val="0"/>
        </w:numPr>
        <w:kinsoku/>
        <w:wordWrap/>
        <w:overflowPunct/>
        <w:topLinePunct w:val="0"/>
        <w:autoSpaceDE/>
        <w:autoSpaceDN/>
        <w:bidi w:val="0"/>
        <w:snapToGrid/>
        <w:spacing w:after="0" w:line="440" w:lineRule="exact"/>
        <w:ind w:left="0" w:firstLine="560" w:firstLineChars="200"/>
        <w:jc w:val="both"/>
        <w:rPr>
          <w:rFonts w:hint="eastAsia" w:ascii="仿宋" w:hAnsi="仿宋" w:eastAsia="仿宋" w:cs="仿宋"/>
          <w:sz w:val="28"/>
          <w:szCs w:val="28"/>
          <w:highlight w:val="none"/>
        </w:rPr>
      </w:pPr>
      <w:r>
        <w:rPr>
          <w:rFonts w:hint="eastAsia" w:ascii="仿宋" w:hAnsi="仿宋" w:eastAsia="仿宋" w:cs="仿宋"/>
          <w:color w:val="auto"/>
          <w:sz w:val="28"/>
          <w:szCs w:val="28"/>
          <w:lang w:val="en-US" w:eastAsia="zh-CN"/>
        </w:rPr>
        <w:t>2.</w:t>
      </w:r>
      <w:r>
        <w:rPr>
          <w:rFonts w:hint="eastAsia" w:ascii="仿宋" w:hAnsi="仿宋" w:eastAsia="仿宋" w:cs="仿宋"/>
          <w:sz w:val="28"/>
          <w:szCs w:val="28"/>
        </w:rPr>
        <w:t>报价</w:t>
      </w:r>
      <w:r>
        <w:rPr>
          <w:rFonts w:hint="eastAsia" w:ascii="仿宋" w:hAnsi="仿宋" w:eastAsia="仿宋" w:cs="仿宋"/>
          <w:sz w:val="28"/>
          <w:szCs w:val="28"/>
          <w:highlight w:val="none"/>
        </w:rPr>
        <w:t>包括商检费、运输费、保险费、税费以及采购人指定地点全包价。该价款不因原料、材料、劳务、能源等市场价格的变动而变动。</w:t>
      </w:r>
    </w:p>
    <w:p w14:paraId="71FCBB1A">
      <w:pPr>
        <w:pStyle w:val="5"/>
        <w:pageBreakBefore w:val="0"/>
        <w:numPr>
          <w:ilvl w:val="0"/>
          <w:numId w:val="0"/>
        </w:numPr>
        <w:kinsoku/>
        <w:wordWrap/>
        <w:overflowPunct/>
        <w:topLinePunct w:val="0"/>
        <w:autoSpaceDE/>
        <w:autoSpaceDN/>
        <w:bidi w:val="0"/>
        <w:snapToGrid/>
        <w:spacing w:after="0"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前修改</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总额，应同时修</w:t>
      </w:r>
      <w:bookmarkStart w:id="12" w:name="_Toc144974510"/>
      <w:bookmarkStart w:id="13" w:name="_Toc247513966"/>
      <w:bookmarkStart w:id="14" w:name="_Toc300834963"/>
      <w:bookmarkStart w:id="15" w:name="_Toc25772"/>
      <w:bookmarkStart w:id="16" w:name="_Toc384308223"/>
      <w:bookmarkStart w:id="17" w:name="_Toc247527567"/>
      <w:bookmarkStart w:id="18" w:name="_Toc152045542"/>
      <w:bookmarkStart w:id="19" w:name="_Toc361508598"/>
      <w:bookmarkStart w:id="20" w:name="_Toc152042318"/>
      <w:bookmarkStart w:id="21" w:name="_Toc352691486"/>
      <w:bookmarkStart w:id="22" w:name="_Toc369531529"/>
      <w:r>
        <w:rPr>
          <w:rFonts w:hint="eastAsia" w:ascii="仿宋" w:hAnsi="仿宋" w:eastAsia="仿宋" w:cs="仿宋"/>
          <w:color w:val="auto"/>
          <w:sz w:val="28"/>
          <w:szCs w:val="28"/>
        </w:rPr>
        <w:t>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一览表”、</w:t>
      </w:r>
      <w:bookmarkEnd w:id="12"/>
      <w:bookmarkEnd w:id="13"/>
      <w:bookmarkEnd w:id="14"/>
      <w:bookmarkEnd w:id="15"/>
      <w:bookmarkEnd w:id="16"/>
      <w:bookmarkEnd w:id="17"/>
      <w:bookmarkEnd w:id="18"/>
      <w:bookmarkEnd w:id="19"/>
      <w:bookmarkEnd w:id="20"/>
      <w:bookmarkEnd w:id="21"/>
      <w:bookmarkEnd w:id="22"/>
      <w:bookmarkStart w:id="23" w:name="_Toc247513967"/>
      <w:bookmarkStart w:id="24" w:name="_Toc15242"/>
      <w:bookmarkStart w:id="25" w:name="_Toc247527568"/>
      <w:bookmarkStart w:id="26" w:name="_Toc144974511"/>
      <w:bookmarkStart w:id="27" w:name="_Toc361508599"/>
      <w:bookmarkStart w:id="28" w:name="_Toc152042319"/>
      <w:bookmarkStart w:id="29" w:name="_Toc300834964"/>
      <w:bookmarkStart w:id="30" w:name="_Toc369531530"/>
      <w:bookmarkStart w:id="31" w:name="_Toc152045543"/>
      <w:bookmarkStart w:id="32" w:name="_Toc384308224"/>
      <w:bookmarkStart w:id="33" w:name="_Toc352691487"/>
      <w:r>
        <w:rPr>
          <w:rFonts w:hint="eastAsia" w:ascii="仿宋" w:hAnsi="仿宋" w:eastAsia="仿宋" w:cs="仿宋"/>
          <w:color w:val="auto"/>
          <w:sz w:val="28"/>
          <w:szCs w:val="28"/>
        </w:rPr>
        <w:t>“分项报价表”中的相应报价。</w:t>
      </w:r>
      <w:bookmarkEnd w:id="23"/>
      <w:bookmarkEnd w:id="24"/>
      <w:bookmarkEnd w:id="25"/>
      <w:bookmarkEnd w:id="26"/>
      <w:bookmarkEnd w:id="27"/>
      <w:bookmarkEnd w:id="28"/>
      <w:bookmarkEnd w:id="29"/>
      <w:bookmarkEnd w:id="30"/>
      <w:bookmarkEnd w:id="31"/>
      <w:bookmarkEnd w:id="32"/>
      <w:bookmarkEnd w:id="33"/>
    </w:p>
    <w:p w14:paraId="2405D61C">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w:t>
      </w:r>
    </w:p>
    <w:p w14:paraId="15740E00">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成交供应商</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是</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、签订合同及合同执行过程中的依据，不得进行实质性变动。</w:t>
      </w:r>
    </w:p>
    <w:p w14:paraId="05399D24">
      <w:pPr>
        <w:pStyle w:val="3"/>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）响应有效期</w:t>
      </w:r>
    </w:p>
    <w:p w14:paraId="7C02FD27">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b/>
          <w:bCs/>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b/>
          <w:bCs/>
          <w:color w:val="auto"/>
          <w:sz w:val="28"/>
          <w:szCs w:val="28"/>
          <w:lang w:val="en-US" w:eastAsia="zh-CN"/>
        </w:rPr>
        <w:t>报价单</w:t>
      </w:r>
      <w:r>
        <w:rPr>
          <w:rFonts w:hint="eastAsia" w:ascii="仿宋" w:hAnsi="仿宋" w:eastAsia="仿宋" w:cs="仿宋"/>
          <w:b/>
          <w:bCs/>
          <w:color w:val="auto"/>
          <w:sz w:val="28"/>
          <w:szCs w:val="28"/>
          <w:lang w:eastAsia="zh-CN"/>
        </w:rPr>
        <w:t>响应有效期</w:t>
      </w:r>
      <w:r>
        <w:rPr>
          <w:rFonts w:hint="eastAsia" w:ascii="仿宋" w:hAnsi="仿宋" w:eastAsia="仿宋" w:cs="仿宋"/>
          <w:b/>
          <w:bCs/>
          <w:color w:val="auto"/>
          <w:sz w:val="28"/>
          <w:szCs w:val="28"/>
        </w:rPr>
        <w:t>从提交之日起</w:t>
      </w:r>
      <w:r>
        <w:rPr>
          <w:rFonts w:hint="eastAsia" w:ascii="仿宋" w:hAnsi="仿宋" w:eastAsia="仿宋" w:cs="仿宋"/>
          <w:b/>
          <w:bCs/>
          <w:color w:val="auto"/>
          <w:sz w:val="28"/>
          <w:szCs w:val="28"/>
          <w:lang w:val="en-US" w:eastAsia="zh-CN"/>
        </w:rPr>
        <w:t>,有效期为180</w:t>
      </w:r>
      <w:r>
        <w:rPr>
          <w:rFonts w:hint="eastAsia" w:ascii="仿宋" w:hAnsi="仿宋" w:eastAsia="仿宋" w:cs="仿宋"/>
          <w:b/>
          <w:bCs/>
          <w:color w:val="auto"/>
          <w:sz w:val="28"/>
          <w:szCs w:val="28"/>
        </w:rPr>
        <w:t>天。</w:t>
      </w:r>
    </w:p>
    <w:p w14:paraId="146E00B7">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的，应承担</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和法律规定的责任。</w:t>
      </w:r>
    </w:p>
    <w:p w14:paraId="31D27AA1">
      <w:pPr>
        <w:pStyle w:val="3"/>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）响应保证金</w:t>
      </w:r>
    </w:p>
    <w:p w14:paraId="0A0CC8CC">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在递交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的同时，应按规定的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格式递交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lang w:val="en-US" w:eastAsia="zh-CN"/>
        </w:rPr>
        <w:t>0.5万元</w:t>
      </w:r>
      <w:r>
        <w:rPr>
          <w:rFonts w:hint="eastAsia" w:ascii="仿宋" w:hAnsi="仿宋" w:eastAsia="仿宋" w:cs="仿宋"/>
          <w:color w:val="auto"/>
          <w:sz w:val="28"/>
          <w:szCs w:val="28"/>
        </w:rPr>
        <w:t>，并作为其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51A9F233">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保证金支付账户如下：</w:t>
      </w:r>
    </w:p>
    <w:p w14:paraId="6D8AA735">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收款人：陕西锌业有限公司</w:t>
      </w:r>
    </w:p>
    <w:p w14:paraId="0F072E33">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账号：26805701040010332</w:t>
      </w:r>
    </w:p>
    <w:p w14:paraId="12CE894B">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开户行：中国农业银行商洛商州区支行</w:t>
      </w:r>
    </w:p>
    <w:p w14:paraId="34BB299E">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的形式：转账、保函、支票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签订保证金协议等</w:t>
      </w:r>
      <w:r>
        <w:rPr>
          <w:rFonts w:hint="eastAsia" w:ascii="仿宋" w:hAnsi="仿宋" w:eastAsia="仿宋" w:cs="仿宋"/>
          <w:color w:val="auto"/>
          <w:sz w:val="28"/>
          <w:szCs w:val="28"/>
        </w:rPr>
        <w:t>任何一种。</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以现金或者支票形式提交的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，应当从其基本账户转出并在</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中附上基本账户开户证明</w:t>
      </w:r>
      <w:r>
        <w:rPr>
          <w:rFonts w:hint="eastAsia" w:ascii="仿宋" w:hAnsi="仿宋" w:eastAsia="仿宋" w:cs="仿宋"/>
          <w:color w:val="auto"/>
          <w:sz w:val="28"/>
          <w:szCs w:val="28"/>
          <w:lang w:eastAsia="zh-CN"/>
        </w:rPr>
        <w:t>。</w:t>
      </w:r>
    </w:p>
    <w:p w14:paraId="34C975CA">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必须在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前到达指定帐户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以保函形式缴纳保证金其保函须由银行或</w:t>
      </w:r>
      <w:r>
        <w:rPr>
          <w:rFonts w:hint="eastAsia" w:ascii="仿宋" w:hAnsi="仿宋" w:eastAsia="仿宋" w:cs="仿宋"/>
          <w:color w:val="auto"/>
          <w:sz w:val="28"/>
          <w:szCs w:val="28"/>
          <w:lang w:val="en-US" w:eastAsia="zh-CN"/>
        </w:rPr>
        <w:t>具</w:t>
      </w:r>
      <w:r>
        <w:rPr>
          <w:rFonts w:hint="eastAsia" w:ascii="仿宋" w:hAnsi="仿宋" w:eastAsia="仿宋" w:cs="仿宋"/>
          <w:color w:val="auto"/>
          <w:sz w:val="28"/>
          <w:szCs w:val="28"/>
        </w:rPr>
        <w:t>有出具保函资格的单位出具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并于</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现场递交保函原件，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中附保函复印件。</w:t>
      </w:r>
    </w:p>
    <w:p w14:paraId="21B915BC">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有效期与</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一致。</w:t>
      </w:r>
    </w:p>
    <w:p w14:paraId="4EA592A7">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不按</w:t>
      </w:r>
      <w:bookmarkStart w:id="34" w:name="_Toc29025"/>
      <w:bookmarkStart w:id="35" w:name="_Toc352691490"/>
      <w:bookmarkStart w:id="36" w:name="_Toc361508602"/>
      <w:bookmarkStart w:id="37" w:name="_Toc384308227"/>
      <w:bookmarkStart w:id="38" w:name="_Toc369531533"/>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bookmarkEnd w:id="34"/>
      <w:bookmarkEnd w:id="35"/>
      <w:bookmarkEnd w:id="36"/>
      <w:bookmarkEnd w:id="37"/>
      <w:bookmarkEnd w:id="38"/>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将否决其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53037422">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最迟应当在与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bookmarkStart w:id="39" w:name="_Toc361508603"/>
      <w:bookmarkStart w:id="40" w:name="_Toc247527571"/>
      <w:bookmarkStart w:id="41" w:name="_Toc14751"/>
      <w:bookmarkStart w:id="42" w:name="_Toc352691491"/>
      <w:bookmarkStart w:id="43" w:name="_Toc384308228"/>
      <w:bookmarkStart w:id="44" w:name="_Toc152045546"/>
      <w:bookmarkStart w:id="45" w:name="_Toc144974514"/>
      <w:bookmarkStart w:id="46" w:name="_Toc247513970"/>
      <w:bookmarkStart w:id="47" w:name="_Toc369531534"/>
      <w:bookmarkStart w:id="48" w:name="_Toc300834967"/>
      <w:bookmarkStart w:id="49" w:name="_Toc152042322"/>
      <w:r>
        <w:rPr>
          <w:rFonts w:hint="eastAsia" w:ascii="仿宋" w:hAnsi="仿宋" w:eastAsia="仿宋" w:cs="仿宋"/>
          <w:color w:val="auto"/>
          <w:sz w:val="28"/>
          <w:szCs w:val="28"/>
        </w:rPr>
        <w:t>签订合同后</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28"/>
          <w:szCs w:val="28"/>
        </w:rPr>
        <w:t>内</w:t>
      </w:r>
      <w:bookmarkStart w:id="50" w:name="_Toc352691492"/>
      <w:bookmarkStart w:id="51" w:name="_Toc369531535"/>
      <w:bookmarkStart w:id="52" w:name="_Toc300834968"/>
      <w:bookmarkStart w:id="53" w:name="_Toc247513971"/>
      <w:bookmarkStart w:id="54" w:name="_Toc144974515"/>
      <w:bookmarkStart w:id="55" w:name="_Toc361508604"/>
      <w:bookmarkStart w:id="56" w:name="_Toc152042323"/>
      <w:bookmarkStart w:id="57" w:name="_Toc152045547"/>
      <w:bookmarkStart w:id="58" w:name="_Toc17952"/>
      <w:bookmarkStart w:id="59" w:name="_Toc247527572"/>
      <w:bookmarkStart w:id="60" w:name="_Toc384308229"/>
      <w:r>
        <w:rPr>
          <w:rFonts w:hint="eastAsia" w:ascii="仿宋" w:hAnsi="仿宋" w:eastAsia="仿宋" w:cs="仿宋"/>
          <w:color w:val="auto"/>
          <w:sz w:val="28"/>
          <w:szCs w:val="28"/>
        </w:rPr>
        <w:t>，向未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r>
        <w:rPr>
          <w:rFonts w:hint="eastAsia" w:ascii="仿宋" w:hAnsi="仿宋" w:eastAsia="仿宋" w:cs="仿宋"/>
          <w:color w:val="auto"/>
          <w:sz w:val="28"/>
          <w:szCs w:val="28"/>
          <w:lang w:val="en-US" w:eastAsia="zh-CN"/>
        </w:rPr>
        <w:t>无息</w:t>
      </w:r>
      <w:r>
        <w:rPr>
          <w:rFonts w:hint="eastAsia" w:ascii="仿宋" w:hAnsi="仿宋" w:eastAsia="仿宋" w:cs="仿宋"/>
          <w:color w:val="auto"/>
          <w:sz w:val="28"/>
          <w:szCs w:val="28"/>
        </w:rPr>
        <w:t>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w:t>
      </w:r>
    </w:p>
    <w:p w14:paraId="4992BEC4">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有下列情形之一的，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将不予退还：</w:t>
      </w:r>
    </w:p>
    <w:p w14:paraId="0C341CC6">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p>
    <w:p w14:paraId="375EB403">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人在收到</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项目的，无正当理由不与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订立合同的，在签订合同时向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提出附加条件或者更改合同实质性内容的，或者拒不按照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要求提交履约担保的。</w:t>
      </w:r>
    </w:p>
    <w:p w14:paraId="0BD1DAED">
      <w:pPr>
        <w:pStyle w:val="3"/>
        <w:pageBreakBefore w:val="0"/>
        <w:kinsoku/>
        <w:wordWrap/>
        <w:overflowPunct/>
        <w:topLinePunct w:val="0"/>
        <w:autoSpaceDE/>
        <w:autoSpaceDN/>
        <w:bidi w:val="0"/>
        <w:snapToGrid/>
        <w:spacing w:before="0" w:after="0" w:line="440" w:lineRule="exact"/>
        <w:ind w:left="0" w:firstLine="280" w:firstLineChars="100"/>
        <w:jc w:val="both"/>
        <w:rPr>
          <w:rFonts w:hint="eastAsia" w:ascii="仿宋" w:hAnsi="仿宋" w:eastAsia="仿宋" w:cs="仿宋"/>
          <w:color w:val="auto"/>
          <w:sz w:val="28"/>
          <w:szCs w:val="28"/>
        </w:rPr>
      </w:pPr>
      <w:bookmarkStart w:id="61" w:name="_Toc33795794"/>
      <w:bookmarkStart w:id="62" w:name="_Toc28216"/>
      <w:bookmarkStart w:id="63" w:name="_Toc24514"/>
      <w:bookmarkStart w:id="64" w:name="_Toc2187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资格审查资料</w:t>
      </w:r>
      <w:bookmarkEnd w:id="61"/>
      <w:bookmarkEnd w:id="62"/>
      <w:bookmarkEnd w:id="63"/>
      <w:bookmarkEnd w:id="64"/>
    </w:p>
    <w:p w14:paraId="2BC67434">
      <w:pPr>
        <w:pStyle w:val="3"/>
        <w:pageBreakBefore w:val="0"/>
        <w:kinsoku/>
        <w:wordWrap/>
        <w:overflowPunct/>
        <w:topLinePunct w:val="0"/>
        <w:autoSpaceDE/>
        <w:autoSpaceDN/>
        <w:bidi w:val="0"/>
        <w:snapToGrid/>
        <w:spacing w:before="0" w:after="0"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应按下列规定提供相关的证明材料，以证明其满足资质、财务、业绩、信誉要求。</w:t>
      </w:r>
    </w:p>
    <w:p w14:paraId="536325DC">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基本情况表”应附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资格或者资质证书副本等材料的复印件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为企业的，应提交营业执照复印件；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为依法允许经营的事业单位的，应提交事业单位法人证书和组织机构代码证的复印件。</w:t>
      </w:r>
    </w:p>
    <w:p w14:paraId="21D7D902">
      <w:pPr>
        <w:pageBreakBefore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b w:val="0"/>
          <w:bCs/>
          <w:color w:val="auto"/>
          <w:sz w:val="28"/>
          <w:szCs w:val="28"/>
          <w:highlight w:val="yellow"/>
          <w:lang w:val="en-US"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“近年财务状况表”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线下报价单位</w:t>
      </w:r>
      <w:r>
        <w:rPr>
          <w:rFonts w:hint="eastAsia" w:ascii="仿宋" w:hAnsi="仿宋" w:eastAsia="仿宋" w:cs="仿宋"/>
          <w:color w:val="auto"/>
          <w:sz w:val="28"/>
          <w:szCs w:val="28"/>
          <w:highlight w:val="none"/>
        </w:rPr>
        <w:t>应</w:t>
      </w:r>
      <w:r>
        <w:rPr>
          <w:rFonts w:hint="eastAsia" w:ascii="仿宋" w:hAnsi="仿宋" w:eastAsia="仿宋" w:cs="仿宋"/>
          <w:color w:val="auto"/>
          <w:sz w:val="28"/>
          <w:szCs w:val="28"/>
          <w:highlight w:val="none"/>
          <w:lang w:val="en-US" w:eastAsia="zh-CN"/>
        </w:rPr>
        <w:t>附近两年来的</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财务报表或经审计机构审计的财务会计报表，包括资产负债表、现金流量表、利润表和财务情况说明书的复印件，成立的时间不足</w:t>
      </w:r>
      <w:r>
        <w:rPr>
          <w:rFonts w:hint="eastAsia" w:ascii="仿宋" w:hAnsi="仿宋" w:eastAsia="仿宋" w:cs="仿宋"/>
          <w:color w:val="auto"/>
          <w:sz w:val="28"/>
          <w:szCs w:val="28"/>
          <w:highlight w:val="none"/>
          <w:lang w:val="en-US" w:eastAsia="zh-CN"/>
        </w:rPr>
        <w:t>两年</w:t>
      </w:r>
      <w:r>
        <w:rPr>
          <w:rFonts w:hint="eastAsia" w:ascii="仿宋" w:hAnsi="仿宋" w:eastAsia="仿宋" w:cs="仿宋"/>
          <w:color w:val="auto"/>
          <w:sz w:val="28"/>
          <w:szCs w:val="28"/>
          <w:highlight w:val="none"/>
        </w:rPr>
        <w:t>的，应提供成立以来的财务状况。</w:t>
      </w:r>
      <w:r>
        <w:rPr>
          <w:rFonts w:hint="eastAsia" w:ascii="仿宋" w:hAnsi="仿宋" w:eastAsia="仿宋" w:cs="仿宋"/>
          <w:color w:val="auto"/>
          <w:sz w:val="28"/>
          <w:szCs w:val="28"/>
          <w:highlight w:val="none"/>
          <w:lang w:val="en-US" w:eastAsia="zh-CN"/>
        </w:rPr>
        <w:t>线上报价单位提供“</w:t>
      </w:r>
      <w:r>
        <w:rPr>
          <w:rFonts w:hint="eastAsia" w:ascii="仿宋" w:hAnsi="仿宋" w:eastAsia="仿宋" w:cs="仿宋"/>
          <w:b w:val="0"/>
          <w:bCs/>
          <w:color w:val="auto"/>
          <w:sz w:val="28"/>
          <w:szCs w:val="28"/>
          <w:highlight w:val="none"/>
        </w:rPr>
        <w:t>财务状况承诺</w:t>
      </w:r>
      <w:r>
        <w:rPr>
          <w:rFonts w:hint="eastAsia" w:ascii="仿宋" w:hAnsi="仿宋" w:eastAsia="仿宋" w:cs="仿宋"/>
          <w:color w:val="auto"/>
          <w:sz w:val="28"/>
          <w:szCs w:val="28"/>
          <w:highlight w:val="none"/>
          <w:lang w:val="en-US" w:eastAsia="zh-CN"/>
        </w:rPr>
        <w:t>”</w:t>
      </w:r>
      <w:r>
        <w:rPr>
          <w:rFonts w:hint="eastAsia" w:ascii="仿宋" w:hAnsi="仿宋" w:eastAsia="仿宋" w:cs="仿宋"/>
          <w:b w:val="0"/>
          <w:bCs/>
          <w:color w:val="auto"/>
          <w:sz w:val="28"/>
          <w:szCs w:val="28"/>
          <w:highlight w:val="none"/>
          <w:lang w:val="en-US" w:eastAsia="zh-CN"/>
        </w:rPr>
        <w:t>即可。</w:t>
      </w:r>
    </w:p>
    <w:p w14:paraId="764E0F5F">
      <w:pPr>
        <w:pageBreakBefore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“近年完成的类似项目情况表”应附</w:t>
      </w:r>
      <w:r>
        <w:rPr>
          <w:rFonts w:hint="eastAsia" w:ascii="仿宋" w:hAnsi="仿宋" w:eastAsia="仿宋" w:cs="仿宋"/>
          <w:color w:val="auto"/>
          <w:sz w:val="28"/>
          <w:szCs w:val="28"/>
          <w:lang w:val="en-US" w:eastAsia="zh-CN"/>
        </w:rPr>
        <w:t>从2023年5月至今的</w:t>
      </w:r>
      <w:r>
        <w:rPr>
          <w:rFonts w:hint="eastAsia" w:ascii="仿宋" w:hAnsi="仿宋" w:eastAsia="仿宋" w:cs="仿宋"/>
          <w:color w:val="auto"/>
          <w:sz w:val="28"/>
          <w:szCs w:val="28"/>
        </w:rPr>
        <w:t>合同复印件，每张表格只填写一个项目，并标明序号。</w:t>
      </w:r>
    </w:p>
    <w:p w14:paraId="6DAB1C9D">
      <w:pPr>
        <w:pageBreakBefore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“近年发生的诉讼及仲裁情况”应说明相关情况，并附</w:t>
      </w:r>
      <w:r>
        <w:rPr>
          <w:rFonts w:hint="eastAsia" w:ascii="仿宋" w:hAnsi="仿宋" w:eastAsia="仿宋" w:cs="仿宋"/>
          <w:color w:val="auto"/>
          <w:sz w:val="28"/>
          <w:szCs w:val="28"/>
          <w:lang w:val="en-US" w:eastAsia="zh-CN"/>
        </w:rPr>
        <w:t>2022年5月至今的</w:t>
      </w:r>
      <w:r>
        <w:rPr>
          <w:rFonts w:hint="eastAsia" w:ascii="仿宋" w:hAnsi="仿宋" w:eastAsia="仿宋" w:cs="仿宋"/>
          <w:color w:val="auto"/>
          <w:sz w:val="28"/>
          <w:szCs w:val="28"/>
        </w:rPr>
        <w:t>法院或仲裁机构作出的判决、裁决等有关法律文书复印件。</w:t>
      </w:r>
    </w:p>
    <w:p w14:paraId="750FB09B">
      <w:pPr>
        <w:pageBreakBefore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5、线下响应文件需胶装密封，封面需注明参与项目名称及公司盖章。快递件不作为密封条件，以快递件内的密封胶装响应文件为准。</w:t>
      </w:r>
    </w:p>
    <w:p w14:paraId="76195430">
      <w:pPr>
        <w:pageBreakBefore w:val="0"/>
        <w:kinsoku/>
        <w:wordWrap/>
        <w:topLinePunct w:val="0"/>
        <w:autoSpaceDE/>
        <w:autoSpaceDN/>
        <w:bidi w:val="0"/>
        <w:snapToGrid/>
        <w:spacing w:line="44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6、资格审查不合格的报价无效。</w:t>
      </w:r>
    </w:p>
    <w:p w14:paraId="42FFDAAD">
      <w:pPr>
        <w:pageBreakBefore w:val="0"/>
        <w:kinsoku/>
        <w:wordWrap/>
        <w:topLinePunct w:val="0"/>
        <w:autoSpaceDE/>
        <w:autoSpaceDN/>
        <w:bidi w:val="0"/>
        <w:snapToGrid/>
        <w:spacing w:line="440" w:lineRule="exact"/>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b w:val="0"/>
          <w:bCs w:val="0"/>
          <w:color w:val="auto"/>
          <w:spacing w:val="1"/>
          <w:sz w:val="28"/>
          <w:szCs w:val="28"/>
          <w:highlight w:val="none"/>
          <w:lang w:eastAsia="zh-CN"/>
        </w:rPr>
        <w:t>（五）响应文件的</w:t>
      </w:r>
      <w:r>
        <w:rPr>
          <w:rFonts w:hint="eastAsia" w:ascii="仿宋" w:hAnsi="仿宋" w:eastAsia="仿宋" w:cs="仿宋"/>
          <w:b w:val="0"/>
          <w:bCs w:val="0"/>
          <w:color w:val="auto"/>
          <w:spacing w:val="1"/>
          <w:sz w:val="28"/>
          <w:szCs w:val="28"/>
          <w:highlight w:val="none"/>
          <w:lang w:val="en-US" w:eastAsia="zh-CN"/>
        </w:rPr>
        <w:t>提</w:t>
      </w:r>
      <w:r>
        <w:rPr>
          <w:rFonts w:hint="eastAsia" w:ascii="仿宋" w:hAnsi="仿宋" w:eastAsia="仿宋" w:cs="仿宋"/>
          <w:b w:val="0"/>
          <w:bCs w:val="0"/>
          <w:color w:val="auto"/>
          <w:spacing w:val="1"/>
          <w:sz w:val="28"/>
          <w:szCs w:val="28"/>
          <w:highlight w:val="none"/>
          <w:lang w:eastAsia="zh-CN"/>
        </w:rPr>
        <w:t>交</w:t>
      </w:r>
    </w:p>
    <w:p w14:paraId="5F6150A8">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 响应文件提交截止时间：2026年6月22日12时（北京时间）；</w:t>
      </w:r>
    </w:p>
    <w:p w14:paraId="5568B208">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4" w:firstLineChars="200"/>
        <w:textAlignment w:val="auto"/>
        <w:rPr>
          <w:rFonts w:hint="eastAsia" w:ascii="仿宋" w:hAnsi="仿宋" w:eastAsia="仿宋" w:cs="仿宋"/>
          <w:b w:val="0"/>
          <w:bCs w:val="0"/>
          <w:i w:val="0"/>
          <w:iCs w:val="0"/>
          <w:caps w:val="0"/>
          <w:color w:val="333333"/>
          <w:spacing w:val="0"/>
          <w:sz w:val="28"/>
          <w:szCs w:val="28"/>
          <w:shd w:val="clear" w:fill="FEFEFE"/>
        </w:rPr>
      </w:pPr>
      <w:r>
        <w:rPr>
          <w:rFonts w:hint="eastAsia" w:ascii="仿宋" w:hAnsi="仿宋" w:eastAsia="仿宋" w:cs="仿宋"/>
          <w:color w:val="auto"/>
          <w:spacing w:val="1"/>
          <w:sz w:val="28"/>
          <w:szCs w:val="28"/>
          <w:highlight w:val="none"/>
          <w:lang w:val="en-US" w:eastAsia="zh-CN"/>
        </w:rPr>
        <w:t>2.线上提交方法：</w:t>
      </w:r>
      <w:r>
        <w:rPr>
          <w:rFonts w:hint="eastAsia" w:ascii="仿宋" w:hAnsi="仿宋" w:eastAsia="仿宋" w:cs="仿宋"/>
          <w:b w:val="0"/>
          <w:bCs w:val="0"/>
          <w:i w:val="0"/>
          <w:iCs w:val="0"/>
          <w:caps w:val="0"/>
          <w:color w:val="333333"/>
          <w:spacing w:val="0"/>
          <w:sz w:val="28"/>
          <w:szCs w:val="28"/>
          <w:shd w:val="clear" w:fill="FEFEFE"/>
        </w:rPr>
        <w:t>陕西锌业有限公司网络询比采购平台（</w:t>
      </w:r>
      <w:r>
        <w:rPr>
          <w:rFonts w:hint="eastAsia" w:ascii="仿宋" w:hAnsi="仿宋" w:eastAsia="仿宋" w:cs="仿宋"/>
          <w:b w:val="0"/>
          <w:bCs w:val="0"/>
          <w:i w:val="0"/>
          <w:iCs w:val="0"/>
          <w:caps w:val="0"/>
          <w:color w:val="000000"/>
          <w:spacing w:val="0"/>
          <w:sz w:val="28"/>
          <w:szCs w:val="28"/>
          <w:u w:val="none"/>
          <w:shd w:val="clear" w:fill="FEFEFE"/>
        </w:rPr>
        <w:fldChar w:fldCharType="begin"/>
      </w:r>
      <w:r>
        <w:rPr>
          <w:rFonts w:hint="eastAsia" w:ascii="仿宋" w:hAnsi="仿宋" w:eastAsia="仿宋" w:cs="仿宋"/>
          <w:b w:val="0"/>
          <w:bCs w:val="0"/>
          <w:i w:val="0"/>
          <w:iCs w:val="0"/>
          <w:caps w:val="0"/>
          <w:color w:val="000000"/>
          <w:spacing w:val="0"/>
          <w:sz w:val="28"/>
          <w:szCs w:val="28"/>
          <w:u w:val="none"/>
          <w:shd w:val="clear" w:fill="FEFEFE"/>
        </w:rPr>
        <w:instrText xml:space="preserve"> HYPERLINK "javascript:void(0);" </w:instrText>
      </w:r>
      <w:r>
        <w:rPr>
          <w:rFonts w:hint="eastAsia" w:ascii="仿宋" w:hAnsi="仿宋" w:eastAsia="仿宋" w:cs="仿宋"/>
          <w:b w:val="0"/>
          <w:bCs w:val="0"/>
          <w:i w:val="0"/>
          <w:iCs w:val="0"/>
          <w:caps w:val="0"/>
          <w:color w:val="000000"/>
          <w:spacing w:val="0"/>
          <w:sz w:val="28"/>
          <w:szCs w:val="28"/>
          <w:u w:val="none"/>
          <w:shd w:val="clear" w:fill="FEFEFE"/>
        </w:rPr>
        <w:fldChar w:fldCharType="separate"/>
      </w:r>
      <w:r>
        <w:rPr>
          <w:rStyle w:val="12"/>
          <w:rFonts w:hint="eastAsia" w:ascii="仿宋" w:hAnsi="仿宋" w:eastAsia="仿宋" w:cs="仿宋"/>
          <w:b w:val="0"/>
          <w:bCs w:val="0"/>
          <w:i w:val="0"/>
          <w:iCs w:val="0"/>
          <w:caps w:val="0"/>
          <w:color w:val="000000"/>
          <w:spacing w:val="0"/>
          <w:sz w:val="28"/>
          <w:szCs w:val="28"/>
          <w:u w:val="none"/>
          <w:shd w:val="clear" w:fill="FEFEFE"/>
        </w:rPr>
        <w:t>www.sxxyjjpt.com</w:t>
      </w:r>
      <w:r>
        <w:rPr>
          <w:rFonts w:hint="eastAsia" w:ascii="仿宋" w:hAnsi="仿宋" w:eastAsia="仿宋" w:cs="仿宋"/>
          <w:b w:val="0"/>
          <w:bCs w:val="0"/>
          <w:i w:val="0"/>
          <w:iCs w:val="0"/>
          <w:caps w:val="0"/>
          <w:color w:val="000000"/>
          <w:spacing w:val="0"/>
          <w:sz w:val="28"/>
          <w:szCs w:val="28"/>
          <w:u w:val="none"/>
          <w:shd w:val="clear" w:fill="FEFEFE"/>
        </w:rPr>
        <w:fldChar w:fldCharType="end"/>
      </w:r>
      <w:r>
        <w:rPr>
          <w:rFonts w:hint="eastAsia" w:ascii="仿宋" w:hAnsi="仿宋" w:eastAsia="仿宋" w:cs="仿宋"/>
          <w:b w:val="0"/>
          <w:bCs w:val="0"/>
          <w:i w:val="0"/>
          <w:iCs w:val="0"/>
          <w:caps w:val="0"/>
          <w:color w:val="333333"/>
          <w:spacing w:val="0"/>
          <w:sz w:val="28"/>
          <w:szCs w:val="28"/>
          <w:shd w:val="clear" w:fill="FEFEFE"/>
        </w:rPr>
        <w:t>）</w:t>
      </w:r>
    </w:p>
    <w:p w14:paraId="3299F165">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0" w:firstLineChars="200"/>
        <w:textAlignment w:val="auto"/>
        <w:rPr>
          <w:rFonts w:hint="eastAsia" w:ascii="仿宋" w:hAnsi="仿宋" w:eastAsia="仿宋" w:cs="仿宋"/>
          <w:b w:val="0"/>
          <w:bCs w:val="0"/>
          <w:i w:val="0"/>
          <w:iCs w:val="0"/>
          <w:caps w:val="0"/>
          <w:color w:val="333333"/>
          <w:spacing w:val="0"/>
          <w:sz w:val="28"/>
          <w:szCs w:val="28"/>
          <w:shd w:val="clear" w:fill="FEFEFE"/>
          <w:lang w:val="en-US" w:eastAsia="zh-CN"/>
        </w:rPr>
      </w:pPr>
      <w:r>
        <w:rPr>
          <w:rFonts w:hint="eastAsia" w:ascii="仿宋" w:hAnsi="仿宋" w:eastAsia="仿宋" w:cs="仿宋"/>
          <w:b w:val="0"/>
          <w:bCs w:val="0"/>
          <w:i w:val="0"/>
          <w:iCs w:val="0"/>
          <w:caps w:val="0"/>
          <w:color w:val="333333"/>
          <w:spacing w:val="0"/>
          <w:sz w:val="28"/>
          <w:szCs w:val="28"/>
          <w:shd w:val="clear" w:fill="FEFEFE"/>
          <w:lang w:val="en-US" w:eastAsia="zh-CN"/>
        </w:rPr>
        <w:t>3、</w:t>
      </w:r>
      <w:r>
        <w:rPr>
          <w:rFonts w:hint="eastAsia" w:ascii="仿宋" w:hAnsi="仿宋" w:eastAsia="仿宋" w:cs="仿宋"/>
          <w:color w:val="auto"/>
          <w:sz w:val="28"/>
          <w:szCs w:val="28"/>
          <w:lang w:val="en-US" w:eastAsia="zh-CN"/>
        </w:rPr>
        <w:t>线下提交方法：将响应文件一式两份一正一副密封后直接送达或邮寄至陕西锌业有限公司一楼招投标办公室。</w:t>
      </w:r>
    </w:p>
    <w:p w14:paraId="25BD9395">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联系人：张小兵    电话： 0914-2552485</w:t>
      </w:r>
    </w:p>
    <w:p w14:paraId="6CDBB4A6">
      <w:pPr>
        <w:keepNext w:val="0"/>
        <w:keepLines w:val="0"/>
        <w:pageBreakBefore w:val="0"/>
        <w:widowControl w:val="0"/>
        <w:kinsoku/>
        <w:wordWrap/>
        <w:overflowPunct w:val="0"/>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color w:val="auto"/>
          <w:sz w:val="28"/>
          <w:szCs w:val="28"/>
          <w:lang w:val="en-US" w:eastAsia="zh-CN"/>
        </w:rPr>
        <w:t>收标联系人：白浩楠     电话：18329587208</w:t>
      </w:r>
    </w:p>
    <w:p w14:paraId="5BD99F3C">
      <w:pPr>
        <w:pStyle w:val="13"/>
        <w:keepNext w:val="0"/>
        <w:keepLines w:val="0"/>
        <w:pageBreakBefore w:val="0"/>
        <w:shd w:val="clear" w:color="auto" w:fill="auto"/>
        <w:kinsoku/>
        <w:wordWrap/>
        <w:overflowPunct/>
        <w:topLinePunct w:val="0"/>
        <w:autoSpaceDE/>
        <w:autoSpaceDN/>
        <w:bidi w:val="0"/>
        <w:adjustRightInd/>
        <w:snapToGrid/>
        <w:spacing w:before="0" w:after="120" w:line="440" w:lineRule="exact"/>
        <w:ind w:firstLine="283" w:firstLineChars="1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pacing w:val="1"/>
          <w:sz w:val="28"/>
          <w:szCs w:val="28"/>
          <w:highlight w:val="none"/>
          <w:lang w:val="en-US" w:eastAsia="zh-CN"/>
        </w:rPr>
        <w:t>四</w:t>
      </w:r>
      <w:r>
        <w:rPr>
          <w:rFonts w:hint="eastAsia" w:ascii="仿宋" w:hAnsi="仿宋" w:eastAsia="仿宋" w:cs="仿宋"/>
          <w:b/>
          <w:bCs/>
          <w:color w:val="auto"/>
          <w:spacing w:val="1"/>
          <w:sz w:val="28"/>
          <w:szCs w:val="28"/>
          <w:highlight w:val="none"/>
          <w:lang w:eastAsia="zh-CN"/>
        </w:rPr>
        <w:t>、响应文件开启时间及地点</w:t>
      </w:r>
    </w:p>
    <w:p w14:paraId="6B9051C0">
      <w:pPr>
        <w:keepNext w:val="0"/>
        <w:keepLines w:val="0"/>
        <w:pageBreakBefore w:val="0"/>
        <w:shd w:val="clear" w:color="auto" w:fill="auto"/>
        <w:kinsoku/>
        <w:wordWrap/>
        <w:overflowPunct/>
        <w:topLinePunct w:val="0"/>
        <w:autoSpaceDE/>
        <w:autoSpaceDN/>
        <w:bidi w:val="0"/>
        <w:adjustRightInd/>
        <w:snapToGrid/>
        <w:spacing w:line="440" w:lineRule="exact"/>
        <w:ind w:firstLine="564" w:firstLineChars="200"/>
        <w:textAlignment w:val="auto"/>
        <w:rPr>
          <w:rFonts w:hint="eastAsia" w:ascii="仿宋" w:hAnsi="仿宋" w:eastAsia="仿宋" w:cs="仿宋"/>
          <w:color w:val="auto"/>
          <w:spacing w:val="1"/>
          <w:kern w:val="0"/>
          <w:sz w:val="28"/>
          <w:szCs w:val="28"/>
          <w:highlight w:val="yellow"/>
          <w:lang w:val="en-US" w:eastAsia="zh-CN" w:bidi="ar-SA"/>
        </w:rPr>
      </w:pPr>
      <w:r>
        <w:rPr>
          <w:rFonts w:hint="eastAsia" w:ascii="仿宋" w:hAnsi="仿宋" w:eastAsia="仿宋" w:cs="仿宋"/>
          <w:color w:val="auto"/>
          <w:spacing w:val="1"/>
          <w:kern w:val="0"/>
          <w:sz w:val="28"/>
          <w:szCs w:val="28"/>
          <w:highlight w:val="none"/>
          <w:lang w:val="en-US" w:eastAsia="zh-CN" w:bidi="ar-SA"/>
        </w:rPr>
        <w:t>（一）响应文件的开启时间：</w:t>
      </w:r>
      <w:r>
        <w:rPr>
          <w:rFonts w:hint="eastAsia" w:ascii="仿宋" w:hAnsi="仿宋" w:eastAsia="仿宋" w:cs="仿宋"/>
          <w:color w:val="auto"/>
          <w:spacing w:val="1"/>
          <w:sz w:val="28"/>
          <w:szCs w:val="28"/>
          <w:highlight w:val="none"/>
          <w:lang w:val="en-US" w:eastAsia="zh-CN"/>
        </w:rPr>
        <w:t>2026年6月22日13时</w:t>
      </w:r>
      <w:r>
        <w:rPr>
          <w:rFonts w:hint="eastAsia" w:ascii="仿宋" w:hAnsi="仿宋" w:eastAsia="仿宋" w:cs="仿宋"/>
          <w:color w:val="auto"/>
          <w:spacing w:val="1"/>
          <w:kern w:val="0"/>
          <w:sz w:val="28"/>
          <w:szCs w:val="28"/>
          <w:highlight w:val="none"/>
          <w:lang w:val="en-US" w:eastAsia="zh-CN" w:bidi="ar-SA"/>
        </w:rPr>
        <w:t>；</w:t>
      </w:r>
    </w:p>
    <w:p w14:paraId="5AEA8727">
      <w:pPr>
        <w:keepNext w:val="0"/>
        <w:keepLines w:val="0"/>
        <w:pageBreakBefore w:val="0"/>
        <w:shd w:val="clear" w:color="auto" w:fill="auto"/>
        <w:kinsoku/>
        <w:wordWrap/>
        <w:overflowPunct/>
        <w:topLinePunct w:val="0"/>
        <w:autoSpaceDE/>
        <w:autoSpaceDN/>
        <w:bidi w:val="0"/>
        <w:adjustRightInd/>
        <w:snapToGrid/>
        <w:spacing w:line="440" w:lineRule="exact"/>
        <w:ind w:firstLine="564" w:firstLineChars="20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color w:val="auto"/>
          <w:spacing w:val="1"/>
          <w:kern w:val="0"/>
          <w:sz w:val="28"/>
          <w:szCs w:val="28"/>
          <w:highlight w:val="none"/>
          <w:lang w:val="en-US" w:eastAsia="zh-CN" w:bidi="ar-SA"/>
        </w:rPr>
        <w:t>（二）响应文件的开启地点：陕西锌业有限公司办公楼一楼招投标办公室（陕西省商洛市商州区沙河子镇）。</w:t>
      </w:r>
    </w:p>
    <w:p w14:paraId="3C7DDAA7">
      <w:pPr>
        <w:pStyle w:val="2"/>
        <w:pageBreakBefore w:val="0"/>
        <w:widowControl w:val="0"/>
        <w:kinsoku/>
        <w:wordWrap/>
        <w:overflowPunct/>
        <w:topLinePunct w:val="0"/>
        <w:autoSpaceDE/>
        <w:autoSpaceDN/>
        <w:bidi w:val="0"/>
        <w:adjustRightInd/>
        <w:snapToGrid/>
        <w:spacing w:before="0" w:after="0" w:line="440" w:lineRule="exact"/>
        <w:ind w:firstLine="562" w:firstLineChars="200"/>
        <w:jc w:val="both"/>
        <w:textAlignment w:val="auto"/>
        <w:rPr>
          <w:rFonts w:hint="eastAsia" w:ascii="仿宋" w:hAnsi="仿宋" w:eastAsia="仿宋" w:cs="仿宋"/>
          <w:color w:val="auto"/>
          <w:sz w:val="28"/>
          <w:szCs w:val="28"/>
          <w:lang w:val="en-US" w:eastAsia="zh-CN"/>
        </w:rPr>
      </w:pPr>
      <w:r>
        <w:rPr>
          <w:rStyle w:val="11"/>
          <w:rFonts w:hint="eastAsia" w:ascii="仿宋" w:hAnsi="仿宋" w:eastAsia="仿宋" w:cs="仿宋"/>
          <w:b/>
          <w:i w:val="0"/>
          <w:iCs w:val="0"/>
          <w:caps w:val="0"/>
          <w:color w:val="000000"/>
          <w:spacing w:val="0"/>
          <w:sz w:val="28"/>
          <w:szCs w:val="28"/>
          <w:lang w:val="en-US" w:eastAsia="zh-CN"/>
        </w:rPr>
        <w:t>五</w:t>
      </w:r>
      <w:r>
        <w:rPr>
          <w:rStyle w:val="11"/>
          <w:rFonts w:hint="eastAsia" w:ascii="仿宋" w:hAnsi="仿宋" w:eastAsia="仿宋" w:cs="仿宋"/>
          <w:b/>
          <w:i w:val="0"/>
          <w:iCs w:val="0"/>
          <w:caps w:val="0"/>
          <w:color w:val="000000"/>
          <w:spacing w:val="0"/>
          <w:sz w:val="28"/>
          <w:szCs w:val="28"/>
        </w:rPr>
        <w:t>、</w:t>
      </w:r>
      <w:r>
        <w:rPr>
          <w:rStyle w:val="11"/>
          <w:rFonts w:hint="eastAsia" w:ascii="仿宋" w:hAnsi="仿宋" w:eastAsia="仿宋" w:cs="仿宋"/>
          <w:b/>
          <w:i w:val="0"/>
          <w:iCs w:val="0"/>
          <w:caps w:val="0"/>
          <w:color w:val="000000"/>
          <w:spacing w:val="0"/>
          <w:sz w:val="28"/>
          <w:szCs w:val="28"/>
          <w:lang w:val="en-US" w:eastAsia="zh-CN"/>
        </w:rPr>
        <w:t>响应文件的</w:t>
      </w:r>
      <w:r>
        <w:rPr>
          <w:rFonts w:hint="eastAsia" w:ascii="仿宋" w:hAnsi="仿宋" w:eastAsia="仿宋" w:cs="仿宋"/>
          <w:color w:val="auto"/>
          <w:sz w:val="28"/>
          <w:szCs w:val="28"/>
        </w:rPr>
        <w:t>评</w:t>
      </w:r>
      <w:r>
        <w:rPr>
          <w:rFonts w:hint="eastAsia" w:ascii="仿宋" w:hAnsi="仿宋" w:eastAsia="仿宋" w:cs="仿宋"/>
          <w:color w:val="auto"/>
          <w:sz w:val="28"/>
          <w:szCs w:val="28"/>
          <w:lang w:val="en-US" w:eastAsia="zh-CN"/>
        </w:rPr>
        <w:t>审</w:t>
      </w:r>
    </w:p>
    <w:p w14:paraId="1FD4213E">
      <w:pPr>
        <w:pageBreakBefore w:val="0"/>
        <w:kinsoku/>
        <w:wordWrap/>
        <w:overflowPunct/>
        <w:topLinePunct w:val="0"/>
        <w:autoSpaceDE/>
        <w:autoSpaceDN/>
        <w:bidi w:val="0"/>
        <w:snapToGrid/>
        <w:spacing w:line="440" w:lineRule="exact"/>
        <w:rPr>
          <w:rFonts w:hint="default"/>
          <w:sz w:val="28"/>
          <w:szCs w:val="28"/>
          <w:lang w:val="en-US"/>
        </w:rPr>
      </w:pPr>
      <w:r>
        <w:rPr>
          <w:rFonts w:hint="eastAsia" w:ascii="仿宋" w:hAnsi="仿宋" w:eastAsia="仿宋" w:cs="仿宋"/>
          <w:color w:val="auto"/>
          <w:sz w:val="28"/>
          <w:szCs w:val="28"/>
          <w:lang w:val="en-US" w:eastAsia="zh-CN"/>
        </w:rPr>
        <w:t xml:space="preserve">    （一）响应文件评审办法</w:t>
      </w:r>
    </w:p>
    <w:p w14:paraId="7D042644">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4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本次评</w:t>
      </w:r>
      <w:r>
        <w:rPr>
          <w:rFonts w:hint="eastAsia" w:ascii="仿宋" w:hAnsi="仿宋" w:eastAsia="仿宋" w:cs="仿宋"/>
          <w:color w:val="auto"/>
          <w:sz w:val="28"/>
          <w:szCs w:val="28"/>
          <w:lang w:val="en-US" w:eastAsia="zh-CN"/>
        </w:rPr>
        <w:t>审采用最低价法，是在响应文件满足采购文件实质性要求的前提下，按照供应商经评审的价格由低到高的顺序确定供应商优先次序的评审方法。</w:t>
      </w:r>
    </w:p>
    <w:p w14:paraId="3F527F3D">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（二）响应文件评审程序</w:t>
      </w:r>
    </w:p>
    <w:p w14:paraId="37E00E59">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w:t>
      </w:r>
      <w:r>
        <w:rPr>
          <w:rFonts w:hint="eastAsia" w:ascii="仿宋" w:hAnsi="仿宋" w:eastAsia="仿宋" w:cs="仿宋"/>
          <w:color w:val="auto"/>
          <w:sz w:val="28"/>
          <w:szCs w:val="28"/>
          <w:lang w:val="en-US" w:eastAsia="zh-CN"/>
        </w:rPr>
        <w:t>第一条第十二款</w:t>
      </w:r>
      <w:r>
        <w:rPr>
          <w:rFonts w:hint="eastAsia" w:ascii="仿宋" w:hAnsi="仿宋" w:eastAsia="仿宋" w:cs="仿宋"/>
          <w:color w:val="auto"/>
          <w:sz w:val="28"/>
          <w:szCs w:val="28"/>
        </w:rPr>
        <w:t>规定的有关证明和证件的原件，</w:t>
      </w:r>
      <w:r>
        <w:rPr>
          <w:rFonts w:hint="eastAsia" w:ascii="仿宋" w:hAnsi="仿宋" w:eastAsia="仿宋" w:cs="仿宋"/>
          <w:color w:val="auto"/>
          <w:sz w:val="28"/>
          <w:szCs w:val="28"/>
          <w:lang w:val="en-US"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进行初步评审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有一项不符合评审标准的，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36F45479">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有以下情形之一的，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rPr>
        <w:t>：</w:t>
      </w:r>
    </w:p>
    <w:p w14:paraId="34F92DEE">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未经过正常途径</w:t>
      </w:r>
      <w:r>
        <w:rPr>
          <w:rFonts w:hint="eastAsia" w:ascii="仿宋" w:hAnsi="仿宋" w:eastAsia="仿宋" w:cs="仿宋"/>
          <w:color w:val="auto"/>
          <w:sz w:val="28"/>
          <w:szCs w:val="28"/>
          <w:lang w:val="en-US" w:eastAsia="zh-CN"/>
        </w:rPr>
        <w:t>获取</w:t>
      </w:r>
      <w:r>
        <w:rPr>
          <w:rFonts w:hint="eastAsia" w:ascii="仿宋" w:hAnsi="仿宋" w:eastAsia="仿宋" w:cs="仿宋"/>
          <w:color w:val="auto"/>
          <w:sz w:val="28"/>
          <w:szCs w:val="28"/>
        </w:rPr>
        <w:t>标书或</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名称或组织结构与</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不一致且未提供有效证明的；</w:t>
      </w:r>
    </w:p>
    <w:p w14:paraId="30C0204D">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未经</w:t>
      </w:r>
      <w:r>
        <w:rPr>
          <w:rFonts w:hint="eastAsia" w:ascii="仿宋" w:hAnsi="仿宋" w:eastAsia="仿宋" w:cs="仿宋"/>
          <w:color w:val="auto"/>
          <w:sz w:val="28"/>
          <w:szCs w:val="28"/>
          <w:lang w:val="en-US" w:eastAsia="zh-CN"/>
        </w:rPr>
        <w:t>响应供应商</w:t>
      </w:r>
      <w:r>
        <w:rPr>
          <w:rFonts w:hint="eastAsia" w:ascii="仿宋" w:hAnsi="仿宋" w:eastAsia="仿宋" w:cs="仿宋"/>
          <w:color w:val="auto"/>
          <w:sz w:val="28"/>
          <w:szCs w:val="28"/>
        </w:rPr>
        <w:t>单位盖章和单位负责人签字或盖章的；</w:t>
      </w:r>
    </w:p>
    <w:p w14:paraId="20F11094">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未按</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要求交纳</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p>
    <w:p w14:paraId="2578C1A0">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不符合</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规定的资格条件的；</w:t>
      </w:r>
    </w:p>
    <w:p w14:paraId="58D0A3D3">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提交两份或多份内容不同的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，或在同一份</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中有两个或多个报价，且未声明哪一个为最终报价的；</w:t>
      </w:r>
    </w:p>
    <w:p w14:paraId="6835D6E4">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，且</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不能合理说明或者提供相关证明材料，</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以低于成本价竞标的；</w:t>
      </w:r>
    </w:p>
    <w:p w14:paraId="722BA005">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有效期达不到</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要求的；</w:t>
      </w:r>
    </w:p>
    <w:p w14:paraId="0A3A3274">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方案出现严重漏项，已影响到该项目的实施的；</w:t>
      </w:r>
    </w:p>
    <w:p w14:paraId="144EFCAE">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、弄虚作假、行贿等违法行为的。</w:t>
      </w:r>
    </w:p>
    <w:p w14:paraId="7E2AFF03">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有算术错误的，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按以下原则要求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进</w:t>
      </w:r>
      <w:bookmarkStart w:id="65" w:name="_Toc352691538"/>
      <w:bookmarkStart w:id="66" w:name="_Toc361508651"/>
      <w:bookmarkStart w:id="67" w:name="_Toc369531582"/>
      <w:bookmarkStart w:id="68" w:name="_Toc144974570"/>
      <w:bookmarkStart w:id="69" w:name="_Toc300835013"/>
      <w:bookmarkStart w:id="70" w:name="_Toc247514027"/>
      <w:bookmarkStart w:id="71" w:name="_Toc152045603"/>
      <w:bookmarkStart w:id="72" w:name="_Toc2907"/>
      <w:bookmarkStart w:id="73" w:name="_Toc384308277"/>
      <w:bookmarkStart w:id="74" w:name="_Toc152042380"/>
      <w:bookmarkStart w:id="75" w:name="_Toc247527628"/>
      <w:r>
        <w:rPr>
          <w:rFonts w:hint="eastAsia" w:ascii="仿宋" w:hAnsi="仿宋" w:eastAsia="仿宋" w:cs="仿宋"/>
          <w:color w:val="auto"/>
          <w:sz w:val="28"/>
          <w:szCs w:val="28"/>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拒不澄清确认的，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bookmarkStart w:id="76" w:name="_Toc16955"/>
      <w:bookmarkStart w:id="77" w:name="_Toc29291"/>
      <w:bookmarkStart w:id="78" w:name="_Toc13563"/>
      <w:bookmarkStart w:id="79" w:name="_Toc33795835"/>
    </w:p>
    <w:p w14:paraId="7515E25F">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中的大写金额与小写金额不一致的，以大写金额为准；</w:t>
      </w:r>
    </w:p>
    <w:p w14:paraId="44438B5D">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总价金额与单价金额不一致的，以单价金额为准，但单价金额小数点有明显错误的除外；</w:t>
      </w:r>
    </w:p>
    <w:p w14:paraId="24D5CE50">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bookmarkEnd w:id="76"/>
      <w:bookmarkEnd w:id="77"/>
      <w:bookmarkEnd w:id="78"/>
      <w:bookmarkEnd w:id="79"/>
    </w:p>
    <w:p w14:paraId="75B9CC3F">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发现</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的报价明显低于其他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，使得其</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可能低于其个别成本的，应当要求该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作出书面说明并提供相应的证明材料。</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不能合理说明或者不能提供相应证明材料的，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以低于成本报价竞标，并否决其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7CF64C02">
      <w:pPr>
        <w:pStyle w:val="3"/>
        <w:pageBreakBefore w:val="0"/>
        <w:widowControl w:val="0"/>
        <w:kinsoku/>
        <w:wordWrap/>
        <w:overflowPunct/>
        <w:topLinePunct w:val="0"/>
        <w:autoSpaceDE/>
        <w:autoSpaceDN/>
        <w:bidi w:val="0"/>
        <w:adjustRightInd/>
        <w:snapToGrid/>
        <w:spacing w:before="0" w:after="0" w:line="440" w:lineRule="exact"/>
        <w:ind w:left="0" w:leftChars="0" w:firstLine="280" w:firstLineChars="100"/>
        <w:jc w:val="both"/>
        <w:textAlignment w:val="auto"/>
        <w:rPr>
          <w:rFonts w:hint="eastAsia" w:ascii="仿宋" w:hAnsi="仿宋" w:eastAsia="仿宋" w:cs="仿宋"/>
          <w:color w:val="auto"/>
          <w:sz w:val="28"/>
          <w:szCs w:val="28"/>
        </w:rPr>
      </w:pPr>
      <w:bookmarkStart w:id="80" w:name="_Toc32669"/>
      <w:bookmarkStart w:id="81" w:name="_Toc33795836"/>
      <w:bookmarkStart w:id="82" w:name="_Toc3366"/>
      <w:bookmarkStart w:id="83" w:name="_Toc1525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的澄清</w:t>
      </w:r>
      <w:bookmarkEnd w:id="80"/>
      <w:bookmarkEnd w:id="81"/>
      <w:bookmarkEnd w:id="82"/>
      <w:bookmarkEnd w:id="83"/>
    </w:p>
    <w:p w14:paraId="1675A3E9">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评审过程</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中含义不明确、对同类问题表述不一致或者有明显文字和计算错误的内容可以书面形式要求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作必要的澄清、说明或补正。</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不接受</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主动提出的澄清、说明或补正。</w:t>
      </w:r>
    </w:p>
    <w:p w14:paraId="5489B7BB">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澄清、说明或补正不得超出</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的范围且不得改变</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的实质性内容，并构成</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231A6F65">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提交的澄清、说明或补正有疑问的，可以要求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进一步澄清、说明或补正，直至满足</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的要求。</w:t>
      </w:r>
    </w:p>
    <w:p w14:paraId="5E440254">
      <w:pPr>
        <w:pStyle w:val="3"/>
        <w:pageBreakBefore w:val="0"/>
        <w:widowControl w:val="0"/>
        <w:kinsoku/>
        <w:wordWrap/>
        <w:overflowPunct/>
        <w:topLinePunct w:val="0"/>
        <w:autoSpaceDE/>
        <w:autoSpaceDN/>
        <w:bidi w:val="0"/>
        <w:adjustRightInd/>
        <w:snapToGrid/>
        <w:spacing w:before="0" w:after="0" w:line="44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）评审结果</w:t>
      </w:r>
    </w:p>
    <w:p w14:paraId="3A0164A5">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val="en-US" w:eastAsia="zh-CN"/>
        </w:rPr>
        <w:t>价格由</w:t>
      </w:r>
      <w:r>
        <w:rPr>
          <w:rFonts w:hint="eastAsia" w:ascii="仿宋" w:hAnsi="仿宋" w:eastAsia="仿宋" w:cs="仿宋"/>
          <w:color w:val="auto"/>
          <w:sz w:val="28"/>
          <w:szCs w:val="28"/>
        </w:rPr>
        <w:t>低</w:t>
      </w:r>
      <w:r>
        <w:rPr>
          <w:rFonts w:hint="eastAsia" w:ascii="仿宋" w:hAnsi="仿宋" w:eastAsia="仿宋" w:cs="仿宋"/>
          <w:color w:val="auto"/>
          <w:sz w:val="28"/>
          <w:szCs w:val="28"/>
          <w:lang w:val="en-US" w:eastAsia="zh-CN"/>
        </w:rPr>
        <w:t>到高</w:t>
      </w:r>
      <w:r>
        <w:rPr>
          <w:rFonts w:hint="eastAsia" w:ascii="仿宋" w:hAnsi="仿宋" w:eastAsia="仿宋" w:cs="仿宋"/>
          <w:color w:val="auto"/>
          <w:sz w:val="28"/>
          <w:szCs w:val="28"/>
        </w:rPr>
        <w:t>的顺序推荐</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，并标明排序。</w:t>
      </w:r>
    </w:p>
    <w:p w14:paraId="535C6266">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完成评标后，</w:t>
      </w:r>
      <w:r>
        <w:rPr>
          <w:rFonts w:hint="eastAsia" w:ascii="仿宋" w:hAnsi="仿宋" w:eastAsia="仿宋" w:cs="仿宋"/>
          <w:color w:val="auto"/>
          <w:sz w:val="28"/>
          <w:szCs w:val="28"/>
          <w:lang w:val="en-US" w:eastAsia="zh-CN"/>
        </w:rPr>
        <w:t>招标办公室</w:t>
      </w:r>
      <w:r>
        <w:rPr>
          <w:rFonts w:hint="eastAsia" w:ascii="仿宋" w:hAnsi="仿宋" w:eastAsia="仿宋" w:cs="仿宋"/>
          <w:color w:val="auto"/>
          <w:sz w:val="28"/>
          <w:szCs w:val="28"/>
        </w:rPr>
        <w:t>应当</w:t>
      </w:r>
      <w:r>
        <w:rPr>
          <w:rFonts w:hint="eastAsia" w:ascii="仿宋" w:hAnsi="仿宋" w:eastAsia="仿宋" w:cs="仿宋"/>
          <w:color w:val="auto"/>
          <w:sz w:val="28"/>
          <w:szCs w:val="28"/>
          <w:lang w:val="en-US" w:eastAsia="zh-CN"/>
        </w:rPr>
        <w:t>出具</w:t>
      </w:r>
      <w:r>
        <w:rPr>
          <w:rFonts w:hint="eastAsia" w:ascii="仿宋" w:hAnsi="仿宋" w:eastAsia="仿宋" w:cs="仿宋"/>
          <w:color w:val="auto"/>
          <w:sz w:val="28"/>
          <w:szCs w:val="28"/>
        </w:rPr>
        <w:t>书面</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名单</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提交招投标领导小组审批。</w:t>
      </w:r>
    </w:p>
    <w:p w14:paraId="60EDA950">
      <w:pPr>
        <w:pStyle w:val="2"/>
        <w:pageBreakBefore w:val="0"/>
        <w:kinsoku/>
        <w:wordWrap/>
        <w:overflowPunct/>
        <w:topLinePunct w:val="0"/>
        <w:autoSpaceDE/>
        <w:autoSpaceDN/>
        <w:bidi w:val="0"/>
        <w:snapToGrid/>
        <w:spacing w:before="0" w:after="0" w:line="440" w:lineRule="exact"/>
        <w:ind w:left="0" w:firstLine="562" w:firstLineChars="200"/>
        <w:jc w:val="both"/>
        <w:rPr>
          <w:rFonts w:hint="eastAsia" w:ascii="仿宋" w:hAnsi="仿宋" w:eastAsia="仿宋" w:cs="仿宋"/>
          <w:color w:val="auto"/>
          <w:sz w:val="28"/>
          <w:szCs w:val="28"/>
        </w:rPr>
      </w:pPr>
      <w:bookmarkStart w:id="84" w:name="_Toc33795807"/>
      <w:bookmarkStart w:id="85" w:name="_Toc9481"/>
      <w:bookmarkStart w:id="86" w:name="_Toc8518"/>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合同授予</w:t>
      </w:r>
      <w:bookmarkEnd w:id="84"/>
      <w:bookmarkEnd w:id="85"/>
      <w:bookmarkEnd w:id="86"/>
    </w:p>
    <w:p w14:paraId="5900ADAF">
      <w:pPr>
        <w:pStyle w:val="3"/>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rPr>
      </w:pPr>
      <w:bookmarkStart w:id="87" w:name="_Toc16094"/>
      <w:bookmarkStart w:id="88" w:name="_Toc30852"/>
      <w:bookmarkStart w:id="89" w:name="_Toc21093"/>
      <w:bookmarkStart w:id="90" w:name="_Toc33795808"/>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w:t>
      </w:r>
      <w:bookmarkEnd w:id="87"/>
      <w:bookmarkEnd w:id="88"/>
      <w:bookmarkEnd w:id="89"/>
      <w:bookmarkEnd w:id="90"/>
    </w:p>
    <w:p w14:paraId="653E4C35">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招标办</w:t>
      </w:r>
      <w:r>
        <w:rPr>
          <w:rFonts w:hint="eastAsia" w:ascii="仿宋" w:hAnsi="仿宋" w:eastAsia="仿宋" w:cs="仿宋"/>
          <w:color w:val="auto"/>
          <w:sz w:val="28"/>
          <w:szCs w:val="28"/>
        </w:rPr>
        <w:t>收到</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之日起3日内</w:t>
      </w:r>
      <w:r>
        <w:rPr>
          <w:rFonts w:hint="eastAsia" w:ascii="仿宋" w:hAnsi="仿宋" w:eastAsia="仿宋" w:cs="仿宋"/>
          <w:color w:val="auto"/>
          <w:sz w:val="28"/>
          <w:szCs w:val="28"/>
          <w:lang w:val="en-US" w:eastAsia="zh-CN"/>
        </w:rPr>
        <w:t>确定成交人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并在陕西锌业有限公司网络采购平台www.sxxyjjpt.com公示成交候选人，公示期不少于3天</w:t>
      </w:r>
      <w:r>
        <w:rPr>
          <w:rFonts w:hint="eastAsia" w:ascii="仿宋" w:hAnsi="仿宋" w:eastAsia="仿宋" w:cs="仿宋"/>
          <w:color w:val="auto"/>
          <w:sz w:val="28"/>
          <w:szCs w:val="28"/>
        </w:rPr>
        <w:t>。</w:t>
      </w:r>
    </w:p>
    <w:p w14:paraId="18742E26">
      <w:pPr>
        <w:pStyle w:val="3"/>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rPr>
      </w:pPr>
      <w:bookmarkStart w:id="91" w:name="_Toc33795809"/>
      <w:bookmarkStart w:id="92" w:name="_Toc19079"/>
      <w:bookmarkStart w:id="93" w:name="_Toc10372"/>
      <w:bookmarkStart w:id="94" w:name="_Toc7018"/>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异议</w:t>
      </w:r>
      <w:bookmarkEnd w:id="91"/>
      <w:bookmarkEnd w:id="92"/>
      <w:bookmarkEnd w:id="93"/>
      <w:bookmarkEnd w:id="94"/>
    </w:p>
    <w:p w14:paraId="73785300">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或者其他利</w:t>
      </w:r>
      <w:bookmarkStart w:id="95" w:name="_Toc369531549"/>
      <w:bookmarkStart w:id="96" w:name="_Toc30095"/>
      <w:bookmarkStart w:id="97" w:name="_Toc247527586"/>
      <w:bookmarkStart w:id="98" w:name="_Toc352691505"/>
      <w:bookmarkStart w:id="99" w:name="_Toc144974529"/>
      <w:bookmarkStart w:id="100" w:name="_Toc384308243"/>
      <w:bookmarkStart w:id="101" w:name="_Toc152042337"/>
      <w:bookmarkStart w:id="102" w:name="_Toc247513985"/>
      <w:bookmarkStart w:id="103" w:name="_Toc300834982"/>
      <w:bookmarkStart w:id="104" w:name="_Toc152045561"/>
      <w:bookmarkStart w:id="105" w:name="_Toc361508618"/>
      <w:r>
        <w:rPr>
          <w:rFonts w:hint="eastAsia" w:ascii="仿宋" w:hAnsi="仿宋" w:eastAsia="仿宋" w:cs="仿宋"/>
          <w:color w:val="auto"/>
          <w:sz w:val="28"/>
          <w:szCs w:val="28"/>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有异议的，应当在</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公示期间提出。</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在收到异议之日起3日内</w:t>
      </w:r>
      <w:r>
        <w:rPr>
          <w:rFonts w:hint="eastAsia" w:ascii="仿宋" w:hAnsi="仿宋" w:eastAsia="仿宋" w:cs="仿宋"/>
          <w:color w:val="auto"/>
          <w:sz w:val="28"/>
          <w:szCs w:val="28"/>
          <w:lang w:val="en-US" w:eastAsia="zh-CN"/>
        </w:rPr>
        <w:t>对异议</w:t>
      </w:r>
      <w:r>
        <w:rPr>
          <w:rFonts w:hint="eastAsia" w:ascii="仿宋" w:hAnsi="仿宋" w:eastAsia="仿宋" w:cs="仿宋"/>
          <w:color w:val="auto"/>
          <w:sz w:val="28"/>
          <w:szCs w:val="28"/>
        </w:rPr>
        <w:t>作出答复；作出答复前，将暂停</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活动。</w:t>
      </w:r>
    </w:p>
    <w:p w14:paraId="1F675C0A">
      <w:pPr>
        <w:pStyle w:val="3"/>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rPr>
      </w:pPr>
      <w:bookmarkStart w:id="106" w:name="_Toc28756"/>
      <w:bookmarkStart w:id="107" w:name="_Toc21648"/>
      <w:bookmarkStart w:id="108" w:name="_Toc25590"/>
      <w:bookmarkStart w:id="109" w:name="_Toc33795810"/>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履约能力审查</w:t>
      </w:r>
      <w:bookmarkEnd w:id="106"/>
      <w:bookmarkEnd w:id="107"/>
      <w:bookmarkEnd w:id="108"/>
      <w:bookmarkEnd w:id="109"/>
    </w:p>
    <w:p w14:paraId="74401B58">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的经营、财务状况发生较大变化或存在违法行为，</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认为可能影响其履约能力的，</w:t>
      </w:r>
      <w:r>
        <w:rPr>
          <w:rFonts w:hint="eastAsia" w:ascii="仿宋" w:hAnsi="仿宋" w:eastAsia="仿宋" w:cs="仿宋"/>
          <w:color w:val="auto"/>
          <w:sz w:val="28"/>
          <w:szCs w:val="28"/>
          <w:lang w:val="en-US" w:eastAsia="zh-CN"/>
        </w:rPr>
        <w:t>采购人招标办公室</w:t>
      </w:r>
      <w:r>
        <w:rPr>
          <w:rFonts w:hint="eastAsia" w:ascii="仿宋" w:hAnsi="仿宋" w:eastAsia="仿宋" w:cs="仿宋"/>
          <w:color w:val="auto"/>
          <w:sz w:val="28"/>
          <w:szCs w:val="28"/>
        </w:rPr>
        <w:t>将在发出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通知书前提请原</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规定的标准和方法进行审查和确认。</w:t>
      </w:r>
    </w:p>
    <w:p w14:paraId="539DDEBE">
      <w:pPr>
        <w:pStyle w:val="3"/>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lang w:val="en-US"/>
        </w:rPr>
      </w:pPr>
      <w:bookmarkStart w:id="110" w:name="_Toc2191"/>
      <w:bookmarkStart w:id="111" w:name="_Toc24665"/>
      <w:bookmarkStart w:id="112" w:name="_Toc33795811"/>
      <w:bookmarkStart w:id="113" w:name="_Toc19470"/>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bookmarkEnd w:id="110"/>
      <w:bookmarkEnd w:id="111"/>
      <w:bookmarkEnd w:id="112"/>
      <w:bookmarkEnd w:id="113"/>
      <w:r>
        <w:rPr>
          <w:rFonts w:hint="eastAsia" w:ascii="仿宋" w:hAnsi="仿宋" w:eastAsia="仿宋" w:cs="仿宋"/>
          <w:color w:val="auto"/>
          <w:sz w:val="28"/>
          <w:szCs w:val="28"/>
          <w:lang w:val="en-US" w:eastAsia="zh-CN"/>
        </w:rPr>
        <w:t>确定成交人</w:t>
      </w:r>
    </w:p>
    <w:p w14:paraId="08A4F012">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单位履行内部审批程序，根据</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的评审报告及成交人候选人名单</w:t>
      </w:r>
      <w:r>
        <w:rPr>
          <w:rFonts w:hint="eastAsia" w:ascii="仿宋" w:hAnsi="仿宋" w:eastAsia="仿宋" w:cs="仿宋"/>
          <w:color w:val="auto"/>
          <w:sz w:val="28"/>
          <w:szCs w:val="28"/>
        </w:rPr>
        <w:t>确定</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p>
    <w:p w14:paraId="4F24F93B">
      <w:pPr>
        <w:pStyle w:val="3"/>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rPr>
      </w:pPr>
      <w:bookmarkStart w:id="114" w:name="_Toc33795812"/>
      <w:bookmarkStart w:id="115" w:name="_Toc31681"/>
      <w:bookmarkStart w:id="116" w:name="_Toc6928"/>
      <w:bookmarkStart w:id="117" w:name="_Toc1081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w:t>
      </w:r>
      <w:bookmarkEnd w:id="114"/>
      <w:bookmarkEnd w:id="115"/>
      <w:bookmarkEnd w:id="116"/>
      <w:bookmarkEnd w:id="117"/>
    </w:p>
    <w:p w14:paraId="43E83906">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采购主责部门</w:t>
      </w:r>
      <w:r>
        <w:rPr>
          <w:rFonts w:hint="eastAsia" w:ascii="仿宋" w:hAnsi="仿宋" w:eastAsia="仿宋" w:cs="仿宋"/>
          <w:color w:val="auto"/>
          <w:sz w:val="28"/>
          <w:szCs w:val="28"/>
        </w:rPr>
        <w:t>以书面形式向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人发出</w:t>
      </w:r>
      <w:bookmarkStart w:id="118" w:name="_Toc300834983"/>
      <w:bookmarkStart w:id="119" w:name="_Toc369531550"/>
      <w:bookmarkStart w:id="120" w:name="_Toc384308244"/>
      <w:bookmarkStart w:id="121" w:name="_Toc5668"/>
      <w:bookmarkStart w:id="122" w:name="_Toc352691506"/>
      <w:bookmarkStart w:id="123" w:name="_Toc361508619"/>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通知书，同时将</w:t>
      </w:r>
      <w:bookmarkEnd w:id="118"/>
      <w:bookmarkEnd w:id="119"/>
      <w:bookmarkEnd w:id="120"/>
      <w:bookmarkEnd w:id="121"/>
      <w:bookmarkEnd w:id="122"/>
      <w:bookmarkEnd w:id="123"/>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结果通知未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p>
    <w:p w14:paraId="3A739B95">
      <w:pPr>
        <w:pStyle w:val="3"/>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rPr>
      </w:pPr>
      <w:bookmarkStart w:id="124" w:name="_Toc30705"/>
      <w:bookmarkStart w:id="125" w:name="_Toc33795813"/>
      <w:bookmarkStart w:id="126" w:name="_Toc4342"/>
      <w:bookmarkStart w:id="127" w:name="_Toc2161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履约担保</w:t>
      </w:r>
      <w:bookmarkEnd w:id="124"/>
      <w:bookmarkEnd w:id="125"/>
      <w:bookmarkEnd w:id="126"/>
      <w:bookmarkEnd w:id="127"/>
    </w:p>
    <w:p w14:paraId="0584F257">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人应</w:t>
      </w:r>
      <w:r>
        <w:rPr>
          <w:rFonts w:hint="eastAsia" w:ascii="仿宋" w:hAnsi="仿宋" w:eastAsia="仿宋" w:cs="仿宋"/>
          <w:color w:val="auto"/>
          <w:sz w:val="28"/>
          <w:szCs w:val="28"/>
          <w:lang w:val="en-US" w:eastAsia="zh-CN"/>
        </w:rPr>
        <w:t>按合同金额的10%以担保函或转账形式在收到成交通知后3日内</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提交履约担保。</w:t>
      </w:r>
    </w:p>
    <w:p w14:paraId="72832D97">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人不能按</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要求提交履约担保的，视为放弃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0B7C3B09">
      <w:pPr>
        <w:pStyle w:val="3"/>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rPr>
      </w:pPr>
      <w:bookmarkStart w:id="128" w:name="_Toc3671"/>
      <w:bookmarkStart w:id="129" w:name="_Toc14362"/>
      <w:bookmarkStart w:id="130" w:name="_Toc33795814"/>
      <w:bookmarkStart w:id="131" w:name="_Toc1118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签订合同</w:t>
      </w:r>
      <w:bookmarkEnd w:id="128"/>
      <w:bookmarkEnd w:id="129"/>
      <w:bookmarkEnd w:id="130"/>
      <w:bookmarkEnd w:id="131"/>
    </w:p>
    <w:p w14:paraId="6B57F8DD">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应当在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内，且在自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通知书发出之日起</w:t>
      </w:r>
      <w:bookmarkStart w:id="132" w:name="_Toc144974532"/>
      <w:bookmarkStart w:id="133" w:name="_Toc384308247"/>
      <w:bookmarkStart w:id="134" w:name="_Toc247513988"/>
      <w:bookmarkStart w:id="135" w:name="_Toc247527589"/>
      <w:bookmarkStart w:id="136" w:name="_Toc152042340"/>
      <w:bookmarkStart w:id="137" w:name="_Toc361508622"/>
      <w:bookmarkStart w:id="138" w:name="_Toc352691509"/>
      <w:bookmarkStart w:id="139" w:name="_Toc152045564"/>
      <w:bookmarkStart w:id="140" w:name="_Toc300834986"/>
      <w:bookmarkStart w:id="141" w:name="_Toc369531553"/>
      <w:bookmarkStart w:id="142" w:name="_Toc4656"/>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订立书面合同。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人无正</w:t>
      </w:r>
      <w:bookmarkStart w:id="143" w:name="_Toc152042341"/>
      <w:bookmarkStart w:id="144" w:name="_Toc369531554"/>
      <w:bookmarkStart w:id="145" w:name="_Toc247513989"/>
      <w:bookmarkStart w:id="146" w:name="_Toc152045565"/>
      <w:bookmarkStart w:id="147" w:name="_Toc300834987"/>
      <w:bookmarkStart w:id="148" w:name="_Toc18247"/>
      <w:bookmarkStart w:id="149" w:name="_Toc361508623"/>
      <w:bookmarkStart w:id="150" w:name="_Toc384308248"/>
      <w:bookmarkStart w:id="151" w:name="_Toc144974533"/>
      <w:bookmarkStart w:id="152" w:name="_Toc352691510"/>
      <w:bookmarkStart w:id="153" w:name="_Toc247527590"/>
      <w:r>
        <w:rPr>
          <w:rFonts w:hint="eastAsia" w:ascii="仿宋" w:hAnsi="仿宋" w:eastAsia="仿宋" w:cs="仿宋"/>
          <w:color w:val="auto"/>
          <w:sz w:val="28"/>
          <w:szCs w:val="28"/>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28"/>
          <w:szCs w:val="28"/>
        </w:rPr>
        <w:t>同，或者提出其他附加条件的，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有权取消其</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资格，其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439722A5">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无正当理由拒签合同的，或者提出其他附加条件的，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；给</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人造成损失的，还应当赔偿损失。</w:t>
      </w:r>
      <w:bookmarkStart w:id="154" w:name="_Toc24067"/>
      <w:bookmarkStart w:id="155" w:name="_Toc384308252"/>
      <w:bookmarkStart w:id="156" w:name="_Toc361508627"/>
      <w:bookmarkStart w:id="157" w:name="_Toc144974536"/>
      <w:bookmarkStart w:id="158" w:name="_Toc152042344"/>
      <w:bookmarkStart w:id="159" w:name="_Toc300834991"/>
      <w:bookmarkStart w:id="160" w:name="_Toc247527593"/>
      <w:bookmarkStart w:id="161" w:name="_Toc152045568"/>
      <w:bookmarkStart w:id="162" w:name="_Toc247513992"/>
    </w:p>
    <w:bookmarkEnd w:id="154"/>
    <w:bookmarkEnd w:id="155"/>
    <w:bookmarkEnd w:id="156"/>
    <w:p w14:paraId="43A92D52">
      <w:pPr>
        <w:pStyle w:val="2"/>
        <w:pageBreakBefore w:val="0"/>
        <w:kinsoku/>
        <w:wordWrap/>
        <w:overflowPunct/>
        <w:topLinePunct w:val="0"/>
        <w:autoSpaceDE/>
        <w:autoSpaceDN/>
        <w:bidi w:val="0"/>
        <w:snapToGrid/>
        <w:spacing w:before="0" w:after="0" w:line="440" w:lineRule="exact"/>
        <w:ind w:left="0" w:firstLine="562" w:firstLineChars="200"/>
        <w:jc w:val="both"/>
        <w:rPr>
          <w:rFonts w:hint="eastAsia" w:ascii="仿宋" w:hAnsi="仿宋" w:eastAsia="仿宋" w:cs="仿宋"/>
          <w:color w:val="auto"/>
          <w:sz w:val="28"/>
          <w:szCs w:val="28"/>
        </w:rPr>
      </w:pPr>
      <w:bookmarkStart w:id="163" w:name="_Toc33795815"/>
      <w:bookmarkStart w:id="164" w:name="_Toc25347"/>
      <w:bookmarkStart w:id="165" w:name="_Toc14752"/>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纪律和监督</w:t>
      </w:r>
      <w:bookmarkEnd w:id="163"/>
      <w:bookmarkEnd w:id="164"/>
      <w:bookmarkEnd w:id="165"/>
    </w:p>
    <w:p w14:paraId="6AA670AB">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不得相互串通</w:t>
      </w: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rPr>
        <w:t>或者与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，不得向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或者</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成员行贿谋取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，不得以他人名义</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或者以其他方式弄虚作假骗取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不得以任何方式干扰、影响评标工作。</w:t>
      </w:r>
    </w:p>
    <w:p w14:paraId="27DFE55C">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w:t>
      </w:r>
      <w:r>
        <w:rPr>
          <w:rFonts w:hint="eastAsia" w:ascii="仿宋" w:hAnsi="仿宋" w:eastAsia="仿宋" w:cs="仿宋"/>
          <w:color w:val="auto"/>
          <w:sz w:val="28"/>
          <w:szCs w:val="28"/>
          <w:lang w:val="en-US" w:eastAsia="zh-CN"/>
        </w:rPr>
        <w:t>及相关工作人员</w:t>
      </w:r>
      <w:r>
        <w:rPr>
          <w:rFonts w:hint="eastAsia" w:ascii="仿宋" w:hAnsi="仿宋" w:eastAsia="仿宋" w:cs="仿宋"/>
          <w:color w:val="auto"/>
          <w:sz w:val="28"/>
          <w:szCs w:val="28"/>
        </w:rPr>
        <w:t>不得收受他人的财物或者其他好处，不得向他人透露对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的评审</w:t>
      </w:r>
      <w:bookmarkStart w:id="166" w:name="_Toc361508628"/>
      <w:bookmarkStart w:id="167" w:name="_Toc384308253"/>
      <w:bookmarkStart w:id="168" w:name="_Toc13644"/>
      <w:bookmarkStart w:id="169" w:name="_Toc369531559"/>
      <w:bookmarkStart w:id="170" w:name="_Toc352691515"/>
      <w:r>
        <w:rPr>
          <w:rFonts w:hint="eastAsia" w:ascii="仿宋" w:hAnsi="仿宋" w:eastAsia="仿宋" w:cs="仿宋"/>
          <w:color w:val="auto"/>
          <w:sz w:val="28"/>
          <w:szCs w:val="28"/>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的推荐情况以及评标有关的其他情况。在</w:t>
      </w:r>
      <w:r>
        <w:rPr>
          <w:rFonts w:hint="eastAsia" w:ascii="仿宋" w:hAnsi="仿宋" w:eastAsia="仿宋" w:cs="仿宋"/>
          <w:color w:val="auto"/>
          <w:sz w:val="28"/>
          <w:szCs w:val="28"/>
          <w:lang w:eastAsia="zh-CN"/>
        </w:rPr>
        <w:t>评审活动</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成员应当客观、公正地履行职责，遵守职业道德，不得擅离职守，影响评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程序正常进行，不得使用“</w:t>
      </w:r>
      <w:r>
        <w:rPr>
          <w:rFonts w:hint="eastAsia" w:ascii="仿宋" w:hAnsi="仿宋" w:eastAsia="仿宋" w:cs="仿宋"/>
          <w:color w:val="auto"/>
          <w:sz w:val="28"/>
          <w:szCs w:val="28"/>
          <w:lang w:eastAsia="zh-CN"/>
        </w:rPr>
        <w:t>评审办法</w:t>
      </w:r>
      <w:r>
        <w:rPr>
          <w:rFonts w:hint="eastAsia" w:ascii="仿宋" w:hAnsi="仿宋" w:eastAsia="仿宋" w:cs="仿宋"/>
          <w:color w:val="auto"/>
          <w:sz w:val="28"/>
          <w:szCs w:val="28"/>
        </w:rPr>
        <w:t>”没有规定的评审因素和标准进行评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w:t>
      </w:r>
    </w:p>
    <w:p w14:paraId="5F32819E">
      <w:pPr>
        <w:pStyle w:val="3"/>
        <w:pageBreakBefore w:val="0"/>
        <w:numPr>
          <w:ilvl w:val="0"/>
          <w:numId w:val="0"/>
        </w:numPr>
        <w:kinsoku/>
        <w:wordWrap/>
        <w:overflowPunct/>
        <w:topLinePunct w:val="0"/>
        <w:autoSpaceDE/>
        <w:autoSpaceDN/>
        <w:bidi w:val="0"/>
        <w:snapToGrid/>
        <w:spacing w:before="0" w:after="0" w:line="440" w:lineRule="exact"/>
        <w:ind w:left="0" w:firstLine="560" w:firstLineChars="200"/>
        <w:jc w:val="both"/>
        <w:rPr>
          <w:rFonts w:hint="eastAsia" w:ascii="仿宋" w:hAnsi="仿宋" w:eastAsia="仿宋" w:cs="仿宋"/>
          <w:color w:val="auto"/>
          <w:sz w:val="28"/>
          <w:szCs w:val="28"/>
        </w:rPr>
      </w:pPr>
      <w:bookmarkStart w:id="171" w:name="_Toc18070"/>
      <w:bookmarkStart w:id="172" w:name="_Toc33795820"/>
      <w:bookmarkStart w:id="173" w:name="_Toc24957"/>
      <w:bookmarkStart w:id="174" w:name="_Toc22294"/>
      <w:r>
        <w:rPr>
          <w:rFonts w:hint="eastAsia" w:ascii="仿宋" w:hAnsi="仿宋" w:eastAsia="仿宋" w:cs="仿宋"/>
          <w:color w:val="auto"/>
          <w:sz w:val="28"/>
          <w:szCs w:val="28"/>
          <w:lang w:val="en-US" w:eastAsia="zh-CN"/>
        </w:rPr>
        <w:t>（三）异议</w:t>
      </w:r>
      <w:bookmarkEnd w:id="171"/>
      <w:bookmarkEnd w:id="172"/>
      <w:bookmarkEnd w:id="173"/>
      <w:bookmarkEnd w:id="174"/>
    </w:p>
    <w:p w14:paraId="445510D8">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1.供应商或者其他利害关系人认为采购人采购活动存在不合法或违反民事活动中平等自愿、公平诚信原则情形的，可以直接向采购人单位招标办公室提出提出异议。</w:t>
      </w:r>
    </w:p>
    <w:p w14:paraId="29432912">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4D38613C">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3.对响应采购供应商提出的异议，如属异议提出人对相关问题理解有误的，招标办应当详细做出解释；如经核查发现采购活动确实存在违法或违反本办法相关</w:t>
      </w:r>
      <w:r>
        <w:rPr>
          <w:rFonts w:hint="eastAsia" w:ascii="仿宋" w:hAnsi="仿宋" w:eastAsia="仿宋" w:cs="仿宋"/>
          <w:color w:val="auto"/>
          <w:kern w:val="0"/>
          <w:sz w:val="28"/>
          <w:szCs w:val="28"/>
          <w:highlight w:val="none"/>
          <w:lang w:val="en-US" w:eastAsia="zh-CN" w:bidi="ar"/>
        </w:rPr>
        <w:t>规定</w:t>
      </w:r>
      <w:r>
        <w:rPr>
          <w:rFonts w:hint="eastAsia" w:ascii="仿宋" w:hAnsi="仿宋" w:eastAsia="仿宋" w:cs="仿宋"/>
          <w:color w:val="auto"/>
          <w:kern w:val="0"/>
          <w:sz w:val="28"/>
          <w:szCs w:val="28"/>
          <w:lang w:val="en-US" w:eastAsia="zh-CN" w:bidi="ar"/>
        </w:rPr>
        <w:t>的，招标办应及时予以改正或补救。</w:t>
      </w:r>
    </w:p>
    <w:p w14:paraId="6AF7FE60">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560" w:firstLineChars="200"/>
        <w:jc w:val="both"/>
        <w:rPr>
          <w:rFonts w:hint="eastAsia" w:ascii="仿宋" w:hAnsi="仿宋" w:eastAsia="仿宋" w:cs="仿宋"/>
          <w:color w:val="auto"/>
          <w:kern w:val="0"/>
          <w:sz w:val="28"/>
          <w:szCs w:val="28"/>
          <w:lang w:val="en-US" w:eastAsia="zh-CN" w:bidi="ar"/>
        </w:rPr>
      </w:pPr>
    </w:p>
    <w:p w14:paraId="05399600">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560" w:firstLineChars="200"/>
        <w:jc w:val="both"/>
        <w:rPr>
          <w:rFonts w:hint="eastAsia" w:ascii="仿宋" w:hAnsi="仿宋" w:eastAsia="仿宋" w:cs="仿宋"/>
          <w:color w:val="auto"/>
          <w:kern w:val="0"/>
          <w:sz w:val="28"/>
          <w:szCs w:val="28"/>
          <w:lang w:val="en-US" w:eastAsia="zh-CN" w:bidi="ar"/>
        </w:rPr>
      </w:pPr>
    </w:p>
    <w:p w14:paraId="3BF33BF3">
      <w:pPr>
        <w:keepNext w:val="0"/>
        <w:keepLines w:val="0"/>
        <w:pageBreakBefore w:val="0"/>
        <w:widowControl w:val="0"/>
        <w:suppressLineNumbers w:val="0"/>
        <w:kinsoku/>
        <w:wordWrap/>
        <w:overflowPunct/>
        <w:topLinePunct w:val="0"/>
        <w:autoSpaceDE/>
        <w:autoSpaceDN/>
        <w:bidi w:val="0"/>
        <w:adjustRightInd/>
        <w:snapToGrid/>
        <w:spacing w:line="440" w:lineRule="exact"/>
        <w:ind w:firstLine="4200" w:firstLineChars="15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陕西锌业有限公司</w:t>
      </w:r>
    </w:p>
    <w:p w14:paraId="2D754920">
      <w:pPr>
        <w:keepNext w:val="0"/>
        <w:keepLines w:val="0"/>
        <w:pageBreakBefore w:val="0"/>
        <w:widowControl w:val="0"/>
        <w:suppressLineNumbers w:val="0"/>
        <w:kinsoku/>
        <w:wordWrap/>
        <w:overflowPunct/>
        <w:topLinePunct w:val="0"/>
        <w:autoSpaceDE/>
        <w:autoSpaceDN/>
        <w:bidi w:val="0"/>
        <w:adjustRightInd/>
        <w:snapToGrid/>
        <w:spacing w:line="440" w:lineRule="exact"/>
        <w:ind w:firstLine="4200" w:firstLineChars="1500"/>
        <w:jc w:val="both"/>
        <w:rPr>
          <w:rFonts w:hint="default"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2026年6月16日</w:t>
      </w:r>
    </w:p>
    <w:p w14:paraId="16D9B72E">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640" w:firstLineChars="200"/>
        <w:jc w:val="both"/>
        <w:rPr>
          <w:rFonts w:hint="eastAsia" w:ascii="仿宋" w:hAnsi="仿宋" w:eastAsia="仿宋" w:cs="仿宋"/>
          <w:color w:val="auto"/>
          <w:kern w:val="0"/>
          <w:sz w:val="32"/>
          <w:szCs w:val="32"/>
          <w:lang w:val="en-US" w:eastAsia="zh-CN" w:bidi="ar"/>
        </w:rPr>
      </w:pPr>
    </w:p>
    <w:p w14:paraId="4F435A18">
      <w:pPr>
        <w:keepNext w:val="0"/>
        <w:keepLines w:val="0"/>
        <w:pageBreakBefore w:val="0"/>
        <w:widowControl w:val="0"/>
        <w:suppressLineNumbers w:val="0"/>
        <w:kinsoku/>
        <w:wordWrap/>
        <w:overflowPunct/>
        <w:topLinePunct w:val="0"/>
        <w:autoSpaceDE/>
        <w:autoSpaceDN/>
        <w:bidi w:val="0"/>
        <w:adjustRightInd/>
        <w:snapToGrid/>
        <w:spacing w:line="440" w:lineRule="exact"/>
        <w:jc w:val="both"/>
        <w:rPr>
          <w:rFonts w:hint="eastAsia" w:ascii="仿宋" w:hAnsi="仿宋" w:eastAsia="仿宋" w:cs="仿宋"/>
          <w:b/>
          <w:bCs/>
          <w:color w:val="auto"/>
          <w:sz w:val="32"/>
          <w:szCs w:val="32"/>
        </w:rPr>
      </w:pPr>
      <w:r>
        <w:rPr>
          <w:rFonts w:hint="eastAsia" w:ascii="宋体" w:hAnsi="宋体" w:eastAsia="宋体" w:cs="宋体"/>
          <w:b/>
          <w:bCs/>
          <w:color w:val="auto"/>
          <w:sz w:val="36"/>
          <w:szCs w:val="36"/>
          <w:lang w:val="en-US" w:eastAsia="zh-CN"/>
        </w:rPr>
        <w:t>附：</w:t>
      </w:r>
      <w:r>
        <w:rPr>
          <w:rFonts w:hint="eastAsia" w:ascii="宋体" w:hAnsi="宋体" w:eastAsia="宋体" w:cs="宋体"/>
          <w:b/>
          <w:bCs/>
          <w:color w:val="auto"/>
          <w:sz w:val="36"/>
          <w:szCs w:val="36"/>
          <w:lang w:eastAsia="zh-CN"/>
        </w:rPr>
        <w:t>响应文件</w:t>
      </w:r>
      <w:r>
        <w:rPr>
          <w:rFonts w:hint="eastAsia" w:ascii="宋体" w:hAnsi="宋体" w:eastAsia="宋体" w:cs="宋体"/>
          <w:b/>
          <w:bCs/>
          <w:color w:val="auto"/>
          <w:sz w:val="36"/>
          <w:szCs w:val="36"/>
        </w:rPr>
        <w:t>格式</w:t>
      </w:r>
    </w:p>
    <w:p w14:paraId="1A8960FB">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8B1FBF">
      <w:pPr>
        <w:spacing w:line="400" w:lineRule="exac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项目编号：</w:t>
      </w:r>
    </w:p>
    <w:p w14:paraId="07EF77E6">
      <w:pPr>
        <w:spacing w:line="400" w:lineRule="exact"/>
        <w:rPr>
          <w:rFonts w:hint="eastAsia" w:ascii="仿宋" w:hAnsi="仿宋" w:eastAsia="仿宋" w:cs="仿宋"/>
          <w:color w:val="auto"/>
          <w:sz w:val="32"/>
          <w:szCs w:val="32"/>
        </w:rPr>
      </w:pPr>
    </w:p>
    <w:p w14:paraId="38112F28">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758B3028">
      <w:pPr>
        <w:pStyle w:val="8"/>
        <w:keepNext w:val="0"/>
        <w:keepLines w:val="0"/>
        <w:widowControl/>
        <w:suppressLineNumbers w:val="0"/>
        <w:spacing w:before="0" w:beforeAutospacing="0" w:after="0" w:afterAutospacing="0" w:line="405" w:lineRule="atLeast"/>
        <w:ind w:left="0" w:firstLine="0"/>
        <w:jc w:val="center"/>
        <w:rPr>
          <w:rFonts w:hint="eastAsia" w:ascii="方正粗黑宋简体" w:hAnsi="方正粗黑宋简体" w:eastAsia="方正粗黑宋简体" w:cs="方正粗黑宋简体"/>
          <w:i w:val="0"/>
          <w:iCs w:val="0"/>
          <w:caps w:val="0"/>
          <w:color w:val="000000"/>
          <w:spacing w:val="0"/>
          <w:sz w:val="36"/>
          <w:szCs w:val="36"/>
          <w:lang w:val="en-US" w:eastAsia="zh-CN"/>
        </w:rPr>
      </w:pP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2026年后半年氢氧化钙二次</w:t>
      </w:r>
      <w:bookmarkStart w:id="210" w:name="_GoBack"/>
      <w:bookmarkEnd w:id="210"/>
      <w:r>
        <w:rPr>
          <w:rStyle w:val="11"/>
          <w:rFonts w:hint="eastAsia" w:ascii="方正粗黑宋简体" w:hAnsi="方正粗黑宋简体" w:eastAsia="方正粗黑宋简体" w:cs="方正粗黑宋简体"/>
          <w:i w:val="0"/>
          <w:iCs w:val="0"/>
          <w:caps w:val="0"/>
          <w:color w:val="000000"/>
          <w:spacing w:val="0"/>
          <w:sz w:val="36"/>
          <w:szCs w:val="36"/>
        </w:rPr>
        <w:t>询比</w:t>
      </w: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采购项目</w:t>
      </w:r>
    </w:p>
    <w:p w14:paraId="583F712F">
      <w:pPr>
        <w:spacing w:line="360" w:lineRule="auto"/>
        <w:jc w:val="center"/>
        <w:rPr>
          <w:rFonts w:hint="eastAsia" w:ascii="黑体" w:hAnsi="黑体" w:eastAsia="黑体" w:cs="黑体"/>
          <w:b/>
          <w:bCs/>
          <w:color w:val="auto"/>
          <w:sz w:val="44"/>
          <w:szCs w:val="44"/>
          <w:lang w:val="en-US" w:eastAsia="zh-CN"/>
        </w:rPr>
      </w:pPr>
    </w:p>
    <w:p w14:paraId="34E29CAB">
      <w:pPr>
        <w:rPr>
          <w:rFonts w:hint="eastAsia" w:ascii="黑体" w:hAnsi="黑体" w:eastAsia="黑体" w:cs="黑体"/>
          <w:b/>
          <w:bCs/>
          <w:color w:val="auto"/>
          <w:sz w:val="44"/>
          <w:szCs w:val="44"/>
        </w:rPr>
      </w:pPr>
    </w:p>
    <w:p w14:paraId="5C11DEEC">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1253A3AE">
      <w:pPr>
        <w:jc w:val="center"/>
        <w:rPr>
          <w:rFonts w:hint="eastAsia" w:ascii="黑体" w:hAnsi="黑体" w:eastAsia="黑体" w:cs="黑体"/>
          <w:b/>
          <w:bCs/>
          <w:color w:val="auto"/>
          <w:sz w:val="44"/>
          <w:szCs w:val="44"/>
        </w:rPr>
      </w:pPr>
    </w:p>
    <w:p w14:paraId="23F49070">
      <w:pPr>
        <w:rPr>
          <w:rFonts w:hint="eastAsia" w:ascii="仿宋" w:hAnsi="仿宋" w:eastAsia="仿宋" w:cs="仿宋"/>
          <w:color w:val="auto"/>
          <w:sz w:val="32"/>
          <w:szCs w:val="32"/>
        </w:rPr>
      </w:pPr>
    </w:p>
    <w:p w14:paraId="469C8C57">
      <w:pPr>
        <w:rPr>
          <w:rFonts w:hint="eastAsia" w:ascii="仿宋" w:hAnsi="仿宋" w:eastAsia="仿宋" w:cs="仿宋"/>
          <w:color w:val="auto"/>
          <w:sz w:val="32"/>
          <w:szCs w:val="32"/>
        </w:rPr>
      </w:pPr>
    </w:p>
    <w:p w14:paraId="3E8DB5B1">
      <w:pPr>
        <w:rPr>
          <w:rFonts w:hint="eastAsia" w:ascii="仿宋" w:hAnsi="仿宋" w:eastAsia="仿宋" w:cs="仿宋"/>
          <w:color w:val="auto"/>
          <w:sz w:val="32"/>
          <w:szCs w:val="32"/>
        </w:rPr>
      </w:pPr>
    </w:p>
    <w:p w14:paraId="2194B980">
      <w:pPr>
        <w:rPr>
          <w:rFonts w:hint="eastAsia" w:ascii="仿宋" w:hAnsi="仿宋" w:eastAsia="仿宋" w:cs="仿宋"/>
          <w:color w:val="auto"/>
          <w:sz w:val="32"/>
          <w:szCs w:val="32"/>
        </w:rPr>
      </w:pPr>
    </w:p>
    <w:p w14:paraId="4C928582">
      <w:pPr>
        <w:rPr>
          <w:rFonts w:hint="eastAsia" w:ascii="仿宋" w:hAnsi="仿宋" w:eastAsia="仿宋" w:cs="仿宋"/>
          <w:color w:val="auto"/>
          <w:sz w:val="32"/>
          <w:szCs w:val="32"/>
        </w:rPr>
      </w:pPr>
    </w:p>
    <w:p w14:paraId="3EBF6DC5">
      <w:pPr>
        <w:rPr>
          <w:rFonts w:hint="eastAsia" w:ascii="仿宋" w:hAnsi="仿宋" w:eastAsia="仿宋" w:cs="仿宋"/>
          <w:color w:val="auto"/>
          <w:sz w:val="32"/>
          <w:szCs w:val="32"/>
        </w:rPr>
      </w:pPr>
    </w:p>
    <w:p w14:paraId="1982DE75">
      <w:pPr>
        <w:rPr>
          <w:rFonts w:hint="eastAsia" w:ascii="仿宋" w:hAnsi="仿宋" w:eastAsia="仿宋" w:cs="仿宋"/>
          <w:color w:val="auto"/>
          <w:sz w:val="32"/>
          <w:szCs w:val="32"/>
        </w:rPr>
      </w:pPr>
    </w:p>
    <w:p w14:paraId="2C676D88">
      <w:pPr>
        <w:rPr>
          <w:rFonts w:hint="eastAsia" w:ascii="仿宋" w:hAnsi="仿宋" w:eastAsia="仿宋" w:cs="仿宋"/>
          <w:color w:val="auto"/>
          <w:sz w:val="32"/>
          <w:szCs w:val="32"/>
        </w:rPr>
      </w:pPr>
    </w:p>
    <w:p w14:paraId="464156F4">
      <w:pPr>
        <w:spacing w:line="360" w:lineRule="auto"/>
        <w:rPr>
          <w:rFonts w:hint="eastAsia" w:ascii="仿宋" w:hAnsi="仿宋" w:eastAsia="仿宋" w:cs="仿宋"/>
          <w:color w:val="auto"/>
          <w:sz w:val="32"/>
          <w:szCs w:val="32"/>
        </w:rPr>
      </w:pPr>
    </w:p>
    <w:p w14:paraId="70C873A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5A101E3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5F6A696D">
      <w:pPr>
        <w:jc w:val="center"/>
        <w:rPr>
          <w:rFonts w:hint="eastAsia" w:ascii="宋体" w:hAnsi="宋体" w:eastAsia="宋体" w:cs="宋体"/>
          <w:b/>
          <w:bCs/>
          <w:color w:val="auto"/>
          <w:sz w:val="32"/>
          <w:szCs w:val="32"/>
        </w:rPr>
      </w:pPr>
    </w:p>
    <w:p w14:paraId="5A2978F8">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0BDA13DB">
      <w:pPr>
        <w:pStyle w:val="2"/>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0D50CDC0">
      <w:pPr>
        <w:spacing w:line="540" w:lineRule="exact"/>
        <w:rPr>
          <w:rFonts w:hint="eastAsia" w:ascii="仿宋" w:hAnsi="仿宋" w:eastAsia="仿宋" w:cs="仿宋"/>
          <w:color w:val="auto"/>
          <w:sz w:val="32"/>
          <w:szCs w:val="32"/>
        </w:rPr>
      </w:pPr>
    </w:p>
    <w:p w14:paraId="4A42A4A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6BDA113C">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1F94AC2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10480891">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439C1EF4">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13B805C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7694B9F2">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7AC48AB6">
      <w:pPr>
        <w:pStyle w:val="2"/>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010CA63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0E616F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264E282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6C28E1E1">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14EE0B5F">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2231E279">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7DB09D6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B0B269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5DA8C7C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139B7F5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10126D9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6DAA83F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4636550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7655B8B5">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72327CC6">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6167F037">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743FA55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68F0C91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348BE9A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029C3D9">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3A94E004">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32DA8333">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0F88F599">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722BED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37699BB7">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6C5C79B4">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3769182E">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5F90515C">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2EACA169">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13FC01AA">
      <w:pPr>
        <w:spacing w:line="440" w:lineRule="exact"/>
        <w:rPr>
          <w:rFonts w:hint="eastAsia" w:ascii="仿宋" w:hAnsi="仿宋" w:eastAsia="仿宋" w:cs="仿宋"/>
          <w:color w:val="auto"/>
          <w:sz w:val="32"/>
          <w:szCs w:val="32"/>
        </w:rPr>
      </w:pPr>
    </w:p>
    <w:p w14:paraId="62A5D87F">
      <w:pPr>
        <w:spacing w:line="440" w:lineRule="exact"/>
        <w:rPr>
          <w:rFonts w:hint="eastAsia" w:ascii="仿宋" w:hAnsi="仿宋" w:eastAsia="仿宋" w:cs="仿宋"/>
          <w:color w:val="auto"/>
          <w:sz w:val="32"/>
          <w:szCs w:val="32"/>
        </w:rPr>
      </w:pPr>
    </w:p>
    <w:p w14:paraId="2F1F07DB">
      <w:pPr>
        <w:spacing w:line="440" w:lineRule="exact"/>
        <w:rPr>
          <w:rFonts w:hint="eastAsia" w:ascii="仿宋" w:hAnsi="仿宋" w:eastAsia="仿宋" w:cs="仿宋"/>
          <w:color w:val="auto"/>
          <w:sz w:val="32"/>
          <w:szCs w:val="32"/>
        </w:rPr>
      </w:pPr>
    </w:p>
    <w:p w14:paraId="77133B1C">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9" w:name="_Toc28734"/>
      <w:bookmarkStart w:id="180" w:name="_Toc504488769"/>
    </w:p>
    <w:p w14:paraId="65FCCF33">
      <w:pPr>
        <w:pStyle w:val="2"/>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9"/>
      <w:bookmarkEnd w:id="180"/>
    </w:p>
    <w:p w14:paraId="0366C235">
      <w:pPr>
        <w:spacing w:line="440" w:lineRule="exact"/>
        <w:rPr>
          <w:rFonts w:hint="eastAsia" w:ascii="仿宋" w:hAnsi="仿宋" w:eastAsia="仿宋" w:cs="仿宋"/>
          <w:color w:val="auto"/>
          <w:sz w:val="32"/>
          <w:szCs w:val="32"/>
        </w:rPr>
      </w:pPr>
    </w:p>
    <w:p w14:paraId="740AC626">
      <w:pPr>
        <w:spacing w:line="440" w:lineRule="exact"/>
        <w:rPr>
          <w:rFonts w:hint="eastAsia" w:ascii="仿宋" w:hAnsi="仿宋" w:eastAsia="仿宋" w:cs="仿宋"/>
          <w:color w:val="auto"/>
          <w:sz w:val="32"/>
          <w:szCs w:val="32"/>
        </w:rPr>
      </w:pPr>
    </w:p>
    <w:p w14:paraId="227734A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3B76832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1" w:name="_Toc27897"/>
      <w:bookmarkStart w:id="182" w:name="_Toc352691662"/>
      <w:bookmarkStart w:id="183"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1"/>
      <w:bookmarkEnd w:id="182"/>
      <w:bookmarkEnd w:id="183"/>
      <w:r>
        <w:rPr>
          <w:rFonts w:hint="eastAsia" w:ascii="仿宋" w:hAnsi="仿宋" w:eastAsia="仿宋" w:cs="仿宋"/>
          <w:color w:val="auto"/>
          <w:sz w:val="32"/>
          <w:szCs w:val="32"/>
        </w:rPr>
        <w:t>龄</w:t>
      </w:r>
      <w:bookmarkStart w:id="184" w:name="_Toc247527829"/>
      <w:bookmarkStart w:id="185" w:name="_Toc247514248"/>
      <w:bookmarkStart w:id="186" w:name="_Toc361508754"/>
      <w:bookmarkStart w:id="187" w:name="_Toc152042578"/>
      <w:bookmarkStart w:id="188" w:name="_Toc300835211"/>
      <w:bookmarkStart w:id="189" w:name="_Toc352691663"/>
      <w:bookmarkStart w:id="190" w:name="_Toc152045789"/>
      <w:bookmarkStart w:id="191" w:name="_Toc369531699"/>
      <w:bookmarkStart w:id="192" w:name="_Toc15573"/>
      <w:bookmarkStart w:id="193" w:name="_Toc144974858"/>
      <w:bookmarkStart w:id="194" w:name="_Toc384308377"/>
      <w:r>
        <w:rPr>
          <w:rFonts w:hint="eastAsia" w:ascii="仿宋" w:hAnsi="仿宋" w:eastAsia="仿宋" w:cs="仿宋"/>
          <w:color w:val="auto"/>
          <w:sz w:val="32"/>
          <w:szCs w:val="32"/>
        </w:rPr>
        <w:t>：</w:t>
      </w:r>
      <w:bookmarkEnd w:id="184"/>
      <w:bookmarkEnd w:id="185"/>
      <w:bookmarkEnd w:id="186"/>
      <w:bookmarkEnd w:id="187"/>
      <w:bookmarkEnd w:id="188"/>
      <w:bookmarkEnd w:id="189"/>
      <w:bookmarkEnd w:id="190"/>
      <w:bookmarkEnd w:id="191"/>
      <w:bookmarkEnd w:id="192"/>
      <w:bookmarkEnd w:id="193"/>
      <w:bookmarkEnd w:id="194"/>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0D4EE03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6B67B9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69B456F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CEFEC7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4FD1E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A69E91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76EFA27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F12FFF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269A5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45214C4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6D9E327">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3AEAD7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B2F906B">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7F396A5C">
      <w:pPr>
        <w:pStyle w:val="2"/>
        <w:jc w:val="center"/>
        <w:rPr>
          <w:rFonts w:hint="eastAsia" w:ascii="黑体" w:hAnsi="黑体" w:eastAsia="黑体" w:cs="黑体"/>
          <w:color w:val="auto"/>
          <w:sz w:val="36"/>
          <w:szCs w:val="36"/>
        </w:rPr>
      </w:pPr>
      <w:bookmarkStart w:id="195" w:name="_Toc504488770"/>
      <w:bookmarkStart w:id="196" w:name="_Toc2777"/>
      <w:r>
        <w:rPr>
          <w:rFonts w:hint="eastAsia" w:ascii="黑体" w:hAnsi="黑体" w:eastAsia="黑体" w:cs="黑体"/>
          <w:color w:val="auto"/>
          <w:sz w:val="36"/>
          <w:szCs w:val="36"/>
        </w:rPr>
        <w:t>二、授权委托书</w:t>
      </w:r>
      <w:bookmarkEnd w:id="195"/>
      <w:bookmarkEnd w:id="196"/>
    </w:p>
    <w:p w14:paraId="2B2DDDCB">
      <w:pPr>
        <w:spacing w:line="440" w:lineRule="exact"/>
        <w:rPr>
          <w:rFonts w:hint="eastAsia" w:ascii="仿宋" w:hAnsi="仿宋" w:eastAsia="仿宋" w:cs="仿宋"/>
          <w:color w:val="auto"/>
          <w:sz w:val="32"/>
          <w:szCs w:val="32"/>
        </w:rPr>
      </w:pPr>
    </w:p>
    <w:p w14:paraId="5FCAC5A7">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4786D2C0">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60FF0FE8">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0A8C5F1C">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2F61974D">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431E77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2083E58A">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7BA984B0">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0E2BE83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4C017CEE">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502EFA80">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4590DFD0">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6A86FD1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5C95B3B1">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0F6EE58A">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3B221C91">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28BB61FE">
      <w:pPr>
        <w:pStyle w:val="2"/>
        <w:spacing w:after="0" w:line="413" w:lineRule="auto"/>
        <w:jc w:val="center"/>
        <w:rPr>
          <w:rFonts w:hint="eastAsia" w:ascii="黑体" w:hAnsi="黑体" w:eastAsia="黑体" w:cs="黑体"/>
          <w:color w:val="auto"/>
          <w:sz w:val="36"/>
          <w:szCs w:val="36"/>
          <w:u w:val="single"/>
          <w:lang w:eastAsia="zh-CN"/>
        </w:rPr>
      </w:pPr>
      <w:bookmarkStart w:id="197" w:name="_Toc7842"/>
      <w:bookmarkStart w:id="198"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7"/>
      <w:bookmarkEnd w:id="198"/>
      <w:r>
        <w:rPr>
          <w:rFonts w:hint="eastAsia" w:ascii="黑体" w:hAnsi="黑体" w:eastAsia="黑体" w:cs="黑体"/>
          <w:color w:val="auto"/>
          <w:sz w:val="36"/>
          <w:szCs w:val="36"/>
          <w:lang w:eastAsia="zh-CN"/>
        </w:rPr>
        <w:t>响应保证金</w:t>
      </w:r>
    </w:p>
    <w:p w14:paraId="0E657087">
      <w:pPr>
        <w:spacing w:line="440" w:lineRule="exact"/>
        <w:rPr>
          <w:rFonts w:hint="eastAsia" w:ascii="仿宋" w:hAnsi="仿宋" w:eastAsia="仿宋" w:cs="仿宋"/>
          <w:b/>
          <w:bCs/>
          <w:color w:val="auto"/>
          <w:sz w:val="32"/>
          <w:szCs w:val="32"/>
        </w:rPr>
      </w:pPr>
    </w:p>
    <w:p w14:paraId="7AA29491">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6733B792">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1FBB97E6">
      <w:pPr>
        <w:spacing w:line="440" w:lineRule="exact"/>
        <w:rPr>
          <w:rFonts w:hint="eastAsia" w:ascii="仿宋" w:hAnsi="仿宋" w:eastAsia="仿宋" w:cs="仿宋"/>
          <w:color w:val="auto"/>
          <w:sz w:val="32"/>
          <w:szCs w:val="32"/>
          <w:u w:val="single"/>
        </w:rPr>
      </w:pPr>
    </w:p>
    <w:p w14:paraId="7961F996">
      <w:pPr>
        <w:spacing w:line="440" w:lineRule="exact"/>
        <w:rPr>
          <w:rFonts w:hint="eastAsia" w:ascii="仿宋" w:hAnsi="仿宋" w:eastAsia="仿宋" w:cs="仿宋"/>
          <w:color w:val="auto"/>
          <w:sz w:val="32"/>
          <w:szCs w:val="32"/>
          <w:u w:val="single"/>
        </w:rPr>
      </w:pPr>
    </w:p>
    <w:p w14:paraId="1A843A41">
      <w:pPr>
        <w:pStyle w:val="2"/>
        <w:pageBreakBefore/>
        <w:snapToGrid w:val="0"/>
        <w:spacing w:before="0" w:after="0" w:line="288" w:lineRule="auto"/>
        <w:rPr>
          <w:rFonts w:hint="eastAsia" w:ascii="仿宋" w:hAnsi="仿宋" w:eastAsia="仿宋" w:cs="仿宋"/>
          <w:color w:val="auto"/>
          <w:sz w:val="32"/>
          <w:szCs w:val="32"/>
        </w:rPr>
      </w:pPr>
      <w:bookmarkStart w:id="199"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9"/>
    </w:p>
    <w:p w14:paraId="4F6205C2">
      <w:pPr>
        <w:pStyle w:val="4"/>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7E860FA9">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5F552D54">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6CB610C5">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7F6DC40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3D77601C">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61EC55AC">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27E778F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1AC23182">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5E1B12EA">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7B91F3F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A8C7264">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CF7761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3B99D01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6977492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0FB1FAE8">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0FC21D0A">
      <w:pPr>
        <w:snapToGrid w:val="0"/>
        <w:spacing w:line="312" w:lineRule="auto"/>
        <w:rPr>
          <w:rFonts w:hint="eastAsia" w:ascii="仿宋" w:hAnsi="仿宋" w:eastAsia="仿宋" w:cs="仿宋"/>
          <w:color w:val="auto"/>
          <w:sz w:val="32"/>
          <w:szCs w:val="32"/>
        </w:rPr>
      </w:pPr>
    </w:p>
    <w:p w14:paraId="4D4086F0">
      <w:pPr>
        <w:snapToGrid w:val="0"/>
        <w:spacing w:line="312" w:lineRule="auto"/>
        <w:rPr>
          <w:rFonts w:hint="eastAsia" w:ascii="仿宋" w:hAnsi="仿宋" w:eastAsia="仿宋" w:cs="仿宋"/>
          <w:color w:val="auto"/>
          <w:sz w:val="32"/>
          <w:szCs w:val="32"/>
        </w:rPr>
      </w:pPr>
    </w:p>
    <w:p w14:paraId="12155FE0">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752C1EF2">
      <w:pPr>
        <w:snapToGrid w:val="0"/>
        <w:spacing w:line="312" w:lineRule="auto"/>
        <w:rPr>
          <w:rFonts w:hint="eastAsia" w:ascii="仿宋" w:hAnsi="仿宋" w:eastAsia="仿宋" w:cs="仿宋"/>
          <w:color w:val="auto"/>
          <w:sz w:val="32"/>
          <w:szCs w:val="32"/>
        </w:rPr>
      </w:pPr>
    </w:p>
    <w:p w14:paraId="38078858">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F70B314">
      <w:pPr>
        <w:snapToGrid w:val="0"/>
        <w:spacing w:line="312" w:lineRule="auto"/>
        <w:rPr>
          <w:rFonts w:hint="eastAsia" w:ascii="仿宋" w:hAnsi="仿宋" w:eastAsia="仿宋" w:cs="仿宋"/>
          <w:color w:val="auto"/>
          <w:sz w:val="32"/>
          <w:szCs w:val="32"/>
        </w:rPr>
      </w:pPr>
    </w:p>
    <w:p w14:paraId="77A0BE8C">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66837DDD">
      <w:pPr>
        <w:snapToGrid w:val="0"/>
        <w:spacing w:line="312" w:lineRule="auto"/>
        <w:ind w:firstLine="1280" w:firstLineChars="400"/>
        <w:rPr>
          <w:rFonts w:hint="eastAsia" w:ascii="仿宋" w:hAnsi="仿宋" w:eastAsia="仿宋" w:cs="仿宋"/>
          <w:color w:val="auto"/>
          <w:sz w:val="32"/>
          <w:szCs w:val="32"/>
        </w:rPr>
      </w:pPr>
    </w:p>
    <w:p w14:paraId="73FA10F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08578F16">
      <w:pPr>
        <w:pStyle w:val="8"/>
        <w:snapToGrid w:val="0"/>
        <w:spacing w:after="120"/>
        <w:ind w:firstLine="0" w:firstLineChars="0"/>
        <w:jc w:val="both"/>
        <w:rPr>
          <w:rFonts w:hint="eastAsia" w:ascii="仿宋" w:hAnsi="仿宋" w:eastAsia="仿宋" w:cs="仿宋"/>
          <w:color w:val="auto"/>
          <w:sz w:val="32"/>
          <w:szCs w:val="32"/>
        </w:rPr>
      </w:pPr>
    </w:p>
    <w:p w14:paraId="1A079B72">
      <w:pPr>
        <w:pStyle w:val="8"/>
        <w:snapToGrid w:val="0"/>
        <w:spacing w:after="120"/>
        <w:ind w:firstLine="0" w:firstLineChars="0"/>
        <w:jc w:val="both"/>
        <w:rPr>
          <w:rFonts w:hint="eastAsia" w:ascii="仿宋" w:hAnsi="仿宋" w:eastAsia="仿宋" w:cs="仿宋"/>
          <w:color w:val="auto"/>
          <w:sz w:val="32"/>
          <w:szCs w:val="32"/>
        </w:rPr>
      </w:pPr>
    </w:p>
    <w:p w14:paraId="1709E17D">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20F648E6">
      <w:pPr>
        <w:widowControl/>
        <w:jc w:val="left"/>
        <w:rPr>
          <w:rFonts w:ascii="Times New Roman" w:hAnsi="Times New Roman"/>
          <w:color w:val="auto"/>
          <w:sz w:val="24"/>
          <w:szCs w:val="24"/>
        </w:rPr>
      </w:pPr>
    </w:p>
    <w:p w14:paraId="1FD18891">
      <w:pPr>
        <w:spacing w:line="440" w:lineRule="exact"/>
        <w:jc w:val="center"/>
        <w:rPr>
          <w:rFonts w:ascii="Times New Roman" w:hAnsi="Times New Roman" w:eastAsia="黑体"/>
          <w:color w:val="auto"/>
          <w:sz w:val="27"/>
          <w:szCs w:val="27"/>
        </w:rPr>
      </w:pPr>
    </w:p>
    <w:p w14:paraId="56043612">
      <w:pPr>
        <w:spacing w:line="440" w:lineRule="exact"/>
        <w:ind w:firstLine="420" w:firstLineChars="200"/>
        <w:rPr>
          <w:rFonts w:ascii="Times New Roman" w:hAnsi="Times New Roman"/>
          <w:color w:val="auto"/>
          <w:szCs w:val="21"/>
        </w:rPr>
      </w:pPr>
    </w:p>
    <w:p w14:paraId="77CAF8E8">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68DCB413">
      <w:pPr>
        <w:pStyle w:val="2"/>
        <w:pageBreakBefore w:val="0"/>
        <w:numPr>
          <w:ilvl w:val="0"/>
          <w:numId w:val="0"/>
        </w:numPr>
        <w:kinsoku/>
        <w:wordWrap/>
        <w:overflowPunct/>
        <w:topLinePunct w:val="0"/>
        <w:autoSpaceDE/>
        <w:autoSpaceDN/>
        <w:bidi w:val="0"/>
        <w:adjustRightInd/>
        <w:snapToGrid/>
        <w:spacing w:line="320" w:lineRule="exact"/>
        <w:ind w:left="0" w:leftChars="0" w:firstLine="883" w:firstLineChars="200"/>
        <w:jc w:val="left"/>
        <w:rPr>
          <w:rFonts w:hint="eastAsia" w:ascii="Times New Roman" w:hAnsi="Times New Roman" w:eastAsia="宋体" w:cs="Times New Roman"/>
          <w:b/>
          <w:bCs/>
          <w:color w:val="auto"/>
          <w:kern w:val="2"/>
          <w:sz w:val="44"/>
          <w:szCs w:val="44"/>
          <w:lang w:val="en-US" w:eastAsia="zh-CN" w:bidi="ar-SA"/>
        </w:rPr>
      </w:pPr>
      <w:bookmarkStart w:id="200" w:name="_Toc1755"/>
      <w:bookmarkStart w:id="201" w:name="_Toc504488775"/>
    </w:p>
    <w:p w14:paraId="377267E3">
      <w:pPr>
        <w:rPr>
          <w:rFonts w:hint="eastAsia"/>
          <w:lang w:val="en-US" w:eastAsia="zh-CN"/>
        </w:rPr>
      </w:pPr>
    </w:p>
    <w:p w14:paraId="1B0641B6">
      <w:pPr>
        <w:pStyle w:val="2"/>
        <w:pageBreakBefore w:val="0"/>
        <w:numPr>
          <w:ilvl w:val="0"/>
          <w:numId w:val="0"/>
        </w:numPr>
        <w:kinsoku/>
        <w:wordWrap/>
        <w:overflowPunct/>
        <w:topLinePunct w:val="0"/>
        <w:autoSpaceDE/>
        <w:autoSpaceDN/>
        <w:bidi w:val="0"/>
        <w:adjustRightInd/>
        <w:snapToGrid/>
        <w:spacing w:line="320" w:lineRule="exact"/>
        <w:jc w:val="left"/>
        <w:rPr>
          <w:rFonts w:hint="default" w:ascii="Times New Roman" w:hAnsi="Times New Roman" w:eastAsia="宋体" w:cs="Times New Roman"/>
          <w:b/>
          <w:bCs/>
          <w:color w:val="auto"/>
          <w:kern w:val="2"/>
          <w:sz w:val="36"/>
          <w:szCs w:val="36"/>
          <w:lang w:val="en-US" w:eastAsia="zh-CN" w:bidi="ar-SA"/>
        </w:rPr>
      </w:pPr>
      <w:r>
        <w:rPr>
          <w:rFonts w:hint="eastAsia" w:ascii="Times New Roman" w:hAnsi="Times New Roman" w:eastAsia="宋体" w:cs="Times New Roman"/>
          <w:b/>
          <w:bCs/>
          <w:color w:val="auto"/>
          <w:kern w:val="2"/>
          <w:sz w:val="36"/>
          <w:szCs w:val="36"/>
          <w:lang w:val="en-US" w:eastAsia="zh-CN" w:bidi="ar-SA"/>
        </w:rPr>
        <w:t>五、分项报价表</w:t>
      </w:r>
    </w:p>
    <w:tbl>
      <w:tblPr>
        <w:tblStyle w:val="9"/>
        <w:tblW w:w="8748" w:type="dxa"/>
        <w:tblInd w:w="-332" w:type="dxa"/>
        <w:tblLayout w:type="fixed"/>
        <w:tblCellMar>
          <w:top w:w="0" w:type="dxa"/>
          <w:left w:w="0" w:type="dxa"/>
          <w:bottom w:w="0" w:type="dxa"/>
          <w:right w:w="0" w:type="dxa"/>
        </w:tblCellMar>
      </w:tblPr>
      <w:tblGrid>
        <w:gridCol w:w="672"/>
        <w:gridCol w:w="1305"/>
        <w:gridCol w:w="1515"/>
        <w:gridCol w:w="1440"/>
        <w:gridCol w:w="2616"/>
        <w:gridCol w:w="1200"/>
      </w:tblGrid>
      <w:tr w14:paraId="0203D53F">
        <w:tblPrEx>
          <w:tblCellMar>
            <w:top w:w="0" w:type="dxa"/>
            <w:left w:w="0" w:type="dxa"/>
            <w:bottom w:w="0" w:type="dxa"/>
            <w:right w:w="0" w:type="dxa"/>
          </w:tblCellMar>
        </w:tblPrEx>
        <w:trPr>
          <w:trHeight w:val="1189" w:hRule="atLeast"/>
        </w:trPr>
        <w:tc>
          <w:tcPr>
            <w:tcW w:w="67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FB7C35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8"/>
                <w:szCs w:val="28"/>
                <w:u w:val="none"/>
              </w:rPr>
            </w:pPr>
            <w:r>
              <w:rPr>
                <w:rFonts w:hint="eastAsia" w:ascii="宋体" w:hAnsi="宋体" w:eastAsia="宋体" w:cs="宋体"/>
                <w:b w:val="0"/>
                <w:bCs/>
                <w:i w:val="0"/>
                <w:color w:val="000000"/>
                <w:kern w:val="0"/>
                <w:sz w:val="28"/>
                <w:szCs w:val="28"/>
                <w:u w:val="none"/>
                <w:lang w:val="en-US" w:eastAsia="zh-CN" w:bidi="ar"/>
              </w:rPr>
              <w:t>序号</w:t>
            </w:r>
          </w:p>
        </w:tc>
        <w:tc>
          <w:tcPr>
            <w:tcW w:w="13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677F07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8"/>
                <w:szCs w:val="28"/>
                <w:u w:val="none"/>
                <w:lang w:val="en-US"/>
              </w:rPr>
            </w:pPr>
            <w:r>
              <w:rPr>
                <w:rFonts w:hint="eastAsia" w:ascii="宋体" w:hAnsi="宋体" w:eastAsia="宋体" w:cs="宋体"/>
                <w:b w:val="0"/>
                <w:bCs/>
                <w:i w:val="0"/>
                <w:color w:val="000000"/>
                <w:kern w:val="0"/>
                <w:sz w:val="28"/>
                <w:szCs w:val="28"/>
                <w:u w:val="none"/>
                <w:lang w:val="en-US" w:eastAsia="zh-CN" w:bidi="ar"/>
              </w:rPr>
              <w:t>物品    名称</w:t>
            </w:r>
          </w:p>
        </w:tc>
        <w:tc>
          <w:tcPr>
            <w:tcW w:w="15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EA95B6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8"/>
                <w:szCs w:val="28"/>
                <w:u w:val="none"/>
              </w:rPr>
            </w:pPr>
            <w:r>
              <w:rPr>
                <w:rFonts w:hint="eastAsia" w:ascii="宋体" w:hAnsi="宋体" w:eastAsia="宋体" w:cs="宋体"/>
                <w:b w:val="0"/>
                <w:bCs/>
                <w:i w:val="0"/>
                <w:color w:val="000000"/>
                <w:kern w:val="0"/>
                <w:sz w:val="28"/>
                <w:szCs w:val="28"/>
                <w:u w:val="none"/>
                <w:lang w:val="en-US" w:eastAsia="zh-CN" w:bidi="ar"/>
              </w:rPr>
              <w:t>规格型号</w:t>
            </w:r>
          </w:p>
        </w:tc>
        <w:tc>
          <w:tcPr>
            <w:tcW w:w="14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F15770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8"/>
                <w:szCs w:val="28"/>
                <w:u w:val="none"/>
                <w:lang w:val="en-US" w:eastAsia="zh-CN"/>
              </w:rPr>
            </w:pPr>
            <w:r>
              <w:rPr>
                <w:rFonts w:hint="eastAsia" w:ascii="宋体" w:hAnsi="宋体" w:eastAsia="宋体" w:cs="宋体"/>
                <w:b w:val="0"/>
                <w:bCs/>
                <w:i w:val="0"/>
                <w:color w:val="000000"/>
                <w:sz w:val="28"/>
                <w:szCs w:val="28"/>
                <w:u w:val="none"/>
                <w:lang w:val="en-US" w:eastAsia="zh-CN"/>
              </w:rPr>
              <w:t>数量   （吨）</w:t>
            </w:r>
          </w:p>
        </w:tc>
        <w:tc>
          <w:tcPr>
            <w:tcW w:w="26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31A7A8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8"/>
                <w:szCs w:val="28"/>
                <w:u w:val="none"/>
                <w:lang w:val="en-US" w:eastAsia="zh-CN"/>
              </w:rPr>
            </w:pPr>
            <w:r>
              <w:rPr>
                <w:rFonts w:hint="eastAsia" w:ascii="宋体" w:hAnsi="宋体" w:eastAsia="宋体" w:cs="宋体"/>
                <w:b w:val="0"/>
                <w:bCs/>
                <w:i w:val="0"/>
                <w:color w:val="000000"/>
                <w:sz w:val="28"/>
                <w:szCs w:val="28"/>
                <w:u w:val="none"/>
                <w:lang w:val="en-US" w:eastAsia="zh-CN"/>
              </w:rPr>
              <w:t>报价（吨/元），</w:t>
            </w:r>
            <w:r>
              <w:rPr>
                <w:rFonts w:hint="eastAsia" w:ascii="宋体" w:hAnsi="宋体" w:eastAsia="宋体" w:cs="宋体"/>
                <w:b w:val="0"/>
                <w:bCs w:val="0"/>
                <w:sz w:val="28"/>
                <w:szCs w:val="28"/>
                <w:highlight w:val="none"/>
                <w:lang w:val="en-US" w:eastAsia="zh-CN"/>
              </w:rPr>
              <w:t>如有不同税率，报价方自行换算成13%的报价</w:t>
            </w:r>
          </w:p>
        </w:tc>
        <w:tc>
          <w:tcPr>
            <w:tcW w:w="12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A1A579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8"/>
                <w:szCs w:val="28"/>
                <w:u w:val="none"/>
                <w:lang w:val="en-US" w:eastAsia="zh-CN"/>
              </w:rPr>
            </w:pPr>
            <w:r>
              <w:rPr>
                <w:rFonts w:hint="eastAsia" w:ascii="宋体" w:hAnsi="宋体" w:eastAsia="宋体" w:cs="宋体"/>
                <w:b w:val="0"/>
                <w:bCs/>
                <w:i w:val="0"/>
                <w:color w:val="000000"/>
                <w:kern w:val="0"/>
                <w:sz w:val="28"/>
                <w:szCs w:val="28"/>
                <w:u w:val="none"/>
                <w:lang w:val="en-US" w:eastAsia="zh-CN" w:bidi="ar"/>
              </w:rPr>
              <w:t>金额</w:t>
            </w:r>
            <w:r>
              <w:rPr>
                <w:rFonts w:hint="eastAsia" w:ascii="宋体" w:hAnsi="宋体" w:eastAsia="宋体" w:cs="宋体"/>
                <w:b w:val="0"/>
                <w:bCs/>
                <w:i w:val="0"/>
                <w:color w:val="000000"/>
                <w:sz w:val="28"/>
                <w:szCs w:val="28"/>
                <w:u w:val="none"/>
                <w:lang w:val="en-US" w:eastAsia="zh-CN"/>
              </w:rPr>
              <w:t xml:space="preserve">   </w:t>
            </w:r>
          </w:p>
        </w:tc>
      </w:tr>
      <w:tr w14:paraId="2DF0B3DC">
        <w:tblPrEx>
          <w:tblCellMar>
            <w:top w:w="0" w:type="dxa"/>
            <w:left w:w="0" w:type="dxa"/>
            <w:bottom w:w="0" w:type="dxa"/>
            <w:right w:w="0" w:type="dxa"/>
          </w:tblCellMar>
        </w:tblPrEx>
        <w:trPr>
          <w:trHeight w:val="3100" w:hRule="atLeast"/>
        </w:trPr>
        <w:tc>
          <w:tcPr>
            <w:tcW w:w="67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14:paraId="10FD6CA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8"/>
                <w:szCs w:val="28"/>
                <w:u w:val="none"/>
                <w:lang w:val="en-US" w:eastAsia="zh-CN"/>
              </w:rPr>
            </w:pPr>
            <w:r>
              <w:rPr>
                <w:rFonts w:hint="eastAsia" w:ascii="宋体" w:hAnsi="宋体" w:eastAsia="宋体" w:cs="宋体"/>
                <w:b w:val="0"/>
                <w:bCs/>
                <w:i w:val="0"/>
                <w:color w:val="000000"/>
                <w:sz w:val="28"/>
                <w:szCs w:val="28"/>
                <w:u w:val="none"/>
                <w:lang w:val="en-US" w:eastAsia="zh-CN"/>
              </w:rPr>
              <w:t>1</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0523847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8"/>
                <w:szCs w:val="28"/>
                <w:u w:val="none"/>
                <w:lang w:val="en-US" w:eastAsia="zh-CN"/>
              </w:rPr>
            </w:pPr>
            <w:r>
              <w:rPr>
                <w:rFonts w:hint="eastAsia" w:ascii="宋体" w:hAnsi="宋体" w:eastAsia="宋体" w:cs="宋体"/>
                <w:b w:val="0"/>
                <w:bCs/>
                <w:i w:val="0"/>
                <w:color w:val="000000"/>
                <w:sz w:val="28"/>
                <w:szCs w:val="28"/>
                <w:u w:val="none"/>
                <w:lang w:val="en-US" w:eastAsia="zh-CN"/>
              </w:rPr>
              <w:t>氢氧化钙</w:t>
            </w:r>
          </w:p>
        </w:tc>
        <w:tc>
          <w:tcPr>
            <w:tcW w:w="151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753BEC0F">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i w:val="0"/>
                <w:color w:val="000000"/>
                <w:sz w:val="28"/>
                <w:szCs w:val="28"/>
                <w:u w:val="none"/>
                <w:lang w:val="en-US" w:eastAsia="zh-CN"/>
              </w:rPr>
            </w:pPr>
            <w:r>
              <w:rPr>
                <w:rFonts w:hint="eastAsia" w:ascii="宋体" w:hAnsi="宋体" w:eastAsia="宋体" w:cs="宋体"/>
                <w:color w:val="auto"/>
                <w:sz w:val="28"/>
                <w:szCs w:val="28"/>
                <w:lang w:val="en-US" w:eastAsia="zh-CN"/>
              </w:rPr>
              <w:t>粒度100目，碱度≥90%及</w:t>
            </w:r>
            <w:r>
              <w:rPr>
                <w:rFonts w:hint="eastAsia" w:ascii="宋体" w:hAnsi="宋体" w:eastAsia="宋体" w:cs="宋体"/>
                <w:i w:val="0"/>
                <w:iCs w:val="0"/>
                <w:caps w:val="0"/>
                <w:color w:val="333333"/>
                <w:spacing w:val="0"/>
                <w:sz w:val="28"/>
                <w:szCs w:val="28"/>
                <w:shd w:val="clear" w:fill="FFFFFF"/>
              </w:rPr>
              <w:t>Ca(OH)</w:t>
            </w:r>
            <w:r>
              <w:rPr>
                <w:rFonts w:hint="eastAsia" w:ascii="宋体" w:hAnsi="宋体" w:eastAsia="宋体" w:cs="宋体"/>
                <w:i w:val="0"/>
                <w:iCs w:val="0"/>
                <w:caps w:val="0"/>
                <w:color w:val="333333"/>
                <w:spacing w:val="0"/>
                <w:sz w:val="21"/>
                <w:szCs w:val="21"/>
                <w:shd w:val="clear" w:fill="FFFFFF"/>
              </w:rPr>
              <w:t>2</w:t>
            </w:r>
            <w:r>
              <w:rPr>
                <w:rFonts w:hint="eastAsia" w:ascii="宋体" w:hAnsi="宋体" w:eastAsia="宋体" w:cs="宋体"/>
                <w:color w:val="auto"/>
                <w:sz w:val="28"/>
                <w:szCs w:val="28"/>
                <w:lang w:val="en-US" w:eastAsia="zh-CN"/>
              </w:rPr>
              <w:t>≥90%。</w:t>
            </w:r>
          </w:p>
        </w:tc>
        <w:tc>
          <w:tcPr>
            <w:tcW w:w="14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38666E9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eastAsia="宋体" w:cs="宋体"/>
                <w:b w:val="0"/>
                <w:bCs/>
                <w:i w:val="0"/>
                <w:color w:val="000000"/>
                <w:sz w:val="28"/>
                <w:szCs w:val="28"/>
                <w:u w:val="none"/>
                <w:lang w:val="en-US" w:eastAsia="zh-CN"/>
              </w:rPr>
            </w:pPr>
            <w:r>
              <w:rPr>
                <w:rFonts w:hint="eastAsia" w:ascii="宋体" w:hAnsi="宋体" w:eastAsia="宋体" w:cs="宋体"/>
                <w:b w:val="0"/>
                <w:bCs/>
                <w:i w:val="0"/>
                <w:color w:val="000000"/>
                <w:sz w:val="28"/>
                <w:szCs w:val="28"/>
                <w:u w:val="none"/>
                <w:lang w:val="en-US" w:eastAsia="zh-CN"/>
              </w:rPr>
              <w:t>约400</w:t>
            </w:r>
          </w:p>
        </w:tc>
        <w:tc>
          <w:tcPr>
            <w:tcW w:w="261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60F158C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8"/>
                <w:szCs w:val="28"/>
                <w:u w:val="none"/>
                <w:lang w:val="en-US" w:eastAsia="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50B7A0D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8"/>
                <w:szCs w:val="28"/>
                <w:u w:val="none"/>
                <w:lang w:val="en-US" w:eastAsia="zh-CN"/>
              </w:rPr>
            </w:pPr>
          </w:p>
        </w:tc>
      </w:tr>
      <w:tr w14:paraId="1717116F">
        <w:tblPrEx>
          <w:tblCellMar>
            <w:top w:w="0" w:type="dxa"/>
            <w:left w:w="0" w:type="dxa"/>
            <w:bottom w:w="0" w:type="dxa"/>
            <w:right w:w="0" w:type="dxa"/>
          </w:tblCellMar>
        </w:tblPrEx>
        <w:trPr>
          <w:trHeight w:val="824" w:hRule="atLeast"/>
        </w:trPr>
        <w:tc>
          <w:tcPr>
            <w:tcW w:w="8748" w:type="dxa"/>
            <w:gridSpan w:val="6"/>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14:paraId="04AC8089">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b w:val="0"/>
                <w:bCs/>
                <w:i w:val="0"/>
                <w:color w:val="000000"/>
                <w:sz w:val="28"/>
                <w:szCs w:val="28"/>
                <w:u w:val="none"/>
                <w:lang w:val="en-US" w:eastAsia="zh-CN"/>
              </w:rPr>
            </w:pPr>
            <w:r>
              <w:rPr>
                <w:rFonts w:hint="eastAsia" w:ascii="宋体" w:hAnsi="宋体" w:eastAsia="宋体" w:cs="宋体"/>
                <w:b w:val="0"/>
                <w:bCs/>
                <w:i w:val="0"/>
                <w:color w:val="000000"/>
                <w:sz w:val="28"/>
                <w:szCs w:val="28"/>
                <w:u w:val="none"/>
                <w:lang w:val="en-US" w:eastAsia="zh-CN"/>
              </w:rPr>
              <w:t>价格</w:t>
            </w:r>
            <w:r>
              <w:rPr>
                <w:rFonts w:hint="eastAsia" w:ascii="宋体" w:hAnsi="宋体" w:eastAsia="宋体" w:cs="宋体"/>
                <w:b w:val="0"/>
                <w:bCs/>
                <w:color w:val="auto"/>
                <w:sz w:val="28"/>
                <w:szCs w:val="28"/>
                <w:lang w:eastAsia="zh-CN"/>
              </w:rPr>
              <w:t>响应有效期：</w:t>
            </w:r>
            <w:r>
              <w:rPr>
                <w:rFonts w:hint="eastAsia" w:ascii="宋体" w:hAnsi="宋体" w:eastAsia="宋体" w:cs="宋体"/>
                <w:b w:val="0"/>
                <w:bCs/>
                <w:color w:val="auto"/>
                <w:sz w:val="28"/>
                <w:szCs w:val="28"/>
              </w:rPr>
              <w:t>从提交</w:t>
            </w:r>
            <w:r>
              <w:rPr>
                <w:rFonts w:hint="eastAsia" w:ascii="宋体" w:hAnsi="宋体" w:eastAsia="宋体" w:cs="宋体"/>
                <w:b w:val="0"/>
                <w:bCs/>
                <w:color w:val="auto"/>
                <w:sz w:val="28"/>
                <w:szCs w:val="28"/>
                <w:lang w:val="en-US" w:eastAsia="zh-CN"/>
              </w:rPr>
              <w:t>报价单</w:t>
            </w:r>
            <w:r>
              <w:rPr>
                <w:rFonts w:hint="eastAsia" w:ascii="宋体" w:hAnsi="宋体" w:eastAsia="宋体" w:cs="宋体"/>
                <w:b w:val="0"/>
                <w:bCs/>
                <w:color w:val="auto"/>
                <w:sz w:val="28"/>
                <w:szCs w:val="28"/>
              </w:rPr>
              <w:t>之日起</w:t>
            </w:r>
            <w:r>
              <w:rPr>
                <w:rFonts w:hint="eastAsia" w:ascii="宋体" w:hAnsi="宋体" w:eastAsia="宋体" w:cs="宋体"/>
                <w:b w:val="0"/>
                <w:bCs/>
                <w:color w:val="auto"/>
                <w:sz w:val="28"/>
                <w:szCs w:val="28"/>
                <w:lang w:val="en-US" w:eastAsia="zh-CN"/>
              </w:rPr>
              <w:t>180</w:t>
            </w:r>
            <w:r>
              <w:rPr>
                <w:rFonts w:hint="eastAsia" w:ascii="宋体" w:hAnsi="宋体" w:eastAsia="宋体" w:cs="宋体"/>
                <w:b w:val="0"/>
                <w:bCs/>
                <w:color w:val="auto"/>
                <w:sz w:val="28"/>
                <w:szCs w:val="28"/>
              </w:rPr>
              <w:t>天</w:t>
            </w:r>
            <w:r>
              <w:rPr>
                <w:rFonts w:hint="eastAsia" w:ascii="宋体" w:hAnsi="宋体" w:eastAsia="宋体" w:cs="宋体"/>
                <w:b w:val="0"/>
                <w:bCs/>
                <w:color w:val="auto"/>
                <w:sz w:val="28"/>
                <w:szCs w:val="28"/>
                <w:lang w:val="en-US" w:eastAsia="zh-CN"/>
              </w:rPr>
              <w:t>内</w:t>
            </w:r>
            <w:r>
              <w:rPr>
                <w:rFonts w:hint="eastAsia" w:ascii="宋体" w:hAnsi="宋体" w:eastAsia="宋体" w:cs="宋体"/>
                <w:b w:val="0"/>
                <w:bCs/>
                <w:color w:val="auto"/>
                <w:sz w:val="28"/>
                <w:szCs w:val="28"/>
                <w:lang w:eastAsia="zh-CN"/>
              </w:rPr>
              <w:t>。</w:t>
            </w:r>
          </w:p>
        </w:tc>
      </w:tr>
    </w:tbl>
    <w:p w14:paraId="2FFA84EA">
      <w:pPr>
        <w:bidi w:val="0"/>
        <w:ind w:firstLine="3000" w:firstLineChars="1000"/>
        <w:jc w:val="left"/>
        <w:rPr>
          <w:rFonts w:hint="eastAsia" w:ascii="Times New Roman" w:hAnsi="Times New Roman"/>
          <w:color w:val="auto"/>
          <w:kern w:val="0"/>
          <w:sz w:val="30"/>
          <w:szCs w:val="30"/>
          <w:lang w:val="en-US" w:eastAsia="zh-CN"/>
        </w:rPr>
      </w:pPr>
    </w:p>
    <w:p w14:paraId="3F2430B1">
      <w:pPr>
        <w:bidi w:val="0"/>
        <w:ind w:firstLine="3000" w:firstLineChars="1000"/>
        <w:jc w:val="left"/>
        <w:rPr>
          <w:rFonts w:hint="eastAsia" w:ascii="Times New Roman" w:hAnsi="Times New Roman"/>
          <w:color w:val="auto"/>
          <w:kern w:val="0"/>
          <w:sz w:val="30"/>
          <w:szCs w:val="30"/>
          <w:lang w:val="en-US" w:eastAsia="zh-CN"/>
        </w:rPr>
      </w:pPr>
    </w:p>
    <w:p w14:paraId="50EE4BBE">
      <w:pPr>
        <w:bidi w:val="0"/>
        <w:ind w:firstLine="3000" w:firstLineChars="1000"/>
        <w:jc w:val="left"/>
        <w:rPr>
          <w:rFonts w:hint="default" w:ascii="Times New Roman" w:hAnsi="Times New Roman"/>
          <w:color w:val="auto"/>
          <w:kern w:val="0"/>
          <w:sz w:val="30"/>
          <w:szCs w:val="30"/>
          <w:u w:val="single"/>
          <w:lang w:val="en-US" w:eastAsia="zh-CN"/>
        </w:rPr>
      </w:pPr>
      <w:r>
        <w:rPr>
          <w:rFonts w:hint="eastAsia" w:ascii="Times New Roman" w:hAnsi="Times New Roman"/>
          <w:color w:val="auto"/>
          <w:kern w:val="0"/>
          <w:sz w:val="30"/>
          <w:szCs w:val="30"/>
          <w:lang w:val="en-US" w:eastAsia="zh-CN"/>
        </w:rPr>
        <w:t>报价单位签字盖章：</w:t>
      </w:r>
      <w:r>
        <w:rPr>
          <w:rFonts w:hint="eastAsia" w:ascii="Times New Roman" w:hAnsi="Times New Roman"/>
          <w:color w:val="auto"/>
          <w:kern w:val="0"/>
          <w:sz w:val="30"/>
          <w:szCs w:val="30"/>
          <w:u w:val="single"/>
          <w:lang w:val="en-US" w:eastAsia="zh-CN"/>
        </w:rPr>
        <w:t xml:space="preserve">                           </w:t>
      </w:r>
    </w:p>
    <w:p w14:paraId="47839AC0">
      <w:pPr>
        <w:bidi w:val="0"/>
        <w:ind w:firstLine="3000" w:firstLineChars="1000"/>
        <w:jc w:val="left"/>
        <w:rPr>
          <w:rFonts w:hint="eastAsia" w:ascii="Times New Roman" w:hAnsi="Times New Roman"/>
          <w:color w:val="auto"/>
          <w:kern w:val="0"/>
          <w:sz w:val="30"/>
          <w:szCs w:val="30"/>
          <w:lang w:val="en-US" w:eastAsia="zh-CN"/>
        </w:rPr>
      </w:pPr>
    </w:p>
    <w:p w14:paraId="767212DC">
      <w:pPr>
        <w:pStyle w:val="2"/>
        <w:pageBreakBefore w:val="0"/>
        <w:kinsoku/>
        <w:wordWrap/>
        <w:overflowPunct/>
        <w:topLinePunct w:val="0"/>
        <w:autoSpaceDE/>
        <w:autoSpaceDN/>
        <w:bidi w:val="0"/>
        <w:adjustRightInd/>
        <w:snapToGrid/>
        <w:spacing w:after="0" w:line="320" w:lineRule="exact"/>
        <w:ind w:firstLine="4500" w:firstLineChars="1500"/>
        <w:jc w:val="both"/>
        <w:rPr>
          <w:rFonts w:ascii="Times New Roman" w:hAnsi="Times New Roman"/>
          <w:color w:val="auto"/>
        </w:rPr>
      </w:pP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年</w:t>
      </w: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月</w:t>
      </w: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日</w:t>
      </w:r>
      <w:r>
        <w:rPr>
          <w:rFonts w:hint="eastAsia" w:ascii="Times New Roman" w:hAnsi="Times New Roman"/>
          <w:b w:val="0"/>
          <w:bCs/>
          <w:color w:val="auto"/>
          <w:kern w:val="0"/>
        </w:rPr>
        <w:br w:type="page"/>
      </w: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200"/>
      <w:bookmarkEnd w:id="201"/>
    </w:p>
    <w:p w14:paraId="4B285135">
      <w:pPr>
        <w:pStyle w:val="3"/>
        <w:spacing w:before="20" w:after="0"/>
        <w:ind w:firstLine="103"/>
        <w:rPr>
          <w:rFonts w:ascii="Times New Roman"/>
          <w:color w:val="auto"/>
          <w:sz w:val="32"/>
          <w:szCs w:val="32"/>
        </w:rPr>
      </w:pPr>
      <w:bookmarkStart w:id="202" w:name="_Toc504488776"/>
      <w:bookmarkStart w:id="203" w:name="_Toc13906"/>
      <w:r>
        <w:rPr>
          <w:rFonts w:hint="eastAsia" w:ascii="Times New Roman"/>
          <w:color w:val="auto"/>
          <w:sz w:val="32"/>
          <w:szCs w:val="32"/>
        </w:rPr>
        <w:t>（一）基本情况表</w:t>
      </w:r>
      <w:bookmarkEnd w:id="202"/>
      <w:bookmarkEnd w:id="203"/>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1CC0CD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exact"/>
        </w:trPr>
        <w:tc>
          <w:tcPr>
            <w:tcW w:w="2210" w:type="dxa"/>
            <w:tcBorders>
              <w:top w:val="single" w:color="auto" w:sz="4" w:space="0"/>
              <w:bottom w:val="single" w:color="auto" w:sz="4" w:space="0"/>
              <w:right w:val="single" w:color="auto" w:sz="4" w:space="0"/>
            </w:tcBorders>
            <w:noWrap w:val="0"/>
            <w:vAlign w:val="center"/>
          </w:tcPr>
          <w:p w14:paraId="499AD4E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462FCCA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D00D2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exact"/>
        </w:trPr>
        <w:tc>
          <w:tcPr>
            <w:tcW w:w="2210" w:type="dxa"/>
            <w:tcBorders>
              <w:top w:val="single" w:color="auto" w:sz="4" w:space="0"/>
              <w:bottom w:val="single" w:color="auto" w:sz="4" w:space="0"/>
              <w:right w:val="single" w:color="auto" w:sz="4" w:space="0"/>
            </w:tcBorders>
            <w:noWrap w:val="0"/>
            <w:vAlign w:val="center"/>
          </w:tcPr>
          <w:p w14:paraId="49246E2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1B9DB8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83C9F0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14:paraId="512702C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2F3B9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exact"/>
        </w:trPr>
        <w:tc>
          <w:tcPr>
            <w:tcW w:w="2210" w:type="dxa"/>
            <w:tcBorders>
              <w:top w:val="single" w:color="auto" w:sz="4" w:space="0"/>
              <w:bottom w:val="single" w:color="auto" w:sz="4" w:space="0"/>
              <w:right w:val="single" w:color="auto" w:sz="4" w:space="0"/>
            </w:tcBorders>
            <w:noWrap w:val="0"/>
            <w:vAlign w:val="center"/>
          </w:tcPr>
          <w:p w14:paraId="79BFF2A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6CB15C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254D31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exact"/>
        </w:trPr>
        <w:tc>
          <w:tcPr>
            <w:tcW w:w="2210" w:type="dxa"/>
            <w:tcBorders>
              <w:top w:val="single" w:color="auto" w:sz="4" w:space="0"/>
              <w:bottom w:val="single" w:color="auto" w:sz="4" w:space="0"/>
              <w:right w:val="single" w:color="auto" w:sz="4" w:space="0"/>
            </w:tcBorders>
            <w:noWrap w:val="0"/>
            <w:vAlign w:val="center"/>
          </w:tcPr>
          <w:p w14:paraId="289694A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130E72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3C1F02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14:paraId="5FCB5A5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557BF9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exact"/>
        </w:trPr>
        <w:tc>
          <w:tcPr>
            <w:tcW w:w="2210" w:type="dxa"/>
            <w:vMerge w:val="restart"/>
            <w:tcBorders>
              <w:top w:val="single" w:color="auto" w:sz="4" w:space="0"/>
              <w:bottom w:val="single" w:color="auto" w:sz="4" w:space="0"/>
              <w:right w:val="single" w:color="auto" w:sz="4" w:space="0"/>
            </w:tcBorders>
            <w:noWrap w:val="0"/>
            <w:vAlign w:val="center"/>
          </w:tcPr>
          <w:p w14:paraId="51B06C7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2410C60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5D9A70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F6DA0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25ABA7C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21EF3D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33BBAA76">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18BAD64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36F9CD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FCF6AE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14:paraId="2D5586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440512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72C69D4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013E9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77F95E4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5C9DF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F408C1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64382A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588B47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exact"/>
        </w:trPr>
        <w:tc>
          <w:tcPr>
            <w:tcW w:w="2210" w:type="dxa"/>
            <w:tcBorders>
              <w:top w:val="single" w:color="auto" w:sz="4" w:space="0"/>
              <w:bottom w:val="single" w:color="auto" w:sz="4" w:space="0"/>
              <w:right w:val="single" w:color="auto" w:sz="4" w:space="0"/>
            </w:tcBorders>
            <w:noWrap w:val="0"/>
            <w:vAlign w:val="center"/>
          </w:tcPr>
          <w:p w14:paraId="2DFAABE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64DD69CA">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14:paraId="2F9723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exact"/>
        </w:trPr>
        <w:tc>
          <w:tcPr>
            <w:tcW w:w="2210" w:type="dxa"/>
            <w:tcBorders>
              <w:top w:val="single" w:color="auto" w:sz="4" w:space="0"/>
              <w:bottom w:val="single" w:color="auto" w:sz="4" w:space="0"/>
              <w:right w:val="single" w:color="auto" w:sz="4" w:space="0"/>
            </w:tcBorders>
            <w:noWrap w:val="0"/>
            <w:vAlign w:val="center"/>
          </w:tcPr>
          <w:p w14:paraId="299FFD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0FEEF8E1">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246F56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exact"/>
        </w:trPr>
        <w:tc>
          <w:tcPr>
            <w:tcW w:w="2210" w:type="dxa"/>
            <w:tcBorders>
              <w:top w:val="single" w:color="auto" w:sz="4" w:space="0"/>
              <w:right w:val="single" w:color="auto" w:sz="4" w:space="0"/>
            </w:tcBorders>
            <w:noWrap w:val="0"/>
            <w:vAlign w:val="center"/>
          </w:tcPr>
          <w:p w14:paraId="15B564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389C9F5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B949F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 w:hRule="exact"/>
        </w:trPr>
        <w:tc>
          <w:tcPr>
            <w:tcW w:w="2210" w:type="dxa"/>
            <w:tcBorders>
              <w:top w:val="single" w:color="auto" w:sz="4" w:space="0"/>
              <w:right w:val="single" w:color="auto" w:sz="4" w:space="0"/>
            </w:tcBorders>
            <w:noWrap w:val="0"/>
            <w:vAlign w:val="center"/>
          </w:tcPr>
          <w:p w14:paraId="1E0938A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6A24F37B">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695F05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6" w:hRule="exact"/>
        </w:trPr>
        <w:tc>
          <w:tcPr>
            <w:tcW w:w="2210" w:type="dxa"/>
            <w:tcBorders>
              <w:top w:val="single" w:color="auto" w:sz="4" w:space="0"/>
              <w:right w:val="single" w:color="auto" w:sz="4" w:space="0"/>
            </w:tcBorders>
            <w:noWrap w:val="0"/>
            <w:vAlign w:val="center"/>
          </w:tcPr>
          <w:p w14:paraId="17FFD5B3">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14:paraId="794896A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10AD5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4" w:hRule="exact"/>
        </w:trPr>
        <w:tc>
          <w:tcPr>
            <w:tcW w:w="2210" w:type="dxa"/>
            <w:tcBorders>
              <w:top w:val="single" w:color="auto" w:sz="4" w:space="0"/>
              <w:right w:val="single" w:color="auto" w:sz="4" w:space="0"/>
            </w:tcBorders>
            <w:noWrap w:val="0"/>
            <w:vAlign w:val="center"/>
          </w:tcPr>
          <w:p w14:paraId="5224EA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7B8F36A8">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555EC8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329AE39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50F38B1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2B095072">
      <w:pPr>
        <w:spacing w:line="360" w:lineRule="auto"/>
        <w:rPr>
          <w:rFonts w:hint="eastAsia" w:ascii="宋体" w:hAnsi="宋体" w:eastAsia="宋体" w:cs="宋体"/>
          <w:color w:val="auto"/>
          <w:sz w:val="24"/>
          <w:szCs w:val="24"/>
        </w:rPr>
      </w:pPr>
    </w:p>
    <w:p w14:paraId="62688FE2">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14:paraId="1C4AB003">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69E8F3BC">
      <w:pPr>
        <w:rPr>
          <w:b/>
          <w:color w:val="auto"/>
          <w:sz w:val="28"/>
          <w:szCs w:val="28"/>
        </w:rPr>
      </w:pPr>
      <w:r>
        <w:rPr>
          <w:rFonts w:hint="eastAsia" w:ascii="宋体" w:hAnsi="宋体" w:eastAsia="宋体" w:cs="宋体"/>
          <w:color w:val="auto"/>
          <w:sz w:val="24"/>
          <w:szCs w:val="24"/>
        </w:rPr>
        <w:br w:type="page"/>
      </w:r>
    </w:p>
    <w:p w14:paraId="036979B9">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711B5285">
      <w:pPr>
        <w:spacing w:line="440" w:lineRule="exact"/>
        <w:ind w:firstLine="643" w:firstLineChars="200"/>
        <w:jc w:val="left"/>
        <w:rPr>
          <w:rFonts w:hint="eastAsia" w:ascii="仿宋" w:hAnsi="仿宋" w:eastAsia="仿宋" w:cs="仿宋"/>
          <w:b/>
          <w:color w:val="auto"/>
          <w:sz w:val="32"/>
          <w:szCs w:val="32"/>
          <w:u w:val="single"/>
        </w:rPr>
      </w:pPr>
    </w:p>
    <w:p w14:paraId="742633E9">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5D976654">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08715BD4">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5FAFD508">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4DDC42E8">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238FF8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233933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00201A5D">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1F7A2150">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7C2678BE">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368C1752">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0BBA0A61">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FB46995">
      <w:pPr>
        <w:pStyle w:val="3"/>
        <w:ind w:firstLine="103"/>
        <w:rPr>
          <w:rFonts w:ascii="Times New Roman"/>
          <w:color w:val="auto"/>
          <w:sz w:val="32"/>
          <w:szCs w:val="32"/>
        </w:rPr>
      </w:pPr>
      <w:bookmarkStart w:id="204" w:name="_Toc19475"/>
      <w:bookmarkStart w:id="205"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bookmarkEnd w:id="204"/>
      <w:bookmarkEnd w:id="205"/>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3AA7A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1F9A5E1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6DF10EDF">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22329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29DB31F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05149BE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4D4C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265D697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00EB89BE">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23A60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078DD0E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17312B57">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21DE8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01DF7D8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0754D6F7">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3E8E9F33">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E095EAF">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094BFEB">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0F9208C">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B6F683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E4DEDFB">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48C0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5CFE84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5C16BE3F">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0B636F99">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7368FE98">
      <w:pPr>
        <w:spacing w:line="440" w:lineRule="exact"/>
        <w:ind w:firstLine="480" w:firstLineChars="200"/>
        <w:rPr>
          <w:color w:val="auto"/>
          <w:sz w:val="24"/>
          <w:szCs w:val="24"/>
        </w:rPr>
      </w:pPr>
    </w:p>
    <w:p w14:paraId="74B1DBD7">
      <w:pPr>
        <w:spacing w:line="440" w:lineRule="exact"/>
        <w:rPr>
          <w:rFonts w:ascii="Times New Roman" w:hAnsi="Times New Roman"/>
          <w:color w:val="auto"/>
        </w:rPr>
      </w:pPr>
    </w:p>
    <w:p w14:paraId="3ECC68DF">
      <w:pPr>
        <w:spacing w:line="440" w:lineRule="exact"/>
        <w:rPr>
          <w:rFonts w:ascii="Times New Roman" w:hAnsi="Times New Roman"/>
          <w:color w:val="auto"/>
        </w:rPr>
      </w:pPr>
    </w:p>
    <w:p w14:paraId="227D3C27">
      <w:pPr>
        <w:topLinePunct/>
        <w:spacing w:line="440" w:lineRule="exact"/>
        <w:rPr>
          <w:rFonts w:ascii="Times New Roman" w:hAnsi="Times New Roman"/>
          <w:color w:val="auto"/>
        </w:rPr>
      </w:pPr>
      <w:r>
        <w:rPr>
          <w:rFonts w:ascii="Times New Roman" w:hAnsi="Times New Roman"/>
          <w:color w:val="auto"/>
        </w:rPr>
        <w:br w:type="page"/>
      </w:r>
    </w:p>
    <w:p w14:paraId="643AA2C3">
      <w:pPr>
        <w:spacing w:line="440" w:lineRule="exact"/>
        <w:rPr>
          <w:rFonts w:ascii="Times New Roman"/>
          <w:b/>
          <w:bCs/>
          <w:color w:val="auto"/>
          <w:sz w:val="32"/>
          <w:szCs w:val="32"/>
        </w:rPr>
      </w:pPr>
      <w:bookmarkStart w:id="206" w:name="_Toc14234"/>
      <w:bookmarkStart w:id="207" w:name="_Toc504488780"/>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6"/>
      <w:bookmarkEnd w:id="207"/>
    </w:p>
    <w:p w14:paraId="2ACAA9F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081E5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14:paraId="3BFC05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14:paraId="4C654E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r>
        <w:rPr>
          <w:rFonts w:hint="eastAsia" w:ascii="仿宋" w:hAnsi="仿宋" w:eastAsia="仿宋" w:cs="仿宋"/>
          <w:color w:val="auto"/>
          <w:sz w:val="32"/>
          <w:szCs w:val="32"/>
          <w:lang w:eastAsia="zh-CN"/>
        </w:rPr>
        <w:t>。</w:t>
      </w:r>
    </w:p>
    <w:p w14:paraId="0289E25D">
      <w:pPr>
        <w:spacing w:line="440" w:lineRule="exact"/>
        <w:rPr>
          <w:rFonts w:hint="eastAsia" w:ascii="Times New Roman"/>
          <w:b/>
          <w:bCs/>
          <w:color w:val="auto"/>
          <w:sz w:val="32"/>
          <w:szCs w:val="32"/>
        </w:rPr>
      </w:pPr>
    </w:p>
    <w:p w14:paraId="55D6661A">
      <w:pPr>
        <w:spacing w:line="440" w:lineRule="exact"/>
        <w:rPr>
          <w:rFonts w:hint="default" w:ascii="Times New Roman" w:eastAsiaTheme="minorEastAsia"/>
          <w:b/>
          <w:bCs/>
          <w:color w:val="auto"/>
          <w:sz w:val="32"/>
          <w:szCs w:val="32"/>
          <w:lang w:val="en-US" w:eastAsia="zh-CN"/>
        </w:rPr>
      </w:pPr>
      <w:r>
        <w:rPr>
          <w:rFonts w:hint="eastAsia" w:ascii="Times New Roman"/>
          <w:b/>
          <w:bCs/>
          <w:color w:val="auto"/>
          <w:sz w:val="32"/>
          <w:szCs w:val="32"/>
        </w:rPr>
        <w:t>（</w:t>
      </w:r>
      <w:r>
        <w:rPr>
          <w:rFonts w:hint="eastAsia" w:ascii="Times New Roman"/>
          <w:b/>
          <w:bCs/>
          <w:color w:val="auto"/>
          <w:sz w:val="32"/>
          <w:szCs w:val="32"/>
          <w:lang w:val="en-US" w:eastAsia="zh-CN"/>
        </w:rPr>
        <w:t>四</w:t>
      </w:r>
      <w:r>
        <w:rPr>
          <w:rFonts w:hint="eastAsia" w:ascii="Times New Roman"/>
          <w:b/>
          <w:bCs/>
          <w:color w:val="auto"/>
          <w:sz w:val="32"/>
          <w:szCs w:val="32"/>
        </w:rPr>
        <w:t>）</w:t>
      </w:r>
      <w:r>
        <w:rPr>
          <w:rFonts w:hint="eastAsia" w:ascii="Times New Roman"/>
          <w:b/>
          <w:bCs/>
          <w:color w:val="auto"/>
          <w:sz w:val="32"/>
          <w:szCs w:val="32"/>
          <w:lang w:val="en-US" w:eastAsia="zh-CN"/>
        </w:rPr>
        <w:t>投标方案及产品检验报告</w:t>
      </w:r>
    </w:p>
    <w:p w14:paraId="68081DC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8E719DA">
      <w:pPr>
        <w:spacing w:line="440" w:lineRule="exact"/>
        <w:rPr>
          <w:rFonts w:hint="default" w:ascii="Times New Roman" w:eastAsiaTheme="minorEastAsia"/>
          <w:b/>
          <w:bCs/>
          <w:color w:val="auto"/>
          <w:sz w:val="32"/>
          <w:szCs w:val="32"/>
          <w:lang w:val="en-US" w:eastAsia="zh-CN"/>
        </w:rPr>
      </w:pPr>
      <w:r>
        <w:rPr>
          <w:rFonts w:hint="eastAsia" w:ascii="Times New Roman"/>
          <w:b/>
          <w:bCs/>
          <w:color w:val="auto"/>
          <w:sz w:val="32"/>
          <w:szCs w:val="32"/>
        </w:rPr>
        <w:t>（</w:t>
      </w:r>
      <w:r>
        <w:rPr>
          <w:rFonts w:hint="eastAsia" w:ascii="Times New Roman"/>
          <w:b/>
          <w:bCs/>
          <w:color w:val="auto"/>
          <w:sz w:val="32"/>
          <w:szCs w:val="32"/>
          <w:lang w:val="en-US" w:eastAsia="zh-CN"/>
        </w:rPr>
        <w:t>五</w:t>
      </w:r>
      <w:r>
        <w:rPr>
          <w:rFonts w:hint="eastAsia" w:ascii="Times New Roman"/>
          <w:b/>
          <w:bCs/>
          <w:color w:val="auto"/>
          <w:sz w:val="32"/>
          <w:szCs w:val="32"/>
        </w:rPr>
        <w:t>）</w:t>
      </w:r>
      <w:r>
        <w:rPr>
          <w:rFonts w:hint="eastAsia" w:ascii="Times New Roman"/>
          <w:b/>
          <w:bCs/>
          <w:color w:val="auto"/>
          <w:sz w:val="32"/>
          <w:szCs w:val="32"/>
          <w:lang w:val="en-US" w:eastAsia="zh-CN"/>
        </w:rPr>
        <w:t>其他资料</w:t>
      </w:r>
    </w:p>
    <w:p w14:paraId="682402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注</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lang w:val="en-US" w:eastAsia="zh-CN"/>
        </w:rPr>
        <w:t>自行提供认为需要提供的其他业务资料。</w:t>
      </w:r>
    </w:p>
    <w:p w14:paraId="4EBA7037">
      <w:pPr>
        <w:rPr>
          <w:rFonts w:hint="eastAsia"/>
          <w:lang w:val="en-US" w:eastAsia="zh-CN"/>
        </w:rPr>
      </w:pPr>
    </w:p>
    <w:p w14:paraId="637337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p>
    <w:p w14:paraId="2504DA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lang w:eastAsia="zh-CN"/>
        </w:rPr>
      </w:pPr>
    </w:p>
    <w:p w14:paraId="54964F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lang w:eastAsia="zh-CN"/>
        </w:rPr>
      </w:pPr>
    </w:p>
    <w:p w14:paraId="1FC08F35">
      <w:pPr>
        <w:rPr>
          <w:rFonts w:hint="eastAsia" w:ascii="Times New Roman" w:hAnsi="Times New Roman"/>
          <w:color w:val="auto"/>
        </w:rPr>
      </w:pPr>
    </w:p>
    <w:p w14:paraId="1F273EC4">
      <w:pPr>
        <w:pStyle w:val="2"/>
        <w:spacing w:line="400" w:lineRule="exact"/>
        <w:jc w:val="both"/>
        <w:rPr>
          <w:rFonts w:hint="eastAsia" w:ascii="仿宋" w:hAnsi="仿宋" w:eastAsia="仿宋" w:cs="仿宋"/>
          <w:color w:val="auto"/>
          <w:sz w:val="32"/>
          <w:szCs w:val="32"/>
          <w:lang w:val="en-US" w:eastAsia="zh-CN"/>
        </w:rPr>
      </w:pPr>
      <w:bookmarkStart w:id="208" w:name="_Toc504488783"/>
      <w:bookmarkStart w:id="209" w:name="_Toc22199"/>
    </w:p>
    <w:p w14:paraId="335F926D">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208"/>
    <w:bookmarkEnd w:id="209"/>
    <w:p w14:paraId="6A080961">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6B64FECE">
      <w:pPr>
        <w:rPr>
          <w:rFonts w:hint="eastAsia" w:ascii="Times New Roman" w:hAnsi="Times New Roman" w:eastAsia="黑体" w:cs="Times New Roman"/>
          <w:b/>
          <w:color w:val="auto"/>
          <w:kern w:val="2"/>
          <w:sz w:val="32"/>
          <w:szCs w:val="20"/>
          <w:lang w:val="en-US" w:eastAsia="zh-CN" w:bidi="ar-SA"/>
        </w:rPr>
      </w:pPr>
    </w:p>
    <w:p w14:paraId="77796158">
      <w:pPr>
        <w:jc w:val="center"/>
        <w:rPr>
          <w:color w:val="auto"/>
        </w:rPr>
      </w:pPr>
    </w:p>
    <w:p w14:paraId="18672AD7">
      <w:pPr>
        <w:rPr>
          <w:color w:val="auto"/>
        </w:rPr>
      </w:pPr>
    </w:p>
    <w:p w14:paraId="4101B4EB">
      <w:pPr>
        <w:pStyle w:val="8"/>
        <w:keepNext w:val="0"/>
        <w:keepLines w:val="0"/>
        <w:widowControl/>
        <w:suppressLineNumbers w:val="0"/>
        <w:spacing w:before="0" w:beforeAutospacing="0" w:after="0" w:afterAutospacing="0" w:line="405" w:lineRule="atLeast"/>
        <w:ind w:left="0" w:firstLine="0"/>
        <w:jc w:val="center"/>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6AD5C77A">
      <w:pPr>
        <w:pStyle w:val="8"/>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Fonts w:hint="eastAsia" w:ascii="仿宋" w:hAnsi="仿宋" w:eastAsia="仿宋" w:cs="仿宋"/>
          <w:i w:val="0"/>
          <w:iCs w:val="0"/>
          <w:caps w:val="0"/>
          <w:color w:val="000000"/>
          <w:spacing w:val="0"/>
          <w:sz w:val="28"/>
          <w:szCs w:val="28"/>
        </w:rPr>
        <w:t>                                         </w:t>
      </w:r>
      <w:r>
        <w:rPr>
          <w:rFonts w:hint="eastAsia" w:ascii="宋体" w:hAnsi="宋体" w:eastAsia="宋体" w:cs="宋体"/>
          <w:i w:val="0"/>
          <w:iCs w:val="0"/>
          <w:caps w:val="0"/>
          <w:color w:val="000000"/>
          <w:spacing w:val="0"/>
          <w:sz w:val="32"/>
          <w:szCs w:val="32"/>
        </w:rPr>
        <w:t> </w:t>
      </w:r>
    </w:p>
    <w:p w14:paraId="394B9728">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宋体" w:hAnsi="宋体" w:eastAsia="宋体" w:cs="宋体"/>
          <w:i w:val="0"/>
          <w:iCs w:val="0"/>
          <w:caps w:val="0"/>
          <w:color w:val="000000"/>
          <w:spacing w:val="0"/>
          <w:sz w:val="32"/>
          <w:szCs w:val="32"/>
          <w:lang w:val="en-US" w:eastAsia="zh-CN"/>
        </w:rPr>
        <w:t xml:space="preserve">                  </w:t>
      </w:r>
    </w:p>
    <w:p w14:paraId="4D415442">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p>
    <w:p w14:paraId="186BEF58"/>
    <w:p w14:paraId="0071B931"/>
    <w:p w14:paraId="59A8B755"/>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粗黑宋简体">
    <w:altName w:val="宋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7BE3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656445">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656445">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3C475">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mOTZiODQzYWJiMjZmMWQzZGNhNWY0NzQyMjUwYzQifQ=="/>
  </w:docVars>
  <w:rsids>
    <w:rsidRoot w:val="2AD623A7"/>
    <w:rsid w:val="00F40E07"/>
    <w:rsid w:val="00FD090E"/>
    <w:rsid w:val="0B320EC2"/>
    <w:rsid w:val="12133CE8"/>
    <w:rsid w:val="23C8359B"/>
    <w:rsid w:val="2AD623A7"/>
    <w:rsid w:val="2D0E35F3"/>
    <w:rsid w:val="386C05D9"/>
    <w:rsid w:val="3B9737EE"/>
    <w:rsid w:val="3DB1212A"/>
    <w:rsid w:val="3DBF7DC4"/>
    <w:rsid w:val="5913218D"/>
    <w:rsid w:val="72F60C69"/>
    <w:rsid w:val="7B787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2" w:lineRule="auto"/>
      <w:outlineLvl w:val="1"/>
    </w:pPr>
    <w:rPr>
      <w:rFonts w:ascii="Arial" w:hAnsi="Arial" w:eastAsia="黑体" w:cs="Times New Roman"/>
      <w:b/>
      <w:sz w:val="32"/>
      <w:szCs w:val="20"/>
    </w:rPr>
  </w:style>
  <w:style w:type="paragraph" w:styleId="3">
    <w:name w:val="heading 3"/>
    <w:basedOn w:val="1"/>
    <w:next w:val="1"/>
    <w:autoRedefine/>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0">
    <w:name w:val="Default Paragraph Font"/>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5">
    <w:name w:val="Body Text Indent"/>
    <w:basedOn w:val="1"/>
    <w:autoRedefine/>
    <w:qFormat/>
    <w:uiPriority w:val="0"/>
    <w:pPr>
      <w:spacing w:after="120"/>
      <w:ind w:left="420" w:leftChars="200"/>
    </w:pPr>
    <w:rPr>
      <w:rFonts w:ascii="Times New Roman" w:hAnsi="Times New Roman" w:eastAsia="宋体" w:cs="Times New Roman"/>
    </w:rPr>
  </w:style>
  <w:style w:type="paragraph" w:styleId="6">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autoRedefine/>
    <w:qFormat/>
    <w:uiPriority w:val="0"/>
    <w:rPr>
      <w:b/>
    </w:rPr>
  </w:style>
  <w:style w:type="character" w:styleId="12">
    <w:name w:val="Hyperlink"/>
    <w:basedOn w:val="10"/>
    <w:autoRedefine/>
    <w:qFormat/>
    <w:uiPriority w:val="0"/>
    <w:rPr>
      <w:color w:val="0000FF"/>
      <w:u w:val="single"/>
    </w:rPr>
  </w:style>
  <w:style w:type="paragraph" w:customStyle="1" w:styleId="13">
    <w:name w:val="Normal_8"/>
    <w:autoRedefine/>
    <w:qFormat/>
    <w:uiPriority w:val="0"/>
    <w:pPr>
      <w:spacing w:before="120" w:after="240"/>
      <w:jc w:val="both"/>
    </w:pPr>
    <w:rPr>
      <w:rFonts w:ascii="等线" w:hAnsi="等线" w:eastAsia="等线" w:cs="Times New Roman"/>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7522</Words>
  <Characters>7734</Characters>
  <Lines>0</Lines>
  <Paragraphs>0</Paragraphs>
  <TotalTime>3</TotalTime>
  <ScaleCrop>false</ScaleCrop>
  <LinksUpToDate>false</LinksUpToDate>
  <CharactersWithSpaces>8227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2025-05-30T03:19:00Z</dcterms:created>
  <dc:creator>瞬间无语</dc:creator>
  <cp:lastModifiedBy>瞬间无语</cp:lastModifiedBy>
  <cp:lastPrinted>2026-06-11T05:58:00Z</cp:lastPrinted>
  <dcterms:modified xsi:type="dcterms:W3CDTF">2026-06-17T03:07:55Z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F731473E72A142979447C6896CC703C0_11</vt:lpwstr>
  </property>
  <property fmtid="{D5CDD505-2E9C-101B-9397-08002B2CF9AE}" pid="4" name="KSOTemplateDocerSaveRecord">
    <vt:lpwstr>eyJoZGlkIjoiYzJmOTZiODQzYWJiMjZmMWQzZGNhNWY0NzQyMjUwYzQiLCJ1c2VySWQiOiI1MjE0ODc1ODYifQ==</vt:lpwstr>
  </property>
</Properties>
</file>