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4AD4">
      <w:pPr>
        <w:spacing w:line="400" w:lineRule="exact"/>
        <w:rPr>
          <w:rFonts w:hint="default" w:ascii="Times New Roman" w:hAnsi="Times New Roman" w:eastAsia="黑体"/>
          <w:color w:val="auto"/>
          <w:highlight w:val="none"/>
          <w:lang w:val="en-US" w:eastAsia="zh-CN"/>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XB20260630-01</w:t>
      </w:r>
    </w:p>
    <w:p w14:paraId="343794A4">
      <w:pPr>
        <w:spacing w:line="400" w:lineRule="exact"/>
        <w:rPr>
          <w:rFonts w:ascii="Times New Roman" w:hAnsi="Times New Roman"/>
          <w:color w:val="auto"/>
        </w:rPr>
      </w:pP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0A798F32">
      <w:pPr>
        <w:spacing w:line="360" w:lineRule="auto"/>
        <w:jc w:val="center"/>
        <w:rPr>
          <w:rFonts w:hint="eastAsia" w:ascii="Times New Roman" w:hAnsi="Times New Roman" w:eastAsia="黑体"/>
          <w:color w:val="auto"/>
          <w:sz w:val="44"/>
          <w:szCs w:val="44"/>
          <w:highlight w:val="none"/>
          <w:lang w:val="en-US" w:eastAsia="zh-CN"/>
        </w:rPr>
      </w:pPr>
      <w:r>
        <w:rPr>
          <w:rFonts w:hint="eastAsia" w:ascii="Times New Roman" w:hAnsi="Times New Roman" w:eastAsia="黑体"/>
          <w:color w:val="auto"/>
          <w:sz w:val="44"/>
          <w:szCs w:val="44"/>
          <w:highlight w:val="none"/>
          <w:lang w:val="en-US" w:eastAsia="zh-CN"/>
        </w:rPr>
        <w:t>2026年6月小型装载机采购项目</w:t>
      </w:r>
    </w:p>
    <w:p w14:paraId="5F5A5715">
      <w:pPr>
        <w:spacing w:line="360" w:lineRule="auto"/>
        <w:jc w:val="center"/>
        <w:rPr>
          <w:rFonts w:hint="eastAsia" w:ascii="Times New Roman" w:hAnsi="Times New Roman" w:eastAsia="黑体"/>
          <w:color w:val="auto"/>
          <w:sz w:val="44"/>
          <w:lang w:eastAsia="zh-CN"/>
        </w:rPr>
      </w:pPr>
      <w:r>
        <w:rPr>
          <w:rFonts w:hint="eastAsia" w:ascii="Times New Roman" w:hAnsi="Times New Roman" w:eastAsia="黑体"/>
          <w:color w:val="auto"/>
          <w:sz w:val="44"/>
          <w:lang w:val="en-US" w:eastAsia="zh-CN"/>
        </w:rPr>
        <w:t>二次</w:t>
      </w:r>
      <w:r>
        <w:rPr>
          <w:rFonts w:hint="eastAsia" w:ascii="Times New Roman" w:hAnsi="Times New Roman" w:eastAsia="黑体"/>
          <w:color w:val="auto"/>
          <w:sz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8131B00">
      <w:pPr>
        <w:spacing w:line="360" w:lineRule="auto"/>
        <w:ind w:firstLine="2520" w:firstLineChars="700"/>
        <w:rPr>
          <w:rFonts w:hint="eastAsia" w:ascii="Times New Roman" w:hAnsi="Times New Roman" w:eastAsia="黑体"/>
          <w:color w:val="auto"/>
          <w:sz w:val="36"/>
          <w:szCs w:val="36"/>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49EEC711">
      <w:pPr>
        <w:spacing w:line="360" w:lineRule="auto"/>
        <w:ind w:firstLine="1800" w:firstLineChars="500"/>
        <w:rPr>
          <w:rFonts w:hint="default" w:ascii="Times New Roman" w:hAnsi="Times New Roman" w:eastAsia="黑体"/>
          <w:color w:val="auto"/>
          <w:sz w:val="36"/>
          <w:szCs w:val="36"/>
          <w:lang w:val="en-US" w:eastAsia="zh-CN"/>
        </w:rPr>
      </w:pPr>
    </w:p>
    <w:p w14:paraId="121F61A9">
      <w:pPr>
        <w:spacing w:line="360" w:lineRule="auto"/>
        <w:ind w:firstLine="5760" w:firstLineChars="1800"/>
        <w:jc w:val="both"/>
        <w:rPr>
          <w:rFonts w:hint="eastAsia" w:ascii="Times New Roman" w:hAnsi="Times New Roman" w:eastAsia="黑体"/>
          <w:color w:val="auto"/>
          <w:sz w:val="32"/>
          <w:szCs w:val="32"/>
        </w:rPr>
      </w:pPr>
    </w:p>
    <w:p w14:paraId="3E1B5BCD">
      <w:pPr>
        <w:spacing w:line="360" w:lineRule="auto"/>
        <w:ind w:firstLine="5760" w:firstLineChars="1800"/>
        <w:jc w:val="both"/>
        <w:rPr>
          <w:rFonts w:hint="eastAsia" w:ascii="Times New Roman" w:hAnsi="Times New Roman" w:eastAsia="黑体"/>
          <w:color w:val="auto"/>
          <w:sz w:val="32"/>
          <w:szCs w:val="32"/>
        </w:rPr>
      </w:pPr>
    </w:p>
    <w:p w14:paraId="19563DE9">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七月六日</w:t>
      </w:r>
    </w:p>
    <w:p w14:paraId="61F4A9A3">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宋体" w:hAnsi="宋体" w:eastAsia="宋体" w:cs="宋体"/>
          <w:b/>
          <w:bCs w:val="0"/>
          <w:i w:val="0"/>
          <w:iCs w:val="0"/>
          <w:caps w:val="0"/>
          <w:color w:val="000000"/>
          <w:spacing w:val="0"/>
          <w:sz w:val="36"/>
          <w:szCs w:val="36"/>
        </w:rPr>
      </w:pPr>
      <w:r>
        <w:rPr>
          <w:rStyle w:val="12"/>
          <w:rFonts w:hint="eastAsia" w:ascii="宋体" w:hAnsi="宋体" w:eastAsia="宋体" w:cs="宋体"/>
          <w:b/>
          <w:bCs w:val="0"/>
          <w:i w:val="0"/>
          <w:iCs w:val="0"/>
          <w:caps w:val="0"/>
          <w:color w:val="000000"/>
          <w:spacing w:val="0"/>
          <w:sz w:val="36"/>
          <w:szCs w:val="36"/>
        </w:rPr>
        <w:t>陕西锌业有限公司</w:t>
      </w:r>
    </w:p>
    <w:p w14:paraId="2F6BAFA1">
      <w:pPr>
        <w:pStyle w:val="8"/>
        <w:keepNext w:val="0"/>
        <w:keepLines w:val="0"/>
        <w:widowControl/>
        <w:suppressLineNumbers w:val="0"/>
        <w:spacing w:before="0" w:beforeAutospacing="0" w:after="0" w:afterAutospacing="0" w:line="405" w:lineRule="atLeast"/>
        <w:ind w:left="0" w:firstLine="0"/>
        <w:jc w:val="center"/>
        <w:rPr>
          <w:rStyle w:val="12"/>
          <w:rFonts w:hint="eastAsia" w:ascii="宋体" w:hAnsi="宋体" w:eastAsia="宋体" w:cs="宋体"/>
          <w:b/>
          <w:bCs w:val="0"/>
          <w:i w:val="0"/>
          <w:iCs w:val="0"/>
          <w:caps w:val="0"/>
          <w:color w:val="000000"/>
          <w:spacing w:val="0"/>
          <w:sz w:val="36"/>
          <w:szCs w:val="36"/>
          <w:lang w:val="en-US" w:eastAsia="zh-CN"/>
        </w:rPr>
      </w:pPr>
      <w:r>
        <w:rPr>
          <w:rStyle w:val="12"/>
          <w:rFonts w:hint="eastAsia" w:ascii="宋体" w:hAnsi="宋体" w:eastAsia="宋体" w:cs="宋体"/>
          <w:b/>
          <w:bCs w:val="0"/>
          <w:i w:val="0"/>
          <w:iCs w:val="0"/>
          <w:caps w:val="0"/>
          <w:color w:val="000000"/>
          <w:spacing w:val="0"/>
          <w:sz w:val="36"/>
          <w:szCs w:val="36"/>
          <w:lang w:val="en-US" w:eastAsia="zh-CN"/>
        </w:rPr>
        <w:t>2026年6月小型装载机采购项目</w:t>
      </w:r>
    </w:p>
    <w:p w14:paraId="4295D6B9">
      <w:pPr>
        <w:pStyle w:val="8"/>
        <w:keepNext w:val="0"/>
        <w:keepLines w:val="0"/>
        <w:widowControl/>
        <w:suppressLineNumbers w:val="0"/>
        <w:spacing w:before="0" w:beforeAutospacing="0" w:after="0" w:afterAutospacing="0" w:line="405" w:lineRule="atLeast"/>
        <w:ind w:left="0" w:firstLine="0"/>
        <w:jc w:val="center"/>
        <w:rPr>
          <w:rFonts w:hint="eastAsia" w:ascii="宋体" w:hAnsi="宋体" w:eastAsia="宋体" w:cs="宋体"/>
          <w:i w:val="0"/>
          <w:iCs w:val="0"/>
          <w:caps w:val="0"/>
          <w:color w:val="000000"/>
          <w:spacing w:val="0"/>
          <w:sz w:val="32"/>
          <w:szCs w:val="32"/>
        </w:rPr>
      </w:pPr>
      <w:r>
        <w:rPr>
          <w:rStyle w:val="12"/>
          <w:rFonts w:hint="eastAsia" w:ascii="宋体" w:hAnsi="宋体" w:eastAsia="宋体" w:cs="宋体"/>
          <w:b/>
          <w:bCs w:val="0"/>
          <w:i w:val="0"/>
          <w:iCs w:val="0"/>
          <w:caps w:val="0"/>
          <w:color w:val="000000"/>
          <w:spacing w:val="0"/>
          <w:sz w:val="36"/>
          <w:szCs w:val="36"/>
          <w:lang w:val="en-US" w:eastAsia="zh-CN"/>
        </w:rPr>
        <w:t>二次</w:t>
      </w:r>
      <w:r>
        <w:rPr>
          <w:rStyle w:val="12"/>
          <w:rFonts w:hint="eastAsia" w:ascii="宋体" w:hAnsi="宋体" w:eastAsia="宋体" w:cs="宋体"/>
          <w:b/>
          <w:bCs w:val="0"/>
          <w:i w:val="0"/>
          <w:iCs w:val="0"/>
          <w:caps w:val="0"/>
          <w:color w:val="000000"/>
          <w:spacing w:val="0"/>
          <w:sz w:val="36"/>
          <w:szCs w:val="36"/>
        </w:rPr>
        <w:t>询比采购</w:t>
      </w:r>
      <w:r>
        <w:rPr>
          <w:rStyle w:val="12"/>
          <w:rFonts w:hint="eastAsia" w:ascii="宋体" w:hAnsi="宋体" w:eastAsia="宋体" w:cs="宋体"/>
          <w:b/>
          <w:bCs w:val="0"/>
          <w:i w:val="0"/>
          <w:iCs w:val="0"/>
          <w:caps w:val="0"/>
          <w:color w:val="000000"/>
          <w:spacing w:val="0"/>
          <w:sz w:val="36"/>
          <w:szCs w:val="36"/>
          <w:lang w:val="en-US" w:eastAsia="zh-CN"/>
        </w:rPr>
        <w:t>邀请函</w:t>
      </w: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仿宋" w:hAnsi="仿宋" w:eastAsia="仿宋" w:cs="仿宋"/>
          <w:b/>
          <w:bCs/>
          <w:i w:val="0"/>
          <w:iCs w:val="0"/>
          <w:caps w:val="0"/>
          <w:color w:val="000000"/>
          <w:spacing w:val="0"/>
          <w:sz w:val="32"/>
          <w:szCs w:val="32"/>
          <w:lang w:val="en-US" w:eastAsia="zh-CN"/>
        </w:rPr>
        <w:t>小型装载机一台</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14440"/>
      <w:bookmarkStart w:id="1" w:name="_Toc20230"/>
      <w:bookmarkStart w:id="2" w:name="_Toc33795775"/>
      <w:bookmarkStart w:id="3" w:name="_Toc4593"/>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5E91291E">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14565"/>
      <w:bookmarkStart w:id="5" w:name="_Toc33795776"/>
      <w:bookmarkStart w:id="6" w:name="_Toc11471"/>
      <w:bookmarkStart w:id="7" w:name="_Toc7037"/>
      <w:r>
        <w:rPr>
          <w:rFonts w:hint="eastAsia" w:ascii="仿宋" w:hAnsi="仿宋" w:eastAsia="仿宋" w:cs="仿宋"/>
          <w:color w:val="auto"/>
          <w:sz w:val="32"/>
          <w:szCs w:val="32"/>
          <w:lang w:eastAsia="zh-CN"/>
        </w:rPr>
        <w:t>陕西锌业有限公司</w:t>
      </w:r>
      <w:r>
        <w:rPr>
          <w:rFonts w:hint="eastAsia" w:ascii="仿宋" w:hAnsi="仿宋" w:eastAsia="仿宋" w:cs="仿宋"/>
          <w:color w:val="auto"/>
          <w:sz w:val="32"/>
          <w:szCs w:val="32"/>
          <w:lang w:val="en-US" w:eastAsia="zh-CN"/>
        </w:rPr>
        <w:t>2026年6月</w:t>
      </w:r>
      <w:r>
        <w:rPr>
          <w:rFonts w:hint="eastAsia" w:ascii="仿宋" w:hAnsi="仿宋" w:eastAsia="仿宋" w:cs="仿宋"/>
          <w:b/>
          <w:bCs/>
          <w:color w:val="auto"/>
          <w:sz w:val="32"/>
          <w:szCs w:val="32"/>
          <w:lang w:val="en-US" w:eastAsia="zh-CN"/>
        </w:rPr>
        <w:t>小型装载机</w:t>
      </w:r>
      <w:r>
        <w:rPr>
          <w:rFonts w:hint="eastAsia" w:ascii="华文仿宋" w:hAnsi="华文仿宋" w:eastAsia="华文仿宋" w:cs="华文仿宋"/>
          <w:b/>
          <w:bCs/>
          <w:color w:val="auto"/>
          <w:sz w:val="32"/>
          <w:szCs w:val="32"/>
          <w:lang w:val="en-US" w:eastAsia="zh-CN"/>
        </w:rPr>
        <w:t>采购项目</w:t>
      </w:r>
      <w:bookmarkEnd w:id="4"/>
      <w:bookmarkEnd w:id="5"/>
      <w:bookmarkEnd w:id="6"/>
      <w:bookmarkEnd w:id="7"/>
      <w:r>
        <w:rPr>
          <w:rFonts w:hint="eastAsia" w:ascii="仿宋" w:hAnsi="仿宋" w:eastAsia="仿宋" w:cs="仿宋"/>
          <w:b/>
          <w:bCs/>
          <w:color w:val="auto"/>
          <w:sz w:val="32"/>
          <w:szCs w:val="32"/>
          <w:lang w:val="en-US" w:eastAsia="zh-CN"/>
        </w:rPr>
        <w:t>。</w:t>
      </w:r>
    </w:p>
    <w:p w14:paraId="720AA228">
      <w:pPr>
        <w:spacing w:line="440" w:lineRule="exact"/>
        <w:ind w:firstLine="320" w:firstLineChars="1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2026年7月20日前到货，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（四）交货地点：采购方生产区指定库房。</w:t>
      </w:r>
    </w:p>
    <w:p w14:paraId="555CD9B0">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（五）采购货物一览表</w:t>
      </w:r>
    </w:p>
    <w:tbl>
      <w:tblPr>
        <w:tblStyle w:val="10"/>
        <w:tblW w:w="819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92"/>
        <w:gridCol w:w="2813"/>
        <w:gridCol w:w="570"/>
        <w:gridCol w:w="570"/>
        <w:gridCol w:w="885"/>
        <w:gridCol w:w="930"/>
      </w:tblGrid>
      <w:tr w14:paraId="52CA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59CDA5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编号</w:t>
            </w:r>
          </w:p>
        </w:tc>
        <w:tc>
          <w:tcPr>
            <w:tcW w:w="1792" w:type="dxa"/>
            <w:vAlign w:val="center"/>
          </w:tcPr>
          <w:p w14:paraId="7A4A1A3D">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rPr>
              <w:t>名称</w:t>
            </w:r>
          </w:p>
        </w:tc>
        <w:tc>
          <w:tcPr>
            <w:tcW w:w="2813" w:type="dxa"/>
            <w:vAlign w:val="center"/>
          </w:tcPr>
          <w:p w14:paraId="5D5E6A9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规格型号</w:t>
            </w:r>
          </w:p>
        </w:tc>
        <w:tc>
          <w:tcPr>
            <w:tcW w:w="570" w:type="dxa"/>
            <w:vAlign w:val="center"/>
          </w:tcPr>
          <w:p w14:paraId="195DF2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highlight w:val="none"/>
              </w:rPr>
              <w:t>数量</w:t>
            </w:r>
          </w:p>
        </w:tc>
        <w:tc>
          <w:tcPr>
            <w:tcW w:w="570" w:type="dxa"/>
            <w:vAlign w:val="center"/>
          </w:tcPr>
          <w:p w14:paraId="2B25D9A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单位</w:t>
            </w:r>
          </w:p>
        </w:tc>
        <w:tc>
          <w:tcPr>
            <w:tcW w:w="885" w:type="dxa"/>
            <w:vAlign w:val="center"/>
          </w:tcPr>
          <w:p w14:paraId="5AA3799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单</w:t>
            </w:r>
            <w:r>
              <w:rPr>
                <w:rFonts w:hint="eastAsia" w:asciiTheme="minorEastAsia" w:hAnsiTheme="minorEastAsia" w:eastAsiaTheme="minorEastAsia" w:cstheme="minorEastAsia"/>
                <w:color w:val="auto"/>
                <w:sz w:val="21"/>
                <w:szCs w:val="21"/>
                <w:highlight w:val="none"/>
              </w:rPr>
              <w:t>价</w:t>
            </w:r>
            <w:r>
              <w:rPr>
                <w:rFonts w:hint="eastAsia" w:asciiTheme="minorEastAsia" w:hAnsiTheme="minorEastAsia" w:eastAsiaTheme="minorEastAsia" w:cstheme="minorEastAsia"/>
                <w:color w:val="auto"/>
                <w:sz w:val="21"/>
                <w:szCs w:val="21"/>
                <w:highlight w:val="none"/>
                <w:lang w:val="en-US" w:eastAsia="zh-CN"/>
              </w:rPr>
              <w:t xml:space="preserve"> （元）</w:t>
            </w:r>
          </w:p>
        </w:tc>
        <w:tc>
          <w:tcPr>
            <w:tcW w:w="930" w:type="dxa"/>
            <w:vAlign w:val="center"/>
          </w:tcPr>
          <w:p w14:paraId="3CFF2D02">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金额（元）</w:t>
            </w:r>
          </w:p>
        </w:tc>
      </w:tr>
      <w:tr w14:paraId="4142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208138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92" w:type="dxa"/>
            <w:vAlign w:val="center"/>
          </w:tcPr>
          <w:p w14:paraId="038ACD7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小型装载机</w:t>
            </w:r>
          </w:p>
        </w:tc>
        <w:tc>
          <w:tcPr>
            <w:tcW w:w="2813" w:type="dxa"/>
            <w:vAlign w:val="center"/>
          </w:tcPr>
          <w:p w14:paraId="48B9D69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柳工牌818H型燃油型，必须另外加装油浸式空气过滤器，铲斗宽2米，不带斗齿。</w:t>
            </w:r>
          </w:p>
        </w:tc>
        <w:tc>
          <w:tcPr>
            <w:tcW w:w="570" w:type="dxa"/>
            <w:vAlign w:val="center"/>
          </w:tcPr>
          <w:p w14:paraId="5A20E8C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w:t>
            </w:r>
          </w:p>
        </w:tc>
        <w:tc>
          <w:tcPr>
            <w:tcW w:w="570" w:type="dxa"/>
            <w:vAlign w:val="center"/>
          </w:tcPr>
          <w:p w14:paraId="77BC63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台</w:t>
            </w:r>
          </w:p>
        </w:tc>
        <w:tc>
          <w:tcPr>
            <w:tcW w:w="885" w:type="dxa"/>
            <w:vAlign w:val="center"/>
          </w:tcPr>
          <w:p w14:paraId="0EB40E1C">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00947D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08E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30" w:type="dxa"/>
            <w:vAlign w:val="center"/>
          </w:tcPr>
          <w:p w14:paraId="37D8C47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合计</w:t>
            </w:r>
          </w:p>
        </w:tc>
        <w:tc>
          <w:tcPr>
            <w:tcW w:w="1792" w:type="dxa"/>
            <w:vAlign w:val="center"/>
          </w:tcPr>
          <w:p w14:paraId="0C88D2C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2813" w:type="dxa"/>
            <w:vAlign w:val="center"/>
          </w:tcPr>
          <w:p w14:paraId="3457431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531C6F3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3DDED7B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885" w:type="dxa"/>
            <w:vAlign w:val="center"/>
          </w:tcPr>
          <w:p w14:paraId="1EBBEA0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5553E6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r>
      <w:tr w14:paraId="2AF5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90" w:type="dxa"/>
            <w:gridSpan w:val="7"/>
            <w:vAlign w:val="center"/>
          </w:tcPr>
          <w:p w14:paraId="787ADC0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color w:val="auto"/>
                <w:sz w:val="21"/>
                <w:szCs w:val="21"/>
                <w:vertAlign w:val="baseline"/>
                <w:lang w:val="en-US" w:eastAsia="zh-CN"/>
              </w:rPr>
              <w:t>按要求报价，</w:t>
            </w:r>
            <w:r>
              <w:rPr>
                <w:rFonts w:hint="eastAsia" w:asciiTheme="minorEastAsia" w:hAnsiTheme="minorEastAsia" w:cstheme="minorEastAsia"/>
                <w:color w:val="auto"/>
                <w:sz w:val="21"/>
                <w:szCs w:val="21"/>
                <w:vertAlign w:val="baseline"/>
                <w:lang w:val="en-US" w:eastAsia="zh-CN"/>
              </w:rPr>
              <w:t>报价时必须提供装载机性能参数及赠送保养物品明细表，</w:t>
            </w:r>
            <w:r>
              <w:rPr>
                <w:rFonts w:hint="eastAsia" w:asciiTheme="minorEastAsia" w:hAnsiTheme="minorEastAsia" w:eastAsiaTheme="minorEastAsia" w:cstheme="minorEastAsia"/>
                <w:i w:val="0"/>
                <w:iCs w:val="0"/>
                <w:color w:val="000000"/>
                <w:kern w:val="0"/>
                <w:sz w:val="21"/>
                <w:szCs w:val="21"/>
                <w:u w:val="none"/>
                <w:lang w:val="en-US" w:eastAsia="zh-CN" w:bidi="ar"/>
              </w:rPr>
              <w:t>否则报价无效</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报价时除原有的PDF报价单还必须同时上传一份电子文档报价单。</w:t>
            </w:r>
          </w:p>
        </w:tc>
      </w:tr>
    </w:tbl>
    <w:p w14:paraId="4DA6DC35">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rPr>
        <w:t>质保期壹年，在质保期内出现货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bookmarkStart w:id="8" w:name="_Toc14196"/>
      <w:bookmarkStart w:id="9" w:name="_Toc29895"/>
      <w:bookmarkStart w:id="10" w:name="_Toc33795778"/>
      <w:bookmarkStart w:id="11" w:name="_Toc14688"/>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五款质量标准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left"/>
        <w:textAlignment w:val="auto"/>
        <w:rPr>
          <w:rFonts w:hint="eastAsia" w:ascii="仿宋" w:hAnsi="仿宋" w:eastAsia="仿宋" w:cs="仿宋"/>
          <w:sz w:val="24"/>
          <w:szCs w:val="24"/>
          <w:u w:val="none"/>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合同生效后，货到需方初验合格，供方开具全额增值税发票后需方支付合同总额的</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0%；</w:t>
      </w:r>
      <w:r>
        <w:rPr>
          <w:rFonts w:hint="eastAsia" w:ascii="仿宋" w:hAnsi="仿宋" w:eastAsia="仿宋" w:cs="仿宋"/>
          <w:sz w:val="30"/>
          <w:szCs w:val="30"/>
          <w:u w:val="none"/>
          <w:lang w:val="en-US" w:eastAsia="zh-CN"/>
        </w:rPr>
        <w:t>安装调试</w:t>
      </w:r>
      <w:r>
        <w:rPr>
          <w:rFonts w:hint="eastAsia" w:ascii="仿宋" w:hAnsi="仿宋" w:eastAsia="仿宋" w:cs="仿宋"/>
          <w:sz w:val="30"/>
          <w:szCs w:val="30"/>
          <w:u w:val="none"/>
        </w:rPr>
        <w:t>验收合格</w:t>
      </w:r>
      <w:r>
        <w:rPr>
          <w:rFonts w:hint="eastAsia" w:ascii="仿宋" w:hAnsi="仿宋" w:eastAsia="仿宋" w:cs="仿宋"/>
          <w:sz w:val="30"/>
          <w:szCs w:val="30"/>
          <w:u w:val="none"/>
          <w:lang w:val="en-US" w:eastAsia="zh-CN"/>
        </w:rPr>
        <w:t>三个月内</w:t>
      </w:r>
      <w:r>
        <w:rPr>
          <w:rFonts w:hint="eastAsia" w:ascii="仿宋" w:hAnsi="仿宋" w:eastAsia="仿宋" w:cs="仿宋"/>
          <w:sz w:val="30"/>
          <w:szCs w:val="30"/>
          <w:u w:val="none"/>
        </w:rPr>
        <w:t>需方再支付</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0%，留10%质保金，质保期满无</w:t>
      </w:r>
      <w:r>
        <w:rPr>
          <w:rFonts w:hint="eastAsia" w:ascii="仿宋" w:hAnsi="仿宋" w:eastAsia="仿宋" w:cs="仿宋"/>
          <w:sz w:val="30"/>
          <w:szCs w:val="30"/>
          <w:u w:val="none"/>
          <w:lang w:val="en-US" w:eastAsia="zh-CN"/>
        </w:rPr>
        <w:t>质量</w:t>
      </w:r>
      <w:r>
        <w:rPr>
          <w:rFonts w:hint="eastAsia" w:ascii="仿宋" w:hAnsi="仿宋" w:eastAsia="仿宋" w:cs="仿宋"/>
          <w:sz w:val="30"/>
          <w:szCs w:val="30"/>
          <w:u w:val="none"/>
        </w:rPr>
        <w:t>问题即付清。</w:t>
      </w:r>
    </w:p>
    <w:p w14:paraId="60C100EC">
      <w:pPr>
        <w:keepNext w:val="0"/>
        <w:keepLines w:val="0"/>
        <w:pageBreakBefore w:val="0"/>
        <w:widowControl w:val="0"/>
        <w:kinsoku/>
        <w:wordWrap/>
        <w:overflowPunct w:val="0"/>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十一</w:t>
      </w:r>
      <w:r>
        <w:rPr>
          <w:rFonts w:hint="eastAsia" w:ascii="仿宋" w:hAnsi="仿宋" w:eastAsia="仿宋" w:cs="仿宋"/>
          <w:color w:val="auto"/>
          <w:sz w:val="30"/>
          <w:szCs w:val="30"/>
          <w:lang w:eastAsia="zh-CN"/>
        </w:rPr>
        <w:t>）供应商</w:t>
      </w:r>
      <w:r>
        <w:rPr>
          <w:rFonts w:hint="eastAsia" w:ascii="仿宋" w:hAnsi="仿宋" w:eastAsia="仿宋" w:cs="仿宋"/>
          <w:color w:val="auto"/>
          <w:sz w:val="30"/>
          <w:szCs w:val="30"/>
        </w:rPr>
        <w:t>资格和履约能力要求</w:t>
      </w:r>
      <w:bookmarkEnd w:id="8"/>
      <w:bookmarkEnd w:id="9"/>
      <w:bookmarkEnd w:id="10"/>
      <w:bookmarkEnd w:id="11"/>
      <w:r>
        <w:rPr>
          <w:rFonts w:hint="eastAsia" w:ascii="仿宋" w:hAnsi="仿宋" w:eastAsia="仿宋" w:cs="仿宋"/>
          <w:color w:val="auto"/>
          <w:sz w:val="30"/>
          <w:szCs w:val="30"/>
          <w:lang w:eastAsia="zh-CN"/>
        </w:rPr>
        <w:t>：</w:t>
      </w:r>
    </w:p>
    <w:p w14:paraId="5B60F802">
      <w:pPr>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left="0"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资质要求：</w:t>
      </w:r>
    </w:p>
    <w:p w14:paraId="4362D0DE">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300" w:firstLineChars="100"/>
        <w:textAlignment w:val="auto"/>
        <w:rPr>
          <w:rFonts w:hint="default" w:ascii="仿宋" w:hAnsi="仿宋" w:eastAsia="仿宋" w:cs="仿宋"/>
          <w:i w:val="0"/>
          <w:iCs w:val="0"/>
          <w:caps w:val="0"/>
          <w:color w:val="000000"/>
          <w:spacing w:val="0"/>
          <w:sz w:val="30"/>
          <w:szCs w:val="30"/>
        </w:rPr>
      </w:pPr>
      <w:r>
        <w:rPr>
          <w:rFonts w:hint="eastAsia" w:ascii="仿宋" w:hAnsi="仿宋" w:eastAsia="仿宋" w:cs="仿宋"/>
          <w:color w:val="auto"/>
          <w:sz w:val="30"/>
          <w:szCs w:val="30"/>
          <w:lang w:val="en-US" w:eastAsia="zh-CN"/>
        </w:rPr>
        <w:t>（1）供应商须为中华人民共和国境内依法注册的法人或者其他组织，有能力完成本项目的厂家或经销商，具备合法的营业执照</w:t>
      </w:r>
      <w:r>
        <w:rPr>
          <w:rFonts w:hint="eastAsia" w:ascii="仿宋" w:hAnsi="仿宋" w:eastAsia="仿宋" w:cs="仿宋"/>
          <w:i w:val="0"/>
          <w:iCs w:val="0"/>
          <w:caps w:val="0"/>
          <w:color w:val="000000"/>
          <w:spacing w:val="0"/>
          <w:sz w:val="30"/>
          <w:szCs w:val="30"/>
          <w:lang w:eastAsia="zh-CN"/>
        </w:rPr>
        <w:t>。</w:t>
      </w:r>
    </w:p>
    <w:p w14:paraId="3AC37DC1">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300" w:firstLineChars="1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5756CE30">
      <w:pPr>
        <w:keepNext w:val="0"/>
        <w:keepLines w:val="0"/>
        <w:widowControl/>
        <w:suppressLineNumbers w:val="0"/>
        <w:ind w:firstLine="640" w:firstLineChars="200"/>
        <w:jc w:val="left"/>
        <w:rPr>
          <w:sz w:val="30"/>
          <w:szCs w:val="30"/>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供应商2023年6月至今具有类似业绩（提供合同复印件，时间以合同签订时间为准）；</w:t>
      </w:r>
      <w:r>
        <w:rPr>
          <w:rFonts w:ascii="仿宋" w:hAnsi="仿宋" w:eastAsia="仿宋" w:cs="仿宋"/>
          <w:i w:val="0"/>
          <w:iCs w:val="0"/>
          <w:caps w:val="0"/>
          <w:color w:val="000000"/>
          <w:spacing w:val="0"/>
          <w:kern w:val="0"/>
          <w:sz w:val="32"/>
          <w:szCs w:val="32"/>
          <w:lang w:val="en-US" w:eastAsia="zh-CN" w:bidi="ar"/>
        </w:rPr>
        <w:t>未提供有效业绩报价无效。</w:t>
      </w:r>
    </w:p>
    <w:p w14:paraId="19EF910C">
      <w:pPr>
        <w:keepNext w:val="0"/>
        <w:keepLines w:val="0"/>
        <w:pageBreakBefore w:val="0"/>
        <w:widowControl w:val="0"/>
        <w:kinsoku/>
        <w:wordWrap/>
        <w:overflowPunct w:val="0"/>
        <w:topLinePunct w:val="0"/>
        <w:autoSpaceDE/>
        <w:autoSpaceDN/>
        <w:bidi w:val="0"/>
        <w:snapToGrid/>
        <w:spacing w:line="5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line="500" w:lineRule="exact"/>
        <w:ind w:firstLine="321" w:firstLineChars="100"/>
        <w:jc w:val="both"/>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line="500" w:lineRule="exact"/>
        <w:ind w:left="0" w:firstLine="321" w:firstLineChars="100"/>
        <w:jc w:val="both"/>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144974510"/>
      <w:bookmarkStart w:id="13" w:name="_Toc247513966"/>
      <w:bookmarkStart w:id="14" w:name="_Toc361508598"/>
      <w:bookmarkStart w:id="15" w:name="_Toc384308223"/>
      <w:bookmarkStart w:id="16" w:name="_Toc300834963"/>
      <w:bookmarkStart w:id="17" w:name="_Toc352691486"/>
      <w:bookmarkStart w:id="18" w:name="_Toc152042318"/>
      <w:bookmarkStart w:id="19" w:name="_Toc152045542"/>
      <w:bookmarkStart w:id="20" w:name="_Toc25772"/>
      <w:bookmarkStart w:id="21" w:name="_Toc369531529"/>
      <w:bookmarkStart w:id="22" w:name="_Toc247527567"/>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300834964"/>
      <w:bookmarkStart w:id="24" w:name="_Toc369531530"/>
      <w:bookmarkStart w:id="25" w:name="_Toc384308224"/>
      <w:bookmarkStart w:id="26" w:name="_Toc152045543"/>
      <w:bookmarkStart w:id="27" w:name="_Toc15242"/>
      <w:bookmarkStart w:id="28" w:name="_Toc247513967"/>
      <w:bookmarkStart w:id="29" w:name="_Toc152042319"/>
      <w:bookmarkStart w:id="30" w:name="_Toc144974511"/>
      <w:bookmarkStart w:id="31" w:name="_Toc361508599"/>
      <w:bookmarkStart w:id="32" w:name="_Toc247527568"/>
      <w:bookmarkStart w:id="33" w:name="_Toc352691487"/>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7F3D5F4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563123C7">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）响应保证金</w:t>
      </w:r>
    </w:p>
    <w:p w14:paraId="2D1792A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在递交</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的同时，应按规定的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格式递交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壹仟元</w:t>
      </w:r>
      <w:r>
        <w:rPr>
          <w:rFonts w:hint="eastAsia" w:ascii="仿宋" w:hAnsi="仿宋" w:eastAsia="仿宋" w:cs="仿宋"/>
          <w:color w:val="auto"/>
          <w:sz w:val="32"/>
          <w:szCs w:val="32"/>
        </w:rPr>
        <w:t>，并作为其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3D2A1BA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保证金支付账户如下：</w:t>
      </w:r>
    </w:p>
    <w:p w14:paraId="5781A98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收款人：陕西锌业有限公司</w:t>
      </w:r>
    </w:p>
    <w:p w14:paraId="774950A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账号：26805701040010332</w:t>
      </w:r>
    </w:p>
    <w:p w14:paraId="17C0E8D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开户行：中国农业银行商洛商州区支行</w:t>
      </w:r>
    </w:p>
    <w:p w14:paraId="1C1F036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的形式：转账、</w:t>
      </w:r>
      <w:r>
        <w:rPr>
          <w:rFonts w:hint="eastAsia" w:ascii="仿宋" w:hAnsi="仿宋" w:eastAsia="仿宋" w:cs="仿宋"/>
          <w:color w:val="auto"/>
          <w:sz w:val="32"/>
          <w:szCs w:val="32"/>
          <w:lang w:val="en-US" w:eastAsia="zh-CN"/>
        </w:rPr>
        <w:t>保函、</w:t>
      </w:r>
      <w:r>
        <w:rPr>
          <w:rFonts w:hint="eastAsia" w:ascii="仿宋" w:hAnsi="仿宋" w:eastAsia="仿宋" w:cs="仿宋"/>
          <w:color w:val="auto"/>
          <w:sz w:val="32"/>
          <w:szCs w:val="32"/>
        </w:rPr>
        <w:t>支票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与采购人签订保证金协议等</w:t>
      </w:r>
      <w:r>
        <w:rPr>
          <w:rFonts w:hint="eastAsia" w:ascii="仿宋" w:hAnsi="仿宋" w:eastAsia="仿宋" w:cs="仿宋"/>
          <w:color w:val="auto"/>
          <w:sz w:val="32"/>
          <w:szCs w:val="32"/>
        </w:rPr>
        <w:t>任何一种。</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w:t>
      </w:r>
      <w:r>
        <w:rPr>
          <w:rFonts w:hint="eastAsia" w:ascii="仿宋" w:hAnsi="仿宋" w:eastAsia="仿宋" w:cs="仿宋"/>
          <w:color w:val="auto"/>
          <w:sz w:val="32"/>
          <w:szCs w:val="32"/>
          <w:lang w:val="en-US" w:eastAsia="zh-CN"/>
        </w:rPr>
        <w:t>转账</w:t>
      </w:r>
      <w:r>
        <w:rPr>
          <w:rFonts w:hint="eastAsia" w:ascii="仿宋" w:hAnsi="仿宋" w:eastAsia="仿宋" w:cs="仿宋"/>
          <w:color w:val="auto"/>
          <w:sz w:val="32"/>
          <w:szCs w:val="32"/>
        </w:rPr>
        <w:t>或者支票形式提交的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，应当</w:t>
      </w:r>
      <w:r>
        <w:rPr>
          <w:rFonts w:hint="eastAsia" w:ascii="仿宋" w:hAnsi="仿宋" w:eastAsia="仿宋" w:cs="仿宋"/>
          <w:color w:val="auto"/>
          <w:sz w:val="32"/>
          <w:szCs w:val="32"/>
          <w:lang w:val="en-US" w:eastAsia="zh-CN"/>
        </w:rPr>
        <w:t>由供应商账户转出</w:t>
      </w:r>
      <w:r>
        <w:rPr>
          <w:rFonts w:hint="eastAsia" w:ascii="仿宋" w:hAnsi="仿宋" w:eastAsia="仿宋" w:cs="仿宋"/>
          <w:color w:val="auto"/>
          <w:sz w:val="32"/>
          <w:szCs w:val="32"/>
          <w:lang w:eastAsia="zh-CN"/>
        </w:rPr>
        <w:t>。</w:t>
      </w:r>
    </w:p>
    <w:p w14:paraId="3867519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必须在</w:t>
      </w:r>
      <w:r>
        <w:rPr>
          <w:rFonts w:hint="eastAsia" w:ascii="仿宋" w:hAnsi="仿宋" w:eastAsia="仿宋" w:cs="仿宋"/>
          <w:color w:val="auto"/>
          <w:sz w:val="32"/>
          <w:szCs w:val="32"/>
          <w:lang w:eastAsia="zh-CN"/>
        </w:rPr>
        <w:t>响应文件递交截止时间</w:t>
      </w:r>
      <w:r>
        <w:rPr>
          <w:rFonts w:hint="eastAsia" w:ascii="仿宋" w:hAnsi="仿宋" w:eastAsia="仿宋" w:cs="仿宋"/>
          <w:color w:val="auto"/>
          <w:sz w:val="32"/>
          <w:szCs w:val="32"/>
        </w:rPr>
        <w:t>前到达指定帐户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以保函形式缴纳保证金其保函须由银行或</w:t>
      </w:r>
      <w:r>
        <w:rPr>
          <w:rFonts w:hint="eastAsia" w:ascii="仿宋" w:hAnsi="仿宋" w:eastAsia="仿宋" w:cs="仿宋"/>
          <w:color w:val="auto"/>
          <w:sz w:val="32"/>
          <w:szCs w:val="32"/>
          <w:lang w:val="en-US" w:eastAsia="zh-CN"/>
        </w:rPr>
        <w:t>具</w:t>
      </w:r>
      <w:r>
        <w:rPr>
          <w:rFonts w:hint="eastAsia" w:ascii="仿宋" w:hAnsi="仿宋" w:eastAsia="仿宋" w:cs="仿宋"/>
          <w:color w:val="auto"/>
          <w:sz w:val="32"/>
          <w:szCs w:val="32"/>
        </w:rPr>
        <w:t>有出具保函资格的单位出具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并于</w:t>
      </w:r>
      <w:r>
        <w:rPr>
          <w:rFonts w:hint="eastAsia" w:ascii="仿宋" w:hAnsi="仿宋" w:eastAsia="仿宋" w:cs="仿宋"/>
          <w:color w:val="auto"/>
          <w:sz w:val="32"/>
          <w:szCs w:val="32"/>
          <w:lang w:eastAsia="zh-CN"/>
        </w:rPr>
        <w:t>响应文件的开启</w:t>
      </w:r>
      <w:r>
        <w:rPr>
          <w:rFonts w:hint="eastAsia" w:ascii="仿宋" w:hAnsi="仿宋" w:eastAsia="仿宋" w:cs="仿宋"/>
          <w:color w:val="auto"/>
          <w:sz w:val="32"/>
          <w:szCs w:val="32"/>
        </w:rPr>
        <w:t>现场递交保函原件，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中附保函复印件。</w:t>
      </w:r>
    </w:p>
    <w:p w14:paraId="2A80449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有效期与</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一致。</w:t>
      </w:r>
    </w:p>
    <w:p w14:paraId="5E55FF4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不按</w:t>
      </w:r>
      <w:bookmarkStart w:id="34" w:name="_Toc384308227"/>
      <w:bookmarkStart w:id="35" w:name="_Toc352691490"/>
      <w:bookmarkStart w:id="36" w:name="_Toc369531533"/>
      <w:bookmarkStart w:id="37" w:name="_Toc361508602"/>
      <w:bookmarkStart w:id="38" w:name="_Toc29025"/>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bookmarkEnd w:id="34"/>
      <w:bookmarkEnd w:id="35"/>
      <w:bookmarkEnd w:id="36"/>
      <w:bookmarkEnd w:id="37"/>
      <w:bookmarkEnd w:id="38"/>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将否决其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7C74798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最迟应当在与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bookmarkStart w:id="39" w:name="_Toc361508603"/>
      <w:bookmarkStart w:id="40" w:name="_Toc384308228"/>
      <w:bookmarkStart w:id="41" w:name="_Toc152045546"/>
      <w:bookmarkStart w:id="42" w:name="_Toc352691491"/>
      <w:bookmarkStart w:id="43" w:name="_Toc247513970"/>
      <w:bookmarkStart w:id="44" w:name="_Toc369531534"/>
      <w:bookmarkStart w:id="45" w:name="_Toc152042322"/>
      <w:bookmarkStart w:id="46" w:name="_Toc14751"/>
      <w:bookmarkStart w:id="47" w:name="_Toc300834967"/>
      <w:bookmarkStart w:id="48" w:name="_Toc247527571"/>
      <w:bookmarkStart w:id="49" w:name="_Toc144974514"/>
      <w:r>
        <w:rPr>
          <w:rFonts w:hint="eastAsia" w:ascii="仿宋" w:hAnsi="仿宋" w:eastAsia="仿宋" w:cs="仿宋"/>
          <w:color w:val="auto"/>
          <w:sz w:val="32"/>
          <w:szCs w:val="32"/>
        </w:rPr>
        <w:t>签订合同后</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32"/>
          <w:szCs w:val="32"/>
        </w:rPr>
        <w:t>内</w:t>
      </w:r>
      <w:bookmarkStart w:id="50" w:name="_Toc352691492"/>
      <w:bookmarkStart w:id="51" w:name="_Toc17952"/>
      <w:bookmarkStart w:id="52" w:name="_Toc152045547"/>
      <w:bookmarkStart w:id="53" w:name="_Toc247513971"/>
      <w:bookmarkStart w:id="54" w:name="_Toc247527572"/>
      <w:bookmarkStart w:id="55" w:name="_Toc369531535"/>
      <w:bookmarkStart w:id="56" w:name="_Toc384308229"/>
      <w:bookmarkStart w:id="57" w:name="_Toc152042323"/>
      <w:bookmarkStart w:id="58" w:name="_Toc144974515"/>
      <w:bookmarkStart w:id="59" w:name="_Toc361508604"/>
      <w:bookmarkStart w:id="60" w:name="_Toc300834968"/>
      <w:r>
        <w:rPr>
          <w:rFonts w:hint="eastAsia" w:ascii="仿宋" w:hAnsi="仿宋" w:eastAsia="仿宋" w:cs="仿宋"/>
          <w:color w:val="auto"/>
          <w:sz w:val="32"/>
          <w:szCs w:val="32"/>
        </w:rPr>
        <w:t>，向未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val="en-US" w:eastAsia="zh-CN"/>
        </w:rPr>
        <w:t>无息</w:t>
      </w:r>
      <w:r>
        <w:rPr>
          <w:rFonts w:hint="eastAsia" w:ascii="仿宋" w:hAnsi="仿宋" w:eastAsia="仿宋" w:cs="仿宋"/>
          <w:color w:val="auto"/>
          <w:sz w:val="32"/>
          <w:szCs w:val="32"/>
        </w:rPr>
        <w:t>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503A31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有下列情形之一的，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将不予退还：</w:t>
      </w:r>
    </w:p>
    <w:p w14:paraId="701E52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1A95CD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项目的，无正当理由不与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订立合同的，在签订合同时向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提出附加条件或者更改合同实质性内容的，或者拒不按照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要求提交履约担保的。</w:t>
      </w:r>
    </w:p>
    <w:p w14:paraId="4E3F5D22">
      <w:pPr>
        <w:pStyle w:val="4"/>
        <w:keepNext w:val="0"/>
        <w:keepLines w:val="0"/>
        <w:pageBreakBefore w:val="0"/>
        <w:widowControl w:val="0"/>
        <w:kinsoku/>
        <w:wordWrap/>
        <w:overflowPunct w:val="0"/>
        <w:topLinePunct w:val="0"/>
        <w:autoSpaceDE/>
        <w:autoSpaceDN/>
        <w:bidi w:val="0"/>
        <w:snapToGrid/>
        <w:spacing w:before="0" w:after="0" w:line="500" w:lineRule="exact"/>
        <w:ind w:left="0" w:firstLine="320" w:firstLineChars="100"/>
        <w:jc w:val="both"/>
        <w:rPr>
          <w:rFonts w:hint="eastAsia" w:ascii="仿宋" w:hAnsi="仿宋" w:eastAsia="仿宋" w:cs="仿宋"/>
          <w:color w:val="auto"/>
          <w:sz w:val="32"/>
          <w:szCs w:val="32"/>
        </w:rPr>
      </w:pPr>
      <w:bookmarkStart w:id="61" w:name="_Toc21871"/>
      <w:bookmarkStart w:id="62" w:name="_Toc33795794"/>
      <w:bookmarkStart w:id="63" w:name="_Toc24514"/>
      <w:bookmarkStart w:id="64" w:name="_Toc2821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61"/>
      <w:bookmarkEnd w:id="62"/>
      <w:bookmarkEnd w:id="63"/>
      <w:bookmarkEnd w:id="64"/>
    </w:p>
    <w:p w14:paraId="1075AAFE">
      <w:pPr>
        <w:pStyle w:val="4"/>
        <w:keepNext w:val="0"/>
        <w:keepLines w:val="0"/>
        <w:pageBreakBefore w:val="0"/>
        <w:widowControl w:val="0"/>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“近年完成的类似项目情况表”应附</w:t>
      </w:r>
      <w:r>
        <w:rPr>
          <w:rFonts w:hint="eastAsia" w:ascii="仿宋" w:hAnsi="仿宋" w:eastAsia="仿宋" w:cs="仿宋"/>
          <w:color w:val="auto"/>
          <w:sz w:val="32"/>
          <w:szCs w:val="32"/>
          <w:lang w:val="en-US" w:eastAsia="zh-CN"/>
        </w:rPr>
        <w:t>从2023年6月至今的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line="500" w:lineRule="exact"/>
        <w:ind w:left="0" w:firstLine="644" w:firstLineChars="200"/>
        <w:jc w:val="both"/>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五）响应文件的提交</w:t>
      </w:r>
    </w:p>
    <w:p w14:paraId="0A89687F">
      <w:pPr>
        <w:keepNext w:val="0"/>
        <w:keepLines w:val="0"/>
        <w:pageBreakBefore w:val="0"/>
        <w:widowControl w:val="0"/>
        <w:kinsoku/>
        <w:wordWrap/>
        <w:overflowPunct w:val="0"/>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 7月10日 13  时</w:t>
      </w:r>
      <w:r>
        <w:rPr>
          <w:rFonts w:hint="eastAsia" w:ascii="仿宋" w:hAnsi="仿宋" w:eastAsia="仿宋" w:cs="仿宋"/>
          <w:i w:val="0"/>
          <w:iCs w:val="0"/>
          <w:caps w:val="0"/>
          <w:color w:val="000000"/>
          <w:spacing w:val="0"/>
          <w:sz w:val="30"/>
          <w:szCs w:val="30"/>
          <w:lang w:eastAsia="zh-CN"/>
        </w:rPr>
        <w:t>。</w:t>
      </w:r>
    </w:p>
    <w:p w14:paraId="4A99CF58">
      <w:pPr>
        <w:pStyle w:val="8"/>
        <w:keepNext w:val="0"/>
        <w:keepLines w:val="0"/>
        <w:widowControl/>
        <w:suppressLineNumbers w:val="0"/>
        <w:spacing w:line="495" w:lineRule="atLeast"/>
        <w:ind w:left="0" w:firstLine="645"/>
        <w:jc w:val="both"/>
        <w:rPr>
          <w:rFonts w:hint="eastAsia" w:ascii="仿宋" w:hAnsi="仿宋" w:eastAsia="仿宋" w:cs="仿宋"/>
          <w:color w:val="auto"/>
          <w:kern w:val="0"/>
          <w:sz w:val="28"/>
          <w:szCs w:val="28"/>
          <w:u w:val="single"/>
          <w:lang w:eastAsia="zh-CN"/>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50562CE7">
      <w:pPr>
        <w:keepNext w:val="0"/>
        <w:keepLines w:val="0"/>
        <w:widowControl/>
        <w:suppressLineNumbers w:val="0"/>
        <w:ind w:firstLine="640" w:firstLineChars="200"/>
        <w:jc w:val="left"/>
        <w:rPr>
          <w:rFonts w:ascii="仿宋" w:hAnsi="仿宋" w:eastAsia="仿宋" w:cs="仿宋"/>
          <w:i w:val="0"/>
          <w:iCs w:val="0"/>
          <w:caps w:val="0"/>
          <w:color w:val="000000"/>
          <w:spacing w:val="0"/>
          <w:kern w:val="0"/>
          <w:sz w:val="31"/>
          <w:szCs w:val="31"/>
          <w:lang w:val="en-US" w:eastAsia="zh-CN" w:bidi="ar"/>
        </w:rPr>
      </w:pPr>
      <w:r>
        <w:rPr>
          <w:rFonts w:hint="eastAsia" w:ascii="仿宋" w:hAnsi="仿宋" w:eastAsia="仿宋" w:cs="仿宋"/>
          <w:color w:val="auto"/>
          <w:sz w:val="32"/>
          <w:szCs w:val="32"/>
          <w:lang w:val="en-US" w:eastAsia="zh-CN"/>
        </w:rPr>
        <w:t>联系人：张小兵     电话：0914-2552485</w:t>
      </w:r>
    </w:p>
    <w:p w14:paraId="42C44B8C">
      <w:pPr>
        <w:keepNext w:val="0"/>
        <w:keepLines w:val="0"/>
        <w:widowControl/>
        <w:suppressLineNumbers w:val="0"/>
        <w:ind w:firstLine="620" w:firstLineChars="200"/>
        <w:jc w:val="left"/>
      </w:pPr>
      <w:r>
        <w:rPr>
          <w:rFonts w:hint="eastAsia" w:ascii="仿宋" w:hAnsi="仿宋" w:eastAsia="仿宋" w:cs="仿宋"/>
          <w:i w:val="0"/>
          <w:iCs w:val="0"/>
          <w:caps w:val="0"/>
          <w:color w:val="000000"/>
          <w:spacing w:val="0"/>
          <w:kern w:val="0"/>
          <w:sz w:val="31"/>
          <w:szCs w:val="31"/>
          <w:lang w:val="en-US" w:eastAsia="zh-CN" w:bidi="ar"/>
        </w:rPr>
        <w:t>3、</w:t>
      </w:r>
      <w:r>
        <w:rPr>
          <w:rFonts w:hint="default" w:ascii="仿宋" w:hAnsi="仿宋" w:eastAsia="仿宋" w:cs="仿宋"/>
          <w:i w:val="0"/>
          <w:iCs w:val="0"/>
          <w:caps w:val="0"/>
          <w:color w:val="000000"/>
          <w:spacing w:val="0"/>
          <w:kern w:val="0"/>
          <w:sz w:val="31"/>
          <w:szCs w:val="31"/>
          <w:lang w:val="en-US" w:eastAsia="zh-CN" w:bidi="ar"/>
        </w:rPr>
        <w:t>线下提交方法：将响应文件一式两份一正一副密封后直接送达或邮寄至陕西锌业有限公司一楼招投标办公室。</w:t>
      </w:r>
    </w:p>
    <w:p w14:paraId="0DA84BE2">
      <w:pPr>
        <w:keepNext w:val="0"/>
        <w:keepLines w:val="0"/>
        <w:widowControl/>
        <w:suppressLineNumbers w:val="0"/>
        <w:jc w:val="left"/>
        <w:rPr>
          <w:rFonts w:hint="default" w:ascii="仿宋" w:hAnsi="仿宋" w:eastAsia="仿宋" w:cs="仿宋"/>
          <w:color w:val="auto"/>
          <w:sz w:val="32"/>
          <w:szCs w:val="32"/>
          <w:lang w:val="en-US" w:eastAsia="zh-CN"/>
        </w:rPr>
      </w:pPr>
      <w:r>
        <w:rPr>
          <w:rFonts w:ascii="仿宋" w:hAnsi="仿宋" w:eastAsia="仿宋" w:cs="仿宋"/>
          <w:i w:val="0"/>
          <w:iCs w:val="0"/>
          <w:caps w:val="0"/>
          <w:color w:val="000000"/>
          <w:spacing w:val="0"/>
          <w:kern w:val="0"/>
          <w:sz w:val="31"/>
          <w:szCs w:val="31"/>
          <w:lang w:val="en-US" w:eastAsia="zh-CN" w:bidi="ar"/>
        </w:rPr>
        <w:t>收标联系人：</w:t>
      </w:r>
      <w:r>
        <w:rPr>
          <w:rFonts w:hint="eastAsia" w:ascii="仿宋" w:hAnsi="仿宋" w:eastAsia="仿宋" w:cs="仿宋"/>
          <w:i w:val="0"/>
          <w:iCs w:val="0"/>
          <w:caps w:val="0"/>
          <w:color w:val="000000"/>
          <w:spacing w:val="0"/>
          <w:kern w:val="0"/>
          <w:sz w:val="31"/>
          <w:szCs w:val="31"/>
          <w:lang w:val="en-US" w:eastAsia="zh-CN" w:bidi="ar"/>
        </w:rPr>
        <w:t>李青青</w:t>
      </w:r>
      <w:r>
        <w:rPr>
          <w:rFonts w:hint="default" w:ascii="仿宋" w:hAnsi="仿宋" w:eastAsia="仿宋" w:cs="仿宋"/>
          <w:i w:val="0"/>
          <w:iCs w:val="0"/>
          <w:caps w:val="0"/>
          <w:color w:val="000000"/>
          <w:spacing w:val="0"/>
          <w:kern w:val="0"/>
          <w:sz w:val="31"/>
          <w:szCs w:val="31"/>
          <w:lang w:val="en-US" w:eastAsia="zh-CN" w:bidi="ar"/>
        </w:rPr>
        <w:t>     电话：</w:t>
      </w:r>
      <w:r>
        <w:rPr>
          <w:rFonts w:hint="eastAsia" w:ascii="仿宋" w:hAnsi="仿宋" w:eastAsia="仿宋" w:cs="仿宋"/>
          <w:i w:val="0"/>
          <w:iCs w:val="0"/>
          <w:caps w:val="0"/>
          <w:color w:val="000000"/>
          <w:spacing w:val="0"/>
          <w:kern w:val="0"/>
          <w:sz w:val="31"/>
          <w:szCs w:val="31"/>
          <w:lang w:val="en-US" w:eastAsia="zh-CN" w:bidi="ar"/>
        </w:rPr>
        <w:t>18691440139</w:t>
      </w:r>
    </w:p>
    <w:p w14:paraId="520C48EB">
      <w:pPr>
        <w:keepNext w:val="0"/>
        <w:keepLines w:val="0"/>
        <w:pageBreakBefore w:val="0"/>
        <w:widowControl/>
        <w:suppressLineNumbers w:val="0"/>
        <w:kinsoku/>
        <w:wordWrap/>
        <w:topLinePunct w:val="0"/>
        <w:autoSpaceDE/>
        <w:autoSpaceDN/>
        <w:bidi w:val="0"/>
        <w:snapToGrid/>
        <w:spacing w:beforeAutospacing="0" w:afterAutospacing="0" w:line="440" w:lineRule="exact"/>
        <w:ind w:firstLine="643" w:firstLineChars="200"/>
        <w:jc w:val="lef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50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（一）响应文件的开启时间：</w:t>
      </w:r>
      <w:r>
        <w:rPr>
          <w:rFonts w:hint="eastAsia" w:ascii="仿宋" w:hAnsi="仿宋" w:eastAsia="仿宋" w:cs="仿宋"/>
          <w:color w:val="auto"/>
          <w:spacing w:val="1"/>
          <w:sz w:val="32"/>
          <w:szCs w:val="32"/>
          <w:highlight w:val="none"/>
          <w:lang w:val="en-US" w:eastAsia="zh-CN"/>
        </w:rPr>
        <w:t>2026年7月 10日14  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after="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line="500" w:lineRule="exact"/>
        <w:ind w:firstLine="64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960" w:firstLineChars="3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有以下情形之一的，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w:t>
      </w:r>
    </w:p>
    <w:p w14:paraId="638F76BA">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未经过正常途径</w:t>
      </w:r>
      <w:r>
        <w:rPr>
          <w:rFonts w:hint="eastAsia" w:ascii="仿宋" w:hAnsi="仿宋" w:eastAsia="仿宋" w:cs="仿宋"/>
          <w:color w:val="auto"/>
          <w:sz w:val="32"/>
          <w:szCs w:val="32"/>
          <w:highlight w:val="none"/>
          <w:lang w:val="en-US" w:eastAsia="zh-CN"/>
        </w:rPr>
        <w:t>获取</w:t>
      </w:r>
      <w:r>
        <w:rPr>
          <w:rFonts w:hint="eastAsia" w:ascii="仿宋" w:hAnsi="仿宋" w:eastAsia="仿宋" w:cs="仿宋"/>
          <w:color w:val="auto"/>
          <w:sz w:val="32"/>
          <w:szCs w:val="32"/>
          <w:highlight w:val="none"/>
        </w:rPr>
        <w:t>标书或</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名称或组织结构与</w:t>
      </w:r>
      <w:r>
        <w:rPr>
          <w:rFonts w:hint="eastAsia" w:ascii="仿宋" w:hAnsi="仿宋" w:eastAsia="仿宋" w:cs="仿宋"/>
          <w:color w:val="auto"/>
          <w:sz w:val="32"/>
          <w:szCs w:val="32"/>
          <w:highlight w:val="none"/>
          <w:lang w:eastAsia="zh-CN"/>
        </w:rPr>
        <w:t>询比采购文件</w:t>
      </w:r>
      <w:r>
        <w:rPr>
          <w:rFonts w:hint="eastAsia" w:ascii="仿宋" w:hAnsi="仿宋" w:eastAsia="仿宋" w:cs="仿宋"/>
          <w:color w:val="auto"/>
          <w:sz w:val="32"/>
          <w:szCs w:val="32"/>
          <w:highlight w:val="none"/>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未经</w:t>
      </w:r>
      <w:r>
        <w:rPr>
          <w:rFonts w:hint="eastAsia" w:ascii="仿宋" w:hAnsi="仿宋" w:eastAsia="仿宋" w:cs="仿宋"/>
          <w:color w:val="auto"/>
          <w:sz w:val="32"/>
          <w:szCs w:val="32"/>
          <w:highlight w:val="none"/>
          <w:lang w:val="en-US" w:eastAsia="zh-CN"/>
        </w:rPr>
        <w:t>响应供应商</w:t>
      </w:r>
      <w:r>
        <w:rPr>
          <w:rFonts w:hint="eastAsia" w:ascii="仿宋" w:hAnsi="仿宋" w:eastAsia="仿宋" w:cs="仿宋"/>
          <w:color w:val="auto"/>
          <w:sz w:val="32"/>
          <w:szCs w:val="32"/>
          <w:highlight w:val="none"/>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65" w:name="_Toc384308277"/>
      <w:bookmarkStart w:id="66" w:name="_Toc152045603"/>
      <w:bookmarkStart w:id="67" w:name="_Toc352691538"/>
      <w:bookmarkStart w:id="68" w:name="_Toc247514027"/>
      <w:bookmarkStart w:id="69" w:name="_Toc152042380"/>
      <w:bookmarkStart w:id="70" w:name="_Toc144974570"/>
      <w:bookmarkStart w:id="71" w:name="_Toc369531582"/>
      <w:bookmarkStart w:id="72" w:name="_Toc300835013"/>
      <w:bookmarkStart w:id="73" w:name="_Toc247527628"/>
      <w:bookmarkStart w:id="74" w:name="_Toc361508651"/>
      <w:bookmarkStart w:id="75" w:name="_Toc2907"/>
      <w:r>
        <w:rPr>
          <w:rFonts w:hint="eastAsia" w:ascii="仿宋" w:hAnsi="仿宋" w:eastAsia="仿宋" w:cs="仿宋"/>
          <w:color w:val="auto"/>
          <w:sz w:val="32"/>
          <w:szCs w:val="32"/>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76" w:name="_Toc29291"/>
      <w:bookmarkStart w:id="77" w:name="_Toc13563"/>
      <w:bookmarkStart w:id="78" w:name="_Toc33795835"/>
      <w:bookmarkStart w:id="79" w:name="_Toc16955"/>
    </w:p>
    <w:p w14:paraId="19D1A02C">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52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52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76"/>
      <w:bookmarkEnd w:id="77"/>
      <w:bookmarkEnd w:id="78"/>
      <w:bookmarkEnd w:id="79"/>
    </w:p>
    <w:p w14:paraId="6D580F88">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rPr>
      </w:pPr>
      <w:bookmarkStart w:id="80" w:name="_Toc3366"/>
      <w:bookmarkStart w:id="81" w:name="_Toc15253"/>
      <w:bookmarkStart w:id="82" w:name="_Toc32669"/>
      <w:bookmarkStart w:id="83" w:name="_Toc3379583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80"/>
      <w:bookmarkEnd w:id="81"/>
      <w:bookmarkEnd w:id="82"/>
      <w:bookmarkEnd w:id="83"/>
    </w:p>
    <w:p w14:paraId="40BA3B2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adjustRightInd/>
        <w:snapToGrid/>
        <w:spacing w:before="0" w:after="0" w:line="520" w:lineRule="exact"/>
        <w:ind w:left="0" w:firstLine="643" w:firstLineChars="200"/>
        <w:jc w:val="both"/>
        <w:textAlignment w:val="auto"/>
        <w:rPr>
          <w:rFonts w:hint="eastAsia" w:ascii="仿宋" w:hAnsi="仿宋" w:eastAsia="仿宋" w:cs="仿宋"/>
          <w:color w:val="auto"/>
          <w:sz w:val="32"/>
          <w:szCs w:val="32"/>
        </w:rPr>
      </w:pPr>
      <w:bookmarkStart w:id="84" w:name="_Toc8518"/>
      <w:bookmarkStart w:id="85" w:name="_Toc9481"/>
      <w:bookmarkStart w:id="86" w:name="_Toc33795807"/>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84"/>
      <w:bookmarkEnd w:id="85"/>
      <w:bookmarkEnd w:id="86"/>
    </w:p>
    <w:p w14:paraId="4D803931">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rPr>
      </w:pPr>
      <w:bookmarkStart w:id="87" w:name="_Toc21093"/>
      <w:bookmarkStart w:id="88" w:name="_Toc16094"/>
      <w:bookmarkStart w:id="89" w:name="_Toc30852"/>
      <w:bookmarkStart w:id="90" w:name="_Toc3379580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87"/>
      <w:bookmarkEnd w:id="88"/>
      <w:bookmarkEnd w:id="89"/>
      <w:bookmarkEnd w:id="90"/>
    </w:p>
    <w:p w14:paraId="321DCEC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91" w:name="_Toc33795809"/>
      <w:bookmarkStart w:id="92" w:name="_Toc19079"/>
      <w:bookmarkStart w:id="93" w:name="_Toc7018"/>
      <w:bookmarkStart w:id="94" w:name="_Toc10372"/>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91"/>
      <w:bookmarkEnd w:id="92"/>
      <w:bookmarkEnd w:id="93"/>
      <w:bookmarkEnd w:id="94"/>
    </w:p>
    <w:p w14:paraId="08CCEB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95" w:name="_Toc152042337"/>
      <w:bookmarkStart w:id="96" w:name="_Toc352691505"/>
      <w:bookmarkStart w:id="97" w:name="_Toc384308243"/>
      <w:bookmarkStart w:id="98" w:name="_Toc152045561"/>
      <w:bookmarkStart w:id="99" w:name="_Toc247527586"/>
      <w:bookmarkStart w:id="100" w:name="_Toc300834982"/>
      <w:bookmarkStart w:id="101" w:name="_Toc247513985"/>
      <w:bookmarkStart w:id="102" w:name="_Toc361508618"/>
      <w:bookmarkStart w:id="103" w:name="_Toc369531549"/>
      <w:bookmarkStart w:id="104" w:name="_Toc144974529"/>
      <w:bookmarkStart w:id="105" w:name="_Toc30095"/>
      <w:r>
        <w:rPr>
          <w:rFonts w:hint="eastAsia" w:ascii="仿宋" w:hAnsi="仿宋" w:eastAsia="仿宋" w:cs="仿宋"/>
          <w:color w:val="auto"/>
          <w:sz w:val="32"/>
          <w:szCs w:val="32"/>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06" w:name="_Toc33795810"/>
      <w:bookmarkStart w:id="107" w:name="_Toc25590"/>
      <w:bookmarkStart w:id="108" w:name="_Toc28756"/>
      <w:bookmarkStart w:id="109" w:name="_Toc2164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106"/>
      <w:bookmarkEnd w:id="107"/>
      <w:bookmarkEnd w:id="108"/>
      <w:bookmarkEnd w:id="109"/>
    </w:p>
    <w:p w14:paraId="000B483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val="en-US"/>
        </w:rPr>
      </w:pPr>
      <w:bookmarkStart w:id="110" w:name="_Toc33795811"/>
      <w:bookmarkStart w:id="111" w:name="_Toc19470"/>
      <w:bookmarkStart w:id="112" w:name="_Toc2191"/>
      <w:bookmarkStart w:id="113" w:name="_Toc24665"/>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110"/>
      <w:bookmarkEnd w:id="111"/>
      <w:bookmarkEnd w:id="112"/>
      <w:bookmarkEnd w:id="113"/>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14" w:name="_Toc33795812"/>
      <w:bookmarkStart w:id="115" w:name="_Toc6928"/>
      <w:bookmarkStart w:id="116" w:name="_Toc10813"/>
      <w:bookmarkStart w:id="117" w:name="_Toc3168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4"/>
      <w:bookmarkEnd w:id="115"/>
      <w:bookmarkEnd w:id="116"/>
      <w:bookmarkEnd w:id="117"/>
    </w:p>
    <w:p w14:paraId="0DB1B63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118" w:name="_Toc352691506"/>
      <w:bookmarkStart w:id="119" w:name="_Toc5668"/>
      <w:bookmarkStart w:id="120" w:name="_Toc361508619"/>
      <w:bookmarkStart w:id="121" w:name="_Toc384308244"/>
      <w:bookmarkStart w:id="122" w:name="_Toc300834983"/>
      <w:bookmarkStart w:id="123" w:name="_Toc36953155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8"/>
      <w:bookmarkEnd w:id="119"/>
      <w:bookmarkEnd w:id="120"/>
      <w:bookmarkEnd w:id="121"/>
      <w:bookmarkEnd w:id="122"/>
      <w:bookmarkEnd w:id="123"/>
      <w:r>
        <w:rPr>
          <w:rFonts w:hint="eastAsia" w:ascii="仿宋" w:hAnsi="仿宋" w:eastAsia="仿宋" w:cs="仿宋"/>
          <w:color w:val="auto"/>
          <w:sz w:val="32"/>
          <w:szCs w:val="32"/>
          <w:lang w:eastAsia="zh-CN"/>
        </w:rPr>
        <w:t>。</w:t>
      </w:r>
    </w:p>
    <w:p w14:paraId="7674C85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24" w:name="_Toc30705"/>
      <w:bookmarkStart w:id="125" w:name="_Toc4342"/>
      <w:bookmarkStart w:id="126" w:name="_Toc33795813"/>
      <w:bookmarkStart w:id="127" w:name="_Toc216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履约担保</w:t>
      </w:r>
      <w:bookmarkEnd w:id="124"/>
      <w:bookmarkEnd w:id="125"/>
      <w:bookmarkEnd w:id="126"/>
      <w:bookmarkEnd w:id="127"/>
      <w:bookmarkStart w:id="128" w:name="_Toc33795814"/>
      <w:bookmarkStart w:id="129" w:name="_Toc3671"/>
      <w:bookmarkStart w:id="130" w:name="_Toc14362"/>
      <w:bookmarkStart w:id="131" w:name="_Toc11183"/>
    </w:p>
    <w:p w14:paraId="2B3D1D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eastAsia="zh-CN"/>
        </w:rPr>
        <w:t>在合同签订后</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响应保证金自动转为履约保证金，在合同执行完毕给予退还。</w:t>
      </w:r>
    </w:p>
    <w:p w14:paraId="1038276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人不能按</w:t>
      </w:r>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要求提交履约担保的，视为放弃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BA626B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28"/>
      <w:bookmarkEnd w:id="129"/>
      <w:bookmarkEnd w:id="130"/>
      <w:bookmarkEnd w:id="131"/>
    </w:p>
    <w:p w14:paraId="6E891B9E">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32" w:name="_Toc300834986"/>
      <w:bookmarkStart w:id="133" w:name="_Toc361508622"/>
      <w:bookmarkStart w:id="134" w:name="_Toc247513988"/>
      <w:bookmarkStart w:id="135" w:name="_Toc4656"/>
      <w:bookmarkStart w:id="136" w:name="_Toc247527589"/>
      <w:bookmarkStart w:id="137" w:name="_Toc144974532"/>
      <w:bookmarkStart w:id="138" w:name="_Toc152045564"/>
      <w:bookmarkStart w:id="139" w:name="_Toc384308247"/>
      <w:bookmarkStart w:id="140" w:name="_Toc352691509"/>
      <w:bookmarkStart w:id="141" w:name="_Toc152042340"/>
      <w:bookmarkStart w:id="142" w:name="_Toc369531553"/>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32"/>
      <w:bookmarkEnd w:id="133"/>
      <w:bookmarkEnd w:id="134"/>
      <w:bookmarkEnd w:id="135"/>
      <w:bookmarkEnd w:id="136"/>
      <w:bookmarkEnd w:id="137"/>
      <w:bookmarkEnd w:id="138"/>
      <w:bookmarkEnd w:id="139"/>
      <w:bookmarkEnd w:id="140"/>
      <w:bookmarkEnd w:id="141"/>
      <w:bookmarkEnd w:id="142"/>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43" w:name="_Toc384308248"/>
      <w:bookmarkStart w:id="144" w:name="_Toc300834987"/>
      <w:bookmarkStart w:id="145" w:name="_Toc369531554"/>
      <w:bookmarkStart w:id="146" w:name="_Toc247527590"/>
      <w:bookmarkStart w:id="147" w:name="_Toc152042341"/>
      <w:bookmarkStart w:id="148" w:name="_Toc361508623"/>
      <w:bookmarkStart w:id="149" w:name="_Toc152045565"/>
      <w:bookmarkStart w:id="150" w:name="_Toc247513989"/>
      <w:bookmarkStart w:id="151" w:name="_Toc18247"/>
      <w:bookmarkStart w:id="152" w:name="_Toc352691510"/>
      <w:bookmarkStart w:id="153" w:name="_Toc144974533"/>
      <w:r>
        <w:rPr>
          <w:rFonts w:hint="eastAsia" w:ascii="仿宋" w:hAnsi="仿宋" w:eastAsia="仿宋" w:cs="仿宋"/>
          <w:color w:val="auto"/>
          <w:sz w:val="32"/>
          <w:szCs w:val="32"/>
        </w:rPr>
        <w:t>当理由拒签合</w:t>
      </w:r>
      <w:bookmarkEnd w:id="143"/>
      <w:bookmarkEnd w:id="144"/>
      <w:bookmarkEnd w:id="145"/>
      <w:bookmarkEnd w:id="146"/>
      <w:bookmarkEnd w:id="147"/>
      <w:bookmarkEnd w:id="148"/>
      <w:bookmarkEnd w:id="149"/>
      <w:bookmarkEnd w:id="150"/>
      <w:bookmarkEnd w:id="151"/>
      <w:bookmarkEnd w:id="152"/>
      <w:bookmarkEnd w:id="153"/>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54" w:name="_Toc24067"/>
      <w:bookmarkStart w:id="155" w:name="_Toc384308252"/>
      <w:bookmarkStart w:id="156" w:name="_Toc361508627"/>
      <w:bookmarkStart w:id="157" w:name="_Toc152045568"/>
      <w:bookmarkStart w:id="158" w:name="_Toc144974536"/>
      <w:bookmarkStart w:id="159" w:name="_Toc152042344"/>
      <w:bookmarkStart w:id="160" w:name="_Toc247513992"/>
      <w:bookmarkStart w:id="161" w:name="_Toc300834991"/>
      <w:bookmarkStart w:id="162" w:name="_Toc247527593"/>
    </w:p>
    <w:bookmarkEnd w:id="154"/>
    <w:bookmarkEnd w:id="155"/>
    <w:bookmarkEnd w:id="156"/>
    <w:p w14:paraId="14AA1C27">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163" w:name="_Toc25347"/>
      <w:bookmarkStart w:id="164" w:name="_Toc33795815"/>
      <w:bookmarkStart w:id="165" w:name="_Toc14752"/>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63"/>
      <w:bookmarkEnd w:id="164"/>
      <w:bookmarkEnd w:id="165"/>
    </w:p>
    <w:p w14:paraId="53CAF6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66" w:name="_Toc352691515"/>
      <w:bookmarkStart w:id="167" w:name="_Toc369531559"/>
      <w:bookmarkStart w:id="168" w:name="_Toc384308253"/>
      <w:bookmarkStart w:id="169" w:name="_Toc13644"/>
      <w:bookmarkStart w:id="170" w:name="_Toc361508628"/>
      <w:r>
        <w:rPr>
          <w:rFonts w:hint="eastAsia" w:ascii="仿宋" w:hAnsi="仿宋" w:eastAsia="仿宋" w:cs="仿宋"/>
          <w:color w:val="auto"/>
          <w:sz w:val="32"/>
          <w:szCs w:val="32"/>
        </w:rPr>
        <w:t>和比较、</w:t>
      </w:r>
      <w:bookmarkEnd w:id="157"/>
      <w:bookmarkEnd w:id="158"/>
      <w:bookmarkEnd w:id="159"/>
      <w:bookmarkEnd w:id="160"/>
      <w:bookmarkEnd w:id="161"/>
      <w:bookmarkEnd w:id="162"/>
      <w:bookmarkEnd w:id="166"/>
      <w:bookmarkEnd w:id="167"/>
      <w:bookmarkEnd w:id="168"/>
      <w:bookmarkEnd w:id="169"/>
      <w:bookmarkEnd w:id="170"/>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bookmarkStart w:id="171" w:name="_Toc33795820"/>
      <w:bookmarkStart w:id="172" w:name="_Toc24957"/>
      <w:bookmarkStart w:id="173" w:name="_Toc18070"/>
      <w:bookmarkStart w:id="174" w:name="_Toc22294"/>
      <w:r>
        <w:rPr>
          <w:rFonts w:hint="eastAsia" w:ascii="仿宋" w:hAnsi="仿宋" w:eastAsia="仿宋" w:cs="仿宋"/>
          <w:color w:val="auto"/>
          <w:sz w:val="32"/>
          <w:szCs w:val="32"/>
          <w:lang w:val="en-US" w:eastAsia="zh-CN"/>
        </w:rPr>
        <w:t>（三）异议</w:t>
      </w:r>
      <w:bookmarkEnd w:id="171"/>
      <w:bookmarkEnd w:id="172"/>
      <w:bookmarkEnd w:id="173"/>
      <w:bookmarkEnd w:id="174"/>
    </w:p>
    <w:p w14:paraId="103D7F6A">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4EF595EC">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49CB9B7A">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0E7802B1">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75FDAAF8">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6CF82FAA">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1DCA5DDA">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29C9397F">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800" w:firstLineChars="1500"/>
        <w:jc w:val="both"/>
        <w:rPr>
          <w:rFonts w:hint="eastAsia" w:ascii="仿宋" w:hAnsi="仿宋" w:eastAsia="仿宋" w:cs="仿宋"/>
          <w:b w:val="0"/>
          <w:bCs w:val="0"/>
          <w:color w:val="auto"/>
          <w:sz w:val="32"/>
          <w:szCs w:val="32"/>
          <w:lang w:val="en-US" w:eastAsia="zh-CN"/>
        </w:rPr>
      </w:pPr>
    </w:p>
    <w:p w14:paraId="0EB2F0B8">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800" w:firstLineChars="15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2026年07月06日</w:t>
      </w:r>
    </w:p>
    <w:p w14:paraId="2C72F6ED">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p>
    <w:p w14:paraId="66D44347">
      <w:pPr>
        <w:pStyle w:val="2"/>
        <w:jc w:val="both"/>
        <w:rPr>
          <w:rFonts w:hint="eastAsia" w:ascii="宋体" w:hAnsi="宋体" w:eastAsia="宋体" w:cs="宋体"/>
          <w:color w:val="auto"/>
          <w:sz w:val="36"/>
          <w:szCs w:val="36"/>
          <w:lang w:val="en-US" w:eastAsia="zh-CN"/>
        </w:rPr>
      </w:pPr>
    </w:p>
    <w:p w14:paraId="1BA8384B">
      <w:pPr>
        <w:pStyle w:val="2"/>
        <w:jc w:val="both"/>
        <w:rPr>
          <w:rFonts w:hint="eastAsia" w:ascii="宋体" w:hAnsi="宋体" w:eastAsia="宋体" w:cs="宋体"/>
          <w:color w:val="auto"/>
          <w:sz w:val="36"/>
          <w:szCs w:val="36"/>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p w14:paraId="5D283E59">
      <w:pPr>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XB20260630-01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6D859752">
      <w:pPr>
        <w:spacing w:line="360" w:lineRule="auto"/>
        <w:jc w:val="center"/>
        <w:rPr>
          <w:rFonts w:hint="default" w:ascii="Times New Roman" w:hAnsi="Times New Roman" w:eastAsia="黑体"/>
          <w:color w:val="auto"/>
          <w:sz w:val="44"/>
          <w:szCs w:val="44"/>
          <w:highlight w:val="none"/>
          <w:lang w:val="en-US" w:eastAsia="zh-CN"/>
        </w:rPr>
      </w:pPr>
      <w:r>
        <w:rPr>
          <w:rFonts w:hint="eastAsia" w:ascii="黑体" w:hAnsi="黑体" w:eastAsia="黑体" w:cs="黑体"/>
          <w:b/>
          <w:bCs/>
          <w:color w:val="auto"/>
          <w:sz w:val="44"/>
          <w:szCs w:val="44"/>
          <w:lang w:val="en-US" w:eastAsia="zh-CN"/>
        </w:rPr>
        <w:t>2026年6月小型装载机</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采购项目二次询比</w:t>
      </w:r>
      <w:r>
        <w:rPr>
          <w:rFonts w:hint="eastAsia" w:ascii="黑体" w:hAnsi="黑体" w:eastAsia="黑体" w:cs="黑体"/>
          <w:b/>
          <w:bCs/>
          <w:color w:val="auto"/>
          <w:sz w:val="44"/>
          <w:szCs w:val="44"/>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156E7605">
      <w:pPr>
        <w:rPr>
          <w:rFonts w:hint="eastAsia" w:ascii="仿宋" w:hAnsi="仿宋" w:eastAsia="仿宋" w:cs="仿宋"/>
          <w:color w:val="auto"/>
          <w:sz w:val="32"/>
          <w:szCs w:val="32"/>
        </w:rPr>
      </w:pPr>
    </w:p>
    <w:p w14:paraId="5C6DACAA">
      <w:pPr>
        <w:rPr>
          <w:rFonts w:hint="eastAsia" w:ascii="仿宋" w:hAnsi="仿宋" w:eastAsia="仿宋" w:cs="仿宋"/>
          <w:color w:val="auto"/>
          <w:sz w:val="32"/>
          <w:szCs w:val="32"/>
        </w:rPr>
      </w:pPr>
    </w:p>
    <w:p w14:paraId="3A4E5EA6">
      <w:pPr>
        <w:rPr>
          <w:rFonts w:hint="eastAsia" w:ascii="仿宋" w:hAnsi="仿宋" w:eastAsia="仿宋" w:cs="仿宋"/>
          <w:color w:val="auto"/>
          <w:sz w:val="32"/>
          <w:szCs w:val="32"/>
        </w:rPr>
      </w:pPr>
    </w:p>
    <w:p w14:paraId="4FD35501">
      <w:pPr>
        <w:spacing w:line="360" w:lineRule="auto"/>
        <w:ind w:firstLine="2570" w:firstLineChars="8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75" w:name="_Toc3885"/>
      <w:bookmarkStart w:id="176" w:name="_Toc504488767"/>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5"/>
      <w:bookmarkEnd w:id="176"/>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77" w:name="_Toc504488768"/>
      <w:bookmarkStart w:id="178" w:name="_Toc16531"/>
      <w:r>
        <w:rPr>
          <w:rFonts w:hint="eastAsia" w:ascii="黑体" w:hAnsi="黑体" w:eastAsia="黑体" w:cs="黑体"/>
          <w:b w:val="0"/>
          <w:bCs/>
          <w:color w:val="auto"/>
          <w:sz w:val="36"/>
          <w:szCs w:val="36"/>
        </w:rPr>
        <w:t>一、</w:t>
      </w:r>
      <w:bookmarkEnd w:id="177"/>
      <w:bookmarkEnd w:id="178"/>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79" w:name="OLE_LINK1"/>
      <w:r>
        <w:rPr>
          <w:rFonts w:hint="eastAsia" w:ascii="仿宋" w:hAnsi="仿宋" w:eastAsia="仿宋" w:cs="仿宋"/>
          <w:color w:val="auto"/>
          <w:sz w:val="32"/>
          <w:szCs w:val="32"/>
          <w:lang w:val="en-US" w:eastAsia="zh-CN"/>
        </w:rPr>
        <w:t>第一条第十一款</w:t>
      </w:r>
      <w:bookmarkEnd w:id="179"/>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80" w:name="_Toc28734"/>
      <w:bookmarkStart w:id="181" w:name="_Toc504488769"/>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80"/>
      <w:bookmarkEnd w:id="181"/>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82" w:name="_Toc352691662"/>
      <w:bookmarkStart w:id="183" w:name="_Toc369531698"/>
      <w:bookmarkStart w:id="184" w:name="_Toc27897"/>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82"/>
      <w:bookmarkEnd w:id="183"/>
      <w:bookmarkEnd w:id="184"/>
      <w:r>
        <w:rPr>
          <w:rFonts w:hint="eastAsia" w:ascii="仿宋" w:hAnsi="仿宋" w:eastAsia="仿宋" w:cs="仿宋"/>
          <w:color w:val="auto"/>
          <w:sz w:val="32"/>
          <w:szCs w:val="32"/>
        </w:rPr>
        <w:t>龄</w:t>
      </w:r>
      <w:bookmarkStart w:id="185" w:name="_Toc144974858"/>
      <w:bookmarkStart w:id="186" w:name="_Toc384308377"/>
      <w:bookmarkStart w:id="187" w:name="_Toc152045789"/>
      <w:bookmarkStart w:id="188" w:name="_Toc369531699"/>
      <w:bookmarkStart w:id="189" w:name="_Toc361508754"/>
      <w:bookmarkStart w:id="190" w:name="_Toc352691663"/>
      <w:bookmarkStart w:id="191" w:name="_Toc247527829"/>
      <w:bookmarkStart w:id="192" w:name="_Toc152042578"/>
      <w:bookmarkStart w:id="193" w:name="_Toc247514248"/>
      <w:bookmarkStart w:id="194" w:name="_Toc15573"/>
      <w:bookmarkStart w:id="195" w:name="_Toc300835211"/>
      <w:r>
        <w:rPr>
          <w:rFonts w:hint="eastAsia" w:ascii="仿宋" w:hAnsi="仿宋" w:eastAsia="仿宋" w:cs="仿宋"/>
          <w:color w:val="auto"/>
          <w:sz w:val="32"/>
          <w:szCs w:val="32"/>
        </w:rPr>
        <w:t>：</w:t>
      </w:r>
      <w:bookmarkEnd w:id="185"/>
      <w:bookmarkEnd w:id="186"/>
      <w:bookmarkEnd w:id="187"/>
      <w:bookmarkEnd w:id="188"/>
      <w:bookmarkEnd w:id="189"/>
      <w:bookmarkEnd w:id="190"/>
      <w:bookmarkEnd w:id="191"/>
      <w:bookmarkEnd w:id="192"/>
      <w:bookmarkEnd w:id="193"/>
      <w:bookmarkEnd w:id="194"/>
      <w:bookmarkEnd w:id="195"/>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96" w:name="_Toc2777"/>
      <w:bookmarkStart w:id="197" w:name="_Toc504488770"/>
      <w:r>
        <w:rPr>
          <w:rFonts w:hint="eastAsia" w:ascii="黑体" w:hAnsi="黑体" w:cs="黑体"/>
          <w:color w:val="auto"/>
          <w:sz w:val="36"/>
          <w:szCs w:val="36"/>
          <w:lang w:eastAsia="zh-CN"/>
        </w:rPr>
        <w:t>三</w:t>
      </w:r>
      <w:r>
        <w:rPr>
          <w:rFonts w:hint="eastAsia" w:ascii="黑体" w:hAnsi="黑体" w:eastAsia="黑体" w:cs="黑体"/>
          <w:color w:val="auto"/>
          <w:sz w:val="36"/>
          <w:szCs w:val="36"/>
        </w:rPr>
        <w:t>、授权委托书</w:t>
      </w:r>
      <w:bookmarkEnd w:id="196"/>
      <w:bookmarkEnd w:id="197"/>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57738B6">
      <w:pPr>
        <w:pStyle w:val="3"/>
        <w:spacing w:after="0" w:line="413" w:lineRule="auto"/>
        <w:jc w:val="center"/>
        <w:rPr>
          <w:rFonts w:hint="eastAsia" w:ascii="黑体" w:hAnsi="黑体" w:eastAsia="黑体" w:cs="黑体"/>
          <w:color w:val="auto"/>
          <w:sz w:val="36"/>
          <w:szCs w:val="36"/>
          <w:u w:val="single"/>
          <w:lang w:eastAsia="zh-CN"/>
        </w:rPr>
      </w:pPr>
      <w:bookmarkStart w:id="198" w:name="_Toc504488772"/>
      <w:bookmarkStart w:id="199" w:name="_Toc7842"/>
      <w:r>
        <w:rPr>
          <w:rFonts w:hint="eastAsia" w:ascii="黑体" w:hAnsi="黑体" w:cs="黑体"/>
          <w:color w:val="auto"/>
          <w:sz w:val="36"/>
          <w:szCs w:val="36"/>
          <w:lang w:val="en-US" w:eastAsia="zh-CN"/>
        </w:rPr>
        <w:t>四</w:t>
      </w:r>
      <w:r>
        <w:rPr>
          <w:rFonts w:hint="eastAsia" w:ascii="黑体" w:hAnsi="黑体" w:eastAsia="黑体" w:cs="黑体"/>
          <w:color w:val="auto"/>
          <w:sz w:val="36"/>
          <w:szCs w:val="36"/>
        </w:rPr>
        <w:t>、</w:t>
      </w:r>
      <w:bookmarkEnd w:id="198"/>
      <w:bookmarkEnd w:id="199"/>
      <w:r>
        <w:rPr>
          <w:rFonts w:hint="eastAsia" w:ascii="黑体" w:hAnsi="黑体" w:eastAsia="黑体" w:cs="黑体"/>
          <w:color w:val="auto"/>
          <w:sz w:val="36"/>
          <w:szCs w:val="36"/>
          <w:lang w:eastAsia="zh-CN"/>
        </w:rPr>
        <w:t>响应保证金</w:t>
      </w:r>
    </w:p>
    <w:p w14:paraId="44122CD4">
      <w:pPr>
        <w:spacing w:line="440" w:lineRule="exact"/>
        <w:rPr>
          <w:rFonts w:hint="eastAsia" w:ascii="仿宋" w:hAnsi="仿宋" w:eastAsia="仿宋" w:cs="仿宋"/>
          <w:b/>
          <w:bCs/>
          <w:color w:val="auto"/>
          <w:sz w:val="32"/>
          <w:szCs w:val="32"/>
        </w:rPr>
      </w:pP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3EFC3C4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银行开户许可证明材料（复印件）</w:t>
      </w:r>
    </w:p>
    <w:p w14:paraId="2C3010EB">
      <w:pPr>
        <w:spacing w:line="440" w:lineRule="exact"/>
        <w:rPr>
          <w:rFonts w:hint="eastAsia" w:ascii="仿宋" w:hAnsi="仿宋" w:eastAsia="仿宋" w:cs="仿宋"/>
          <w:color w:val="auto"/>
          <w:sz w:val="32"/>
          <w:szCs w:val="32"/>
          <w:u w:val="single"/>
        </w:rPr>
      </w:pPr>
    </w:p>
    <w:p w14:paraId="200F8924">
      <w:pPr>
        <w:spacing w:line="440" w:lineRule="exact"/>
        <w:rPr>
          <w:rFonts w:hint="eastAsia" w:ascii="仿宋" w:hAnsi="仿宋" w:eastAsia="仿宋" w:cs="仿宋"/>
          <w:color w:val="auto"/>
          <w:sz w:val="32"/>
          <w:szCs w:val="32"/>
          <w:u w:val="single"/>
        </w:rPr>
      </w:pPr>
    </w:p>
    <w:p w14:paraId="72AD2831">
      <w:pPr>
        <w:pStyle w:val="3"/>
        <w:pageBreakBefore/>
        <w:snapToGrid w:val="0"/>
        <w:spacing w:before="0" w:after="0" w:line="288" w:lineRule="auto"/>
        <w:rPr>
          <w:rFonts w:hint="eastAsia" w:ascii="仿宋" w:hAnsi="仿宋" w:eastAsia="仿宋" w:cs="仿宋"/>
          <w:color w:val="auto"/>
          <w:sz w:val="32"/>
          <w:szCs w:val="32"/>
        </w:rPr>
      </w:pPr>
      <w:bookmarkStart w:id="200" w:name="_Toc20660403"/>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担保函</w:t>
      </w:r>
      <w:bookmarkEnd w:id="200"/>
    </w:p>
    <w:p w14:paraId="7D3B6591">
      <w:pPr>
        <w:pStyle w:val="5"/>
        <w:snapToGrid w:val="0"/>
        <w:spacing w:before="24" w:after="24" w:line="312" w:lineRule="auto"/>
        <w:ind w:left="0" w:leftChars="0" w:firstLine="0" w:firstLineChars="0"/>
        <w:jc w:val="both"/>
        <w:rPr>
          <w:rFonts w:hint="eastAsia" w:ascii="仿宋" w:hAnsi="仿宋" w:eastAsia="仿宋" w:cs="仿宋"/>
          <w:color w:val="auto"/>
          <w:sz w:val="32"/>
          <w:szCs w:val="32"/>
        </w:rPr>
      </w:pPr>
      <w:r>
        <w:rPr>
          <w:rFonts w:hint="eastAsia" w:ascii="仿宋" w:hAnsi="仿宋" w:eastAsia="仿宋" w:cs="仿宋"/>
          <w:bCs/>
          <w:color w:val="auto"/>
          <w:sz w:val="32"/>
          <w:szCs w:val="32"/>
          <w:lang w:val="zh-CN"/>
        </w:rPr>
        <w:t>（适用于采用保函形式缴纳响应保证金的情况）</w:t>
      </w:r>
      <w:r>
        <w:rPr>
          <w:rFonts w:hint="eastAsia" w:ascii="仿宋" w:hAnsi="仿宋" w:eastAsia="仿宋" w:cs="仿宋"/>
          <w:bCs/>
          <w:color w:val="auto"/>
          <w:sz w:val="32"/>
          <w:szCs w:val="32"/>
        </w:rPr>
        <w:t>(参考格式）</w:t>
      </w:r>
    </w:p>
    <w:p w14:paraId="0CBE35DA">
      <w:pPr>
        <w:snapToGrid w:val="0"/>
        <w:spacing w:line="312" w:lineRule="auto"/>
        <w:ind w:right="480"/>
        <w:jc w:val="center"/>
        <w:rPr>
          <w:rFonts w:hint="eastAsia" w:ascii="仿宋" w:hAnsi="仿宋" w:eastAsia="仿宋" w:cs="仿宋"/>
          <w:color w:val="auto"/>
          <w:sz w:val="32"/>
          <w:szCs w:val="32"/>
        </w:rPr>
      </w:pPr>
      <w:r>
        <w:rPr>
          <w:rFonts w:hint="eastAsia" w:ascii="仿宋" w:hAnsi="仿宋" w:eastAsia="仿宋" w:cs="仿宋"/>
          <w:color w:val="auto"/>
          <w:sz w:val="32"/>
          <w:szCs w:val="32"/>
        </w:rPr>
        <w:t>保函编号:</w:t>
      </w:r>
    </w:p>
    <w:p w14:paraId="0BE97BE3">
      <w:pPr>
        <w:snapToGrid w:val="0"/>
        <w:spacing w:line="312"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致</w:t>
      </w:r>
      <w:r>
        <w:rPr>
          <w:rFonts w:hint="eastAsia" w:ascii="仿宋" w:hAnsi="仿宋" w:eastAsia="仿宋" w:cs="仿宋"/>
          <w:color w:val="auto"/>
          <w:sz w:val="32"/>
          <w:szCs w:val="32"/>
          <w:u w:val="single"/>
        </w:rPr>
        <w:t>陕西</w:t>
      </w:r>
      <w:r>
        <w:rPr>
          <w:rFonts w:hint="eastAsia" w:ascii="仿宋" w:hAnsi="仿宋" w:eastAsia="仿宋" w:cs="仿宋"/>
          <w:color w:val="auto"/>
          <w:sz w:val="32"/>
          <w:szCs w:val="32"/>
          <w:u w:val="single"/>
          <w:lang w:val="en-US" w:eastAsia="zh-CN"/>
        </w:rPr>
        <w:t>锌业</w:t>
      </w:r>
      <w:r>
        <w:rPr>
          <w:rFonts w:hint="eastAsia" w:ascii="仿宋" w:hAnsi="仿宋" w:eastAsia="仿宋" w:cs="仿宋"/>
          <w:color w:val="auto"/>
          <w:sz w:val="32"/>
          <w:szCs w:val="32"/>
          <w:u w:val="single"/>
        </w:rPr>
        <w:t>有限公司</w:t>
      </w:r>
      <w:r>
        <w:rPr>
          <w:rFonts w:hint="eastAsia" w:ascii="仿宋" w:hAnsi="仿宋" w:eastAsia="仿宋" w:cs="仿宋"/>
          <w:color w:val="auto"/>
          <w:sz w:val="32"/>
          <w:szCs w:val="32"/>
        </w:rPr>
        <w:t>:</w:t>
      </w:r>
    </w:p>
    <w:p w14:paraId="7541C69C">
      <w:pPr>
        <w:snapToGrid w:val="0"/>
        <w:spacing w:line="312"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鉴于</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(下称被保证人)将于</w:t>
      </w:r>
      <w:r>
        <w:rPr>
          <w:rFonts w:hint="eastAsia" w:ascii="仿宋" w:hAnsi="仿宋" w:eastAsia="仿宋" w:cs="仿宋"/>
          <w:color w:val="auto"/>
          <w:sz w:val="32"/>
          <w:szCs w:val="32"/>
          <w:u w:val="single"/>
        </w:rPr>
        <w:t>    年  月  日</w:t>
      </w:r>
      <w:r>
        <w:rPr>
          <w:rFonts w:hint="eastAsia" w:ascii="仿宋" w:hAnsi="仿宋" w:eastAsia="仿宋" w:cs="仿宋"/>
          <w:color w:val="auto"/>
          <w:sz w:val="32"/>
          <w:szCs w:val="32"/>
        </w:rPr>
        <w:t>参加贵</w:t>
      </w:r>
      <w:r>
        <w:rPr>
          <w:rFonts w:hint="eastAsia" w:ascii="仿宋" w:hAnsi="仿宋" w:eastAsia="仿宋" w:cs="仿宋"/>
          <w:color w:val="auto"/>
          <w:sz w:val="32"/>
          <w:szCs w:val="32"/>
          <w:lang w:val="en-US" w:eastAsia="zh-CN"/>
        </w:rPr>
        <w:t>司</w:t>
      </w:r>
      <w:r>
        <w:rPr>
          <w:rFonts w:hint="eastAsia" w:ascii="仿宋" w:hAnsi="仿宋" w:eastAsia="仿宋" w:cs="仿宋"/>
          <w:color w:val="auto"/>
          <w:sz w:val="32"/>
          <w:szCs w:val="32"/>
          <w:lang w:eastAsia="zh-CN"/>
        </w:rPr>
        <w:t>采购编号</w:t>
      </w:r>
      <w:r>
        <w:rPr>
          <w:rFonts w:hint="eastAsia" w:ascii="仿宋" w:hAnsi="仿宋" w:eastAsia="仿宋" w:cs="仿宋"/>
          <w:color w:val="auto"/>
          <w:sz w:val="32"/>
          <w:szCs w:val="32"/>
        </w:rPr>
        <w:t>为</w:t>
      </w:r>
      <w:r>
        <w:rPr>
          <w:rFonts w:hint="eastAsia" w:ascii="仿宋" w:hAnsi="仿宋" w:eastAsia="仿宋" w:cs="仿宋"/>
          <w:color w:val="auto"/>
          <w:sz w:val="32"/>
          <w:szCs w:val="32"/>
          <w:u w:val="single"/>
        </w:rPr>
        <w:t> （采购项目编号）</w:t>
      </w:r>
      <w:r>
        <w:rPr>
          <w:rFonts w:hint="eastAsia" w:ascii="仿宋" w:hAnsi="仿宋" w:eastAsia="仿宋" w:cs="仿宋"/>
          <w:color w:val="auto"/>
          <w:sz w:val="32"/>
          <w:szCs w:val="32"/>
        </w:rPr>
        <w:t>的</w:t>
      </w:r>
      <w:r>
        <w:rPr>
          <w:rFonts w:hint="eastAsia" w:ascii="仿宋" w:hAnsi="仿宋" w:eastAsia="仿宋" w:cs="仿宋"/>
          <w:color w:val="auto"/>
          <w:sz w:val="32"/>
          <w:szCs w:val="32"/>
          <w:u w:val="single"/>
        </w:rPr>
        <w:t>  （项目名称/标包名称）</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,我方接受被保证人的委托,在此向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提供不可撤销的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保证：</w:t>
      </w:r>
    </w:p>
    <w:p w14:paraId="1E17F36A">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仿宋"/>
          <w:color w:val="auto"/>
          <w:sz w:val="32"/>
          <w:szCs w:val="32"/>
        </w:rPr>
        <w:t>本保证担保的担保金额为</w:t>
      </w:r>
      <w:r>
        <w:rPr>
          <w:rFonts w:hint="eastAsia" w:ascii="仿宋" w:hAnsi="仿宋" w:eastAsia="仿宋" w:cs="仿宋"/>
          <w:color w:val="auto"/>
          <w:sz w:val="32"/>
          <w:szCs w:val="32"/>
          <w:u w:val="single"/>
        </w:rPr>
        <w:t>人民币</w:t>
      </w:r>
      <w:r>
        <w:rPr>
          <w:rFonts w:hint="eastAsia" w:ascii="仿宋" w:hAnsi="仿宋" w:eastAsia="仿宋" w:cs="仿宋"/>
          <w:color w:val="auto"/>
          <w:sz w:val="32"/>
          <w:szCs w:val="32"/>
        </w:rPr>
        <w:t>(币种</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元(小写)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none"/>
        </w:rPr>
        <w:t>元整</w:t>
      </w:r>
      <w:r>
        <w:rPr>
          <w:rFonts w:hint="eastAsia" w:ascii="仿宋" w:hAnsi="仿宋" w:eastAsia="仿宋" w:cs="仿宋"/>
          <w:color w:val="auto"/>
          <w:sz w:val="32"/>
          <w:szCs w:val="32"/>
        </w:rPr>
        <w:t>(大写）。</w:t>
      </w:r>
    </w:p>
    <w:p w14:paraId="4B9CCCB1">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仿宋"/>
          <w:color w:val="auto"/>
          <w:sz w:val="32"/>
          <w:szCs w:val="32"/>
        </w:rPr>
        <w:t>本保证担保的保证期间为该项目的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w:t>
      </w:r>
    </w:p>
    <w:p w14:paraId="0994BB7D">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仿宋"/>
          <w:color w:val="auto"/>
          <w:sz w:val="32"/>
          <w:szCs w:val="32"/>
        </w:rPr>
        <w:t>在本保证担保的保证期间内,如果被保证人出现下列情形之一,</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可以向我方提起索赔：</w:t>
      </w:r>
    </w:p>
    <w:p w14:paraId="3A793D9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1、被保证人在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内撤销其</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w:t>
      </w:r>
    </w:p>
    <w:p w14:paraId="3F2A8EF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的要求签署合同；</w:t>
      </w:r>
    </w:p>
    <w:p w14:paraId="03FF46D1">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的规定提交履约担保；</w:t>
      </w:r>
    </w:p>
    <w:p w14:paraId="0B523897">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四、在本保证担保的保证期间内,我方收到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经法定代表人或其授权委托代理人签字并加盖公章的书面索赔通知后,将不争辩、不挑剔、不可撤销地立即向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w:t>
      </w:r>
    </w:p>
    <w:p w14:paraId="671166F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的索赔通知应当说明索赔理由,并必须在本保证担保的保证期间内送达我方。</w:t>
      </w:r>
    </w:p>
    <w:p w14:paraId="33CB28B6">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六、本保证担保项下的权利不得转让。</w:t>
      </w:r>
    </w:p>
    <w:p w14:paraId="22C4E75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七、本保证担保的保证期间届满,或我方已向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支付本保证担保的担保金额,我方的保证责任免除。</w:t>
      </w:r>
    </w:p>
    <w:p w14:paraId="429D62E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八、本保证担保适用中华人民共和国法律。</w:t>
      </w:r>
    </w:p>
    <w:p w14:paraId="548EF0A0">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九、本保证担保以中文文本为准,涂改无效。</w:t>
      </w:r>
    </w:p>
    <w:p w14:paraId="7CB4AF17">
      <w:pPr>
        <w:snapToGrid w:val="0"/>
        <w:spacing w:line="312" w:lineRule="auto"/>
        <w:rPr>
          <w:rFonts w:hint="eastAsia" w:ascii="仿宋" w:hAnsi="仿宋" w:eastAsia="仿宋" w:cs="仿宋"/>
          <w:color w:val="auto"/>
          <w:sz w:val="32"/>
          <w:szCs w:val="32"/>
        </w:rPr>
      </w:pPr>
    </w:p>
    <w:p w14:paraId="2F516EA9">
      <w:pPr>
        <w:snapToGrid w:val="0"/>
        <w:spacing w:line="312" w:lineRule="auto"/>
        <w:rPr>
          <w:rFonts w:hint="eastAsia" w:ascii="仿宋" w:hAnsi="仿宋" w:eastAsia="仿宋" w:cs="仿宋"/>
          <w:color w:val="auto"/>
          <w:sz w:val="32"/>
          <w:szCs w:val="32"/>
        </w:rPr>
      </w:pPr>
    </w:p>
    <w:p w14:paraId="0918331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保证人(盖章):</w:t>
      </w:r>
      <w:r>
        <w:rPr>
          <w:rFonts w:hint="eastAsia" w:ascii="仿宋" w:hAnsi="仿宋" w:eastAsia="仿宋" w:cs="仿宋"/>
          <w:color w:val="auto"/>
          <w:sz w:val="32"/>
          <w:szCs w:val="32"/>
          <w:u w:val="single"/>
        </w:rPr>
        <w:t xml:space="preserve">     </w:t>
      </w:r>
    </w:p>
    <w:p w14:paraId="4BF45487">
      <w:pPr>
        <w:snapToGrid w:val="0"/>
        <w:spacing w:line="312" w:lineRule="auto"/>
        <w:rPr>
          <w:rFonts w:hint="eastAsia" w:ascii="仿宋" w:hAnsi="仿宋" w:eastAsia="仿宋" w:cs="仿宋"/>
          <w:color w:val="auto"/>
          <w:sz w:val="32"/>
          <w:szCs w:val="32"/>
        </w:rPr>
      </w:pPr>
    </w:p>
    <w:p w14:paraId="0E9ACF3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法定代表人或其授权委托代理人(签字或盖章）：</w:t>
      </w:r>
    </w:p>
    <w:p w14:paraId="2A762E87">
      <w:pPr>
        <w:snapToGrid w:val="0"/>
        <w:spacing w:line="312" w:lineRule="auto"/>
        <w:rPr>
          <w:rFonts w:hint="eastAsia" w:ascii="仿宋" w:hAnsi="仿宋" w:eastAsia="仿宋" w:cs="仿宋"/>
          <w:color w:val="auto"/>
          <w:sz w:val="32"/>
          <w:szCs w:val="32"/>
        </w:rPr>
      </w:pPr>
    </w:p>
    <w:p w14:paraId="1B316FD2">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单位地址:</w:t>
      </w:r>
      <w:r>
        <w:rPr>
          <w:rFonts w:hint="eastAsia" w:ascii="仿宋" w:hAnsi="仿宋" w:eastAsia="仿宋" w:cs="仿宋"/>
          <w:color w:val="auto"/>
          <w:sz w:val="32"/>
          <w:szCs w:val="32"/>
          <w:u w:val="single"/>
        </w:rPr>
        <w:t xml:space="preserve">    </w:t>
      </w:r>
    </w:p>
    <w:p w14:paraId="1D2E5DFE">
      <w:pPr>
        <w:snapToGrid w:val="0"/>
        <w:spacing w:line="312" w:lineRule="auto"/>
        <w:ind w:firstLine="1280" w:firstLineChars="400"/>
        <w:rPr>
          <w:rFonts w:hint="eastAsia" w:ascii="仿宋" w:hAnsi="仿宋" w:eastAsia="仿宋" w:cs="仿宋"/>
          <w:color w:val="auto"/>
          <w:sz w:val="32"/>
          <w:szCs w:val="32"/>
        </w:rPr>
      </w:pPr>
    </w:p>
    <w:p w14:paraId="71F045FF">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5B96D0B7">
      <w:pPr>
        <w:pStyle w:val="8"/>
        <w:snapToGrid w:val="0"/>
        <w:spacing w:after="120"/>
        <w:ind w:firstLine="0" w:firstLineChars="0"/>
        <w:jc w:val="both"/>
        <w:rPr>
          <w:rFonts w:hint="eastAsia" w:ascii="仿宋" w:hAnsi="仿宋" w:eastAsia="仿宋" w:cs="仿宋"/>
          <w:color w:val="auto"/>
          <w:sz w:val="32"/>
          <w:szCs w:val="32"/>
        </w:rPr>
      </w:pPr>
    </w:p>
    <w:p w14:paraId="48F53E70">
      <w:pPr>
        <w:pStyle w:val="8"/>
        <w:snapToGrid w:val="0"/>
        <w:spacing w:after="120"/>
        <w:ind w:firstLine="0" w:firstLineChars="0"/>
        <w:jc w:val="both"/>
        <w:rPr>
          <w:rFonts w:hint="eastAsia" w:ascii="仿宋" w:hAnsi="仿宋" w:eastAsia="仿宋" w:cs="仿宋"/>
          <w:color w:val="auto"/>
          <w:sz w:val="32"/>
          <w:szCs w:val="32"/>
        </w:rPr>
      </w:pPr>
    </w:p>
    <w:p w14:paraId="3638099E">
      <w:pPr>
        <w:pStyle w:val="8"/>
        <w:snapToGrid w:val="0"/>
        <w:spacing w:after="120"/>
        <w:ind w:firstLine="4480" w:firstLineChars="1400"/>
        <w:jc w:val="both"/>
        <w:rPr>
          <w:rFonts w:hint="eastAsia" w:ascii="仿宋" w:hAnsi="仿宋" w:eastAsia="仿宋" w:cs="仿宋"/>
          <w:color w:val="auto"/>
          <w:sz w:val="32"/>
          <w:szCs w:val="32"/>
        </w:rPr>
      </w:pPr>
      <w:r>
        <w:rPr>
          <w:rFonts w:hint="eastAsia" w:ascii="仿宋" w:hAnsi="仿宋" w:eastAsia="仿宋" w:cs="仿宋"/>
          <w:color w:val="auto"/>
          <w:sz w:val="32"/>
          <w:szCs w:val="32"/>
        </w:rPr>
        <w:t>日期: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日</w:t>
      </w:r>
    </w:p>
    <w:p w14:paraId="50FD67BF">
      <w:pPr>
        <w:widowControl/>
        <w:jc w:val="left"/>
        <w:rPr>
          <w:rFonts w:ascii="Times New Roman" w:hAnsi="Times New Roman"/>
          <w:color w:val="auto"/>
          <w:sz w:val="24"/>
          <w:szCs w:val="24"/>
        </w:rPr>
      </w:pPr>
    </w:p>
    <w:p w14:paraId="2537484B">
      <w:pPr>
        <w:spacing w:line="440" w:lineRule="exact"/>
        <w:jc w:val="both"/>
        <w:rPr>
          <w:rFonts w:ascii="Times New Roman" w:hAnsi="Times New Roman" w:eastAsia="黑体"/>
          <w:color w:val="auto"/>
          <w:sz w:val="27"/>
          <w:szCs w:val="27"/>
        </w:rPr>
      </w:pPr>
      <w:r>
        <w:rPr>
          <w:rFonts w:ascii="Times New Roman" w:hAnsi="Times New Roman" w:eastAsia="黑体"/>
          <w:color w:val="auto"/>
          <w:sz w:val="20"/>
        </w:rPr>
        <w:br w:type="page"/>
      </w:r>
    </w:p>
    <w:p w14:paraId="4E6EA452">
      <w:pPr>
        <w:pStyle w:val="3"/>
        <w:numPr>
          <w:ilvl w:val="0"/>
          <w:numId w:val="1"/>
        </w:numPr>
        <w:ind w:left="0" w:leftChars="0" w:firstLine="723" w:firstLineChars="200"/>
        <w:jc w:val="left"/>
        <w:rPr>
          <w:rFonts w:hint="eastAsia" w:ascii="黑体" w:hAnsi="黑体" w:cs="黑体"/>
          <w:b/>
          <w:bCs/>
          <w:color w:val="auto"/>
          <w:kern w:val="2"/>
          <w:sz w:val="36"/>
          <w:szCs w:val="36"/>
          <w:lang w:val="en-US" w:eastAsia="zh-CN" w:bidi="ar-SA"/>
        </w:rPr>
      </w:pPr>
      <w:bookmarkStart w:id="201" w:name="_Toc1755"/>
      <w:bookmarkStart w:id="202" w:name="_Toc504488775"/>
      <w:r>
        <w:rPr>
          <w:rFonts w:hint="eastAsia" w:ascii="黑体" w:hAnsi="黑体" w:eastAsia="黑体" w:cs="黑体"/>
          <w:b/>
          <w:bCs/>
          <w:color w:val="auto"/>
          <w:kern w:val="2"/>
          <w:sz w:val="36"/>
          <w:szCs w:val="36"/>
          <w:lang w:val="en-US" w:eastAsia="zh-CN" w:bidi="ar-SA"/>
        </w:rPr>
        <w:t>分项报价表</w:t>
      </w:r>
      <w:r>
        <w:rPr>
          <w:rFonts w:hint="eastAsia" w:ascii="黑体" w:hAnsi="黑体" w:cs="黑体"/>
          <w:b/>
          <w:bCs/>
          <w:color w:val="auto"/>
          <w:kern w:val="2"/>
          <w:sz w:val="36"/>
          <w:szCs w:val="36"/>
          <w:lang w:val="en-US" w:eastAsia="zh-CN" w:bidi="ar-SA"/>
        </w:rPr>
        <w:t>及技术要求</w:t>
      </w:r>
    </w:p>
    <w:p w14:paraId="63776285">
      <w:p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rPr>
        <w:t>（</w:t>
      </w:r>
      <w:r>
        <w:rPr>
          <w:rFonts w:hint="eastAsia" w:ascii="CESI黑体-GB13000" w:hAnsi="CESI黑体-GB13000" w:eastAsia="CESI黑体-GB13000" w:cs="CESI黑体-GB13000"/>
          <w:b/>
          <w:bCs/>
          <w:color w:val="auto"/>
          <w:sz w:val="28"/>
          <w:szCs w:val="28"/>
          <w:highlight w:val="none"/>
          <w:lang w:val="en-US" w:eastAsia="zh-CN"/>
        </w:rPr>
        <w:t>2026年6月小型装载机二次询比</w:t>
      </w:r>
      <w:r>
        <w:rPr>
          <w:rFonts w:hint="eastAsia" w:ascii="宋体" w:hAnsi="宋体" w:eastAsia="宋体" w:cs="宋体"/>
          <w:b/>
          <w:bCs/>
          <w:color w:val="auto"/>
          <w:sz w:val="30"/>
          <w:szCs w:val="30"/>
          <w:highlight w:val="none"/>
          <w:lang w:val="en-US" w:eastAsia="zh-CN"/>
        </w:rPr>
        <w:t>）</w:t>
      </w:r>
    </w:p>
    <w:tbl>
      <w:tblPr>
        <w:tblStyle w:val="10"/>
        <w:tblW w:w="91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515"/>
        <w:gridCol w:w="3090"/>
        <w:gridCol w:w="570"/>
        <w:gridCol w:w="570"/>
        <w:gridCol w:w="885"/>
        <w:gridCol w:w="930"/>
        <w:gridCol w:w="930"/>
      </w:tblGrid>
      <w:tr w14:paraId="6D28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9F02B3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编号</w:t>
            </w:r>
          </w:p>
        </w:tc>
        <w:tc>
          <w:tcPr>
            <w:tcW w:w="1515" w:type="dxa"/>
            <w:vAlign w:val="center"/>
          </w:tcPr>
          <w:p w14:paraId="598A3104">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rPr>
              <w:t>名称</w:t>
            </w:r>
          </w:p>
        </w:tc>
        <w:tc>
          <w:tcPr>
            <w:tcW w:w="3090" w:type="dxa"/>
            <w:vAlign w:val="center"/>
          </w:tcPr>
          <w:p w14:paraId="77CCC2D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规格型号</w:t>
            </w:r>
          </w:p>
        </w:tc>
        <w:tc>
          <w:tcPr>
            <w:tcW w:w="570" w:type="dxa"/>
            <w:vAlign w:val="center"/>
          </w:tcPr>
          <w:p w14:paraId="3F6603D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highlight w:val="none"/>
              </w:rPr>
              <w:t>数量</w:t>
            </w:r>
          </w:p>
        </w:tc>
        <w:tc>
          <w:tcPr>
            <w:tcW w:w="570" w:type="dxa"/>
            <w:vAlign w:val="center"/>
          </w:tcPr>
          <w:p w14:paraId="75EF0A3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单位</w:t>
            </w:r>
          </w:p>
        </w:tc>
        <w:tc>
          <w:tcPr>
            <w:tcW w:w="885" w:type="dxa"/>
            <w:vAlign w:val="center"/>
          </w:tcPr>
          <w:p w14:paraId="4B20CF8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单</w:t>
            </w:r>
            <w:r>
              <w:rPr>
                <w:rFonts w:hint="eastAsia" w:asciiTheme="minorEastAsia" w:hAnsiTheme="minorEastAsia" w:eastAsiaTheme="minorEastAsia" w:cstheme="minorEastAsia"/>
                <w:color w:val="auto"/>
                <w:sz w:val="21"/>
                <w:szCs w:val="21"/>
                <w:highlight w:val="none"/>
              </w:rPr>
              <w:t>价</w:t>
            </w:r>
            <w:r>
              <w:rPr>
                <w:rFonts w:hint="eastAsia" w:asciiTheme="minorEastAsia" w:hAnsiTheme="minorEastAsia" w:eastAsiaTheme="minorEastAsia" w:cstheme="minorEastAsia"/>
                <w:color w:val="auto"/>
                <w:sz w:val="21"/>
                <w:szCs w:val="21"/>
                <w:highlight w:val="none"/>
                <w:lang w:val="en-US" w:eastAsia="zh-CN"/>
              </w:rPr>
              <w:t xml:space="preserve"> （元）</w:t>
            </w:r>
          </w:p>
        </w:tc>
        <w:tc>
          <w:tcPr>
            <w:tcW w:w="930" w:type="dxa"/>
            <w:vAlign w:val="center"/>
          </w:tcPr>
          <w:p w14:paraId="702D280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金额（元）</w:t>
            </w:r>
          </w:p>
        </w:tc>
        <w:tc>
          <w:tcPr>
            <w:tcW w:w="930" w:type="dxa"/>
            <w:vAlign w:val="center"/>
          </w:tcPr>
          <w:p w14:paraId="41F0EF6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供货周期</w:t>
            </w:r>
          </w:p>
        </w:tc>
      </w:tr>
      <w:tr w14:paraId="57CE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7A4F6F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515" w:type="dxa"/>
            <w:vAlign w:val="center"/>
          </w:tcPr>
          <w:p w14:paraId="26ACE2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小型装载机</w:t>
            </w:r>
          </w:p>
        </w:tc>
        <w:tc>
          <w:tcPr>
            <w:tcW w:w="3090" w:type="dxa"/>
            <w:vAlign w:val="center"/>
          </w:tcPr>
          <w:p w14:paraId="254D61F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柳工牌818H型燃油型，必须另外加装油浸式空气过滤器，铲斗宽2米，不带斗齿。</w:t>
            </w:r>
          </w:p>
        </w:tc>
        <w:tc>
          <w:tcPr>
            <w:tcW w:w="570" w:type="dxa"/>
            <w:vAlign w:val="center"/>
          </w:tcPr>
          <w:p w14:paraId="007C769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w:t>
            </w:r>
          </w:p>
        </w:tc>
        <w:tc>
          <w:tcPr>
            <w:tcW w:w="570" w:type="dxa"/>
            <w:vAlign w:val="center"/>
          </w:tcPr>
          <w:p w14:paraId="674B476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台</w:t>
            </w:r>
          </w:p>
        </w:tc>
        <w:tc>
          <w:tcPr>
            <w:tcW w:w="885" w:type="dxa"/>
            <w:vAlign w:val="center"/>
          </w:tcPr>
          <w:p w14:paraId="22F42BE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49DC0ED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7F33E8F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3CBD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30" w:type="dxa"/>
            <w:vAlign w:val="center"/>
          </w:tcPr>
          <w:p w14:paraId="5D8BA77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合计</w:t>
            </w:r>
          </w:p>
        </w:tc>
        <w:tc>
          <w:tcPr>
            <w:tcW w:w="1515" w:type="dxa"/>
            <w:vAlign w:val="center"/>
          </w:tcPr>
          <w:p w14:paraId="2B551A3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3090" w:type="dxa"/>
            <w:vAlign w:val="center"/>
          </w:tcPr>
          <w:p w14:paraId="26D07B2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6BFE509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21F7945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885" w:type="dxa"/>
            <w:vAlign w:val="center"/>
          </w:tcPr>
          <w:p w14:paraId="1B7D4F1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26CA8CA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A42406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r>
      <w:tr w14:paraId="352F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90" w:type="dxa"/>
            <w:gridSpan w:val="7"/>
            <w:vAlign w:val="center"/>
          </w:tcPr>
          <w:p w14:paraId="0E7E69F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color w:val="auto"/>
                <w:sz w:val="21"/>
                <w:szCs w:val="21"/>
                <w:vertAlign w:val="baseline"/>
                <w:lang w:val="en-US" w:eastAsia="zh-CN"/>
              </w:rPr>
              <w:t>按要求报价，</w:t>
            </w:r>
            <w:r>
              <w:rPr>
                <w:rFonts w:hint="eastAsia" w:asciiTheme="minorEastAsia" w:hAnsiTheme="minorEastAsia" w:cstheme="minorEastAsia"/>
                <w:color w:val="auto"/>
                <w:sz w:val="21"/>
                <w:szCs w:val="21"/>
                <w:vertAlign w:val="baseline"/>
                <w:lang w:val="en-US" w:eastAsia="zh-CN"/>
              </w:rPr>
              <w:t>报价时必须提供装载机性能参数及赠送保养物品明细表，</w:t>
            </w:r>
            <w:r>
              <w:rPr>
                <w:rFonts w:hint="eastAsia" w:asciiTheme="minorEastAsia" w:hAnsiTheme="minorEastAsia" w:eastAsiaTheme="minorEastAsia" w:cstheme="minorEastAsia"/>
                <w:i w:val="0"/>
                <w:iCs w:val="0"/>
                <w:color w:val="000000"/>
                <w:kern w:val="0"/>
                <w:sz w:val="21"/>
                <w:szCs w:val="21"/>
                <w:u w:val="none"/>
                <w:lang w:val="en-US" w:eastAsia="zh-CN" w:bidi="ar"/>
              </w:rPr>
              <w:t>否则报价无效</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报价时除原有的PDF报价单还必须同时上传一份电子文档报价单。</w:t>
            </w:r>
          </w:p>
        </w:tc>
        <w:tc>
          <w:tcPr>
            <w:tcW w:w="930" w:type="dxa"/>
            <w:vAlign w:val="center"/>
          </w:tcPr>
          <w:p w14:paraId="71123C9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p>
        </w:tc>
      </w:tr>
    </w:tbl>
    <w:p w14:paraId="624A8CA6">
      <w:pPr>
        <w:pStyle w:val="3"/>
        <w:spacing w:after="0"/>
        <w:ind w:firstLine="2319" w:firstLineChars="1100"/>
        <w:jc w:val="both"/>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报价单位（盖章）：</w:t>
      </w:r>
    </w:p>
    <w:p w14:paraId="7D732114">
      <w:pPr>
        <w:ind w:firstLine="2951" w:firstLineChars="1400"/>
        <w:rPr>
          <w:rFonts w:hint="eastAsia" w:ascii="宋体" w:hAnsi="宋体" w:eastAsia="宋体" w:cs="宋体"/>
          <w:b/>
          <w:bCs w:val="0"/>
          <w:color w:val="auto"/>
          <w:kern w:val="0"/>
          <w:sz w:val="21"/>
          <w:szCs w:val="21"/>
          <w:lang w:val="en-US" w:eastAsia="zh-CN"/>
        </w:rPr>
      </w:pPr>
      <w:bookmarkStart w:id="207" w:name="_GoBack"/>
      <w:bookmarkEnd w:id="207"/>
    </w:p>
    <w:p w14:paraId="3BBC7840">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报价日期：   年   月   日</w:t>
      </w:r>
    </w:p>
    <w:p w14:paraId="4148563E">
      <w:pPr>
        <w:rPr>
          <w:rFonts w:hint="eastAsia"/>
          <w:lang w:val="en-US" w:eastAsia="zh-CN"/>
        </w:rPr>
      </w:pPr>
    </w:p>
    <w:p w14:paraId="6190A2BA">
      <w:pPr>
        <w:rPr>
          <w:rFonts w:hint="eastAsia"/>
          <w:lang w:val="en-US" w:eastAsia="zh-CN"/>
        </w:rPr>
      </w:pPr>
    </w:p>
    <w:p w14:paraId="25D61187">
      <w:pPr>
        <w:pStyle w:val="3"/>
        <w:spacing w:after="0"/>
        <w:jc w:val="both"/>
        <w:rPr>
          <w:rFonts w:hint="eastAsia" w:ascii="Times New Roman" w:hAnsi="Times New Roman"/>
          <w:color w:val="auto"/>
          <w:kern w:val="0"/>
          <w:lang w:val="en-US" w:eastAsia="zh-CN"/>
        </w:rPr>
      </w:pPr>
    </w:p>
    <w:p w14:paraId="0E4FCD5A">
      <w:pPr>
        <w:rPr>
          <w:rFonts w:hint="eastAsia"/>
          <w:lang w:val="en-US" w:eastAsia="zh-CN"/>
        </w:rPr>
      </w:pPr>
    </w:p>
    <w:p w14:paraId="579464CB">
      <w:pPr>
        <w:rPr>
          <w:rFonts w:hint="eastAsia" w:ascii="Times New Roman" w:hAnsi="Times New Roman"/>
          <w:color w:val="auto"/>
          <w:kern w:val="0"/>
          <w:lang w:val="en-US" w:eastAsia="zh-CN"/>
        </w:rPr>
      </w:pPr>
    </w:p>
    <w:p w14:paraId="69009D66">
      <w:pPr>
        <w:pStyle w:val="3"/>
        <w:spacing w:after="0"/>
        <w:jc w:val="both"/>
        <w:rPr>
          <w:rFonts w:hint="eastAsia" w:ascii="Times New Roman" w:hAnsi="Times New Roman"/>
          <w:color w:val="auto"/>
          <w:kern w:val="0"/>
          <w:lang w:val="en-US" w:eastAsia="zh-CN"/>
        </w:rPr>
      </w:pPr>
    </w:p>
    <w:p w14:paraId="3B25E9AE">
      <w:pPr>
        <w:rPr>
          <w:rFonts w:hint="eastAsia" w:ascii="Times New Roman" w:hAnsi="Times New Roman"/>
          <w:color w:val="auto"/>
          <w:kern w:val="0"/>
          <w:lang w:val="en-US" w:eastAsia="zh-CN"/>
        </w:rPr>
      </w:pPr>
    </w:p>
    <w:p w14:paraId="3C6A1475">
      <w:pPr>
        <w:rPr>
          <w:rFonts w:hint="eastAsia" w:ascii="Times New Roman" w:hAnsi="Times New Roman"/>
          <w:color w:val="auto"/>
          <w:kern w:val="0"/>
          <w:lang w:val="en-US" w:eastAsia="zh-CN"/>
        </w:rPr>
      </w:pPr>
    </w:p>
    <w:p w14:paraId="0D7F66A2">
      <w:pPr>
        <w:rPr>
          <w:rFonts w:hint="eastAsia" w:ascii="Times New Roman" w:hAnsi="Times New Roman"/>
          <w:color w:val="auto"/>
          <w:kern w:val="0"/>
          <w:lang w:val="en-US" w:eastAsia="zh-CN"/>
        </w:rPr>
      </w:pPr>
    </w:p>
    <w:p w14:paraId="1BA1235C">
      <w:pPr>
        <w:rPr>
          <w:rFonts w:hint="eastAsia" w:ascii="Times New Roman" w:hAnsi="Times New Roman"/>
          <w:color w:val="auto"/>
          <w:kern w:val="0"/>
          <w:lang w:val="en-US" w:eastAsia="zh-CN"/>
        </w:rPr>
      </w:pPr>
    </w:p>
    <w:p w14:paraId="508E3FB5">
      <w:pPr>
        <w:pStyle w:val="3"/>
        <w:spacing w:after="0"/>
        <w:jc w:val="both"/>
        <w:rPr>
          <w:rFonts w:hint="eastAsia" w:ascii="Times New Roman" w:hAnsi="Times New Roman"/>
          <w:color w:val="auto"/>
          <w:kern w:val="0"/>
          <w:lang w:val="en-US" w:eastAsia="zh-CN"/>
        </w:rPr>
      </w:pPr>
    </w:p>
    <w:p w14:paraId="0FE86A39">
      <w:pPr>
        <w:rPr>
          <w:rFonts w:hint="eastAsia" w:ascii="Times New Roman" w:hAnsi="Times New Roman"/>
          <w:color w:val="auto"/>
          <w:kern w:val="0"/>
          <w:lang w:val="en-US" w:eastAsia="zh-CN"/>
        </w:rPr>
      </w:pPr>
    </w:p>
    <w:p w14:paraId="08F36EE6">
      <w:pPr>
        <w:rPr>
          <w:rFonts w:hint="eastAsia" w:ascii="Times New Roman" w:hAnsi="Times New Roman"/>
          <w:color w:val="auto"/>
          <w:kern w:val="0"/>
          <w:lang w:val="en-US" w:eastAsia="zh-CN"/>
        </w:rPr>
      </w:pPr>
    </w:p>
    <w:p w14:paraId="35AEFDA1">
      <w:pPr>
        <w:rPr>
          <w:rFonts w:hint="eastAsia" w:ascii="Times New Roman" w:hAnsi="Times New Roman"/>
          <w:color w:val="auto"/>
          <w:kern w:val="0"/>
          <w:lang w:val="en-US" w:eastAsia="zh-CN"/>
        </w:rPr>
      </w:pPr>
    </w:p>
    <w:p w14:paraId="742CE539">
      <w:pPr>
        <w:pStyle w:val="3"/>
        <w:spacing w:after="0"/>
        <w:jc w:val="both"/>
        <w:rPr>
          <w:rFonts w:ascii="Times New Roman" w:hAnsi="Times New Roman"/>
          <w:color w:val="auto"/>
        </w:rPr>
      </w:pPr>
      <w:r>
        <w:rPr>
          <w:rFonts w:hint="eastAsia" w:ascii="Times New Roman" w:hAnsi="Times New Roman"/>
          <w:color w:val="auto"/>
          <w:kern w:val="0"/>
          <w:lang w:val="en-US" w:eastAsia="zh-CN"/>
        </w:rPr>
        <w:t>六</w:t>
      </w:r>
      <w:r>
        <w:rPr>
          <w:rFonts w:hint="eastAsia" w:ascii="Times New Roman" w:hAnsi="Times New Roman"/>
          <w:color w:val="auto"/>
        </w:rPr>
        <w:t>、资格审查资料</w:t>
      </w:r>
    </w:p>
    <w:p w14:paraId="15674108">
      <w:pPr>
        <w:pStyle w:val="4"/>
        <w:spacing w:before="20" w:after="0"/>
        <w:ind w:firstLine="103"/>
        <w:rPr>
          <w:rFonts w:ascii="Times New Roman"/>
          <w:color w:val="auto"/>
          <w:sz w:val="32"/>
          <w:szCs w:val="32"/>
        </w:rPr>
      </w:pPr>
      <w:bookmarkStart w:id="203" w:name="_Toc504488776"/>
      <w:bookmarkStart w:id="204" w:name="_Toc13906"/>
      <w:r>
        <w:rPr>
          <w:rFonts w:hint="eastAsia" w:ascii="Times New Roman"/>
          <w:color w:val="auto"/>
          <w:sz w:val="32"/>
          <w:szCs w:val="32"/>
        </w:rPr>
        <w:t>（一）基本情况表</w:t>
      </w:r>
      <w:bookmarkEnd w:id="203"/>
      <w:bookmarkEnd w:id="204"/>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5DB2B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36877B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1ADC75B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F8DC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7901D10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29D7BE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251E96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00E4767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754A0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1A73E6D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01F774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AAD7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5D9BEF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48746E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130A56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7DD8309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65E3D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3A0E4F9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298E4C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AC3942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8BE376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5586715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E147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7ED403F0">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51D9B57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495965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32534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45C1D2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FE77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3C8C76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47337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DCAF32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0A224E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DB79AA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B6C4CB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8E3E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212FF04D">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50A7C5BA">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5614E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B3BA76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498AFE79">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5870C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655372C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3B78C10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07F3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1123F1A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3AB40487">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6C111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1304D6D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7B2C0AA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5563D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2E25B5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032C21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14CAF7FF">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4A1742B7">
      <w:pPr>
        <w:spacing w:line="360" w:lineRule="auto"/>
        <w:ind w:firstLine="420"/>
        <w:rPr>
          <w:rFonts w:hint="eastAsia" w:ascii="Times New Roman" w:hAnsi="Times New Roman"/>
          <w:color w:val="auto"/>
          <w:kern w:val="0"/>
          <w:lang w:val="en-US" w:eastAsia="zh-CN"/>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6148FB39">
      <w:pPr>
        <w:pStyle w:val="3"/>
        <w:spacing w:after="0"/>
        <w:jc w:val="both"/>
        <w:rPr>
          <w:rFonts w:hint="eastAsia" w:ascii="Times New Roman" w:hAnsi="Times New Roman"/>
          <w:color w:val="auto"/>
          <w:kern w:val="0"/>
          <w:lang w:val="en-US" w:eastAsia="zh-CN"/>
        </w:rPr>
      </w:pPr>
    </w:p>
    <w:bookmarkEnd w:id="201"/>
    <w:bookmarkEnd w:id="202"/>
    <w:p w14:paraId="1628219A">
      <w:pPr>
        <w:ind w:firstLine="2891" w:firstLineChars="800"/>
        <w:rPr>
          <w:rFonts w:hint="eastAsia" w:ascii="黑体" w:hAnsi="黑体" w:eastAsia="黑体" w:cs="黑体"/>
          <w:b/>
          <w:color w:val="auto"/>
          <w:sz w:val="36"/>
          <w:szCs w:val="36"/>
        </w:rPr>
      </w:pPr>
    </w:p>
    <w:p w14:paraId="32EB952D">
      <w:pPr>
        <w:ind w:firstLine="2891" w:firstLineChars="800"/>
        <w:rPr>
          <w:rFonts w:hint="eastAsia" w:ascii="黑体" w:hAnsi="黑体" w:eastAsia="黑体" w:cs="黑体"/>
          <w:b/>
          <w:color w:val="auto"/>
          <w:sz w:val="36"/>
          <w:szCs w:val="36"/>
        </w:rPr>
      </w:pPr>
    </w:p>
    <w:p w14:paraId="303040FF">
      <w:pPr>
        <w:ind w:firstLine="2891" w:firstLineChars="800"/>
        <w:rPr>
          <w:rFonts w:hint="eastAsia" w:ascii="黑体" w:hAnsi="黑体" w:eastAsia="黑体" w:cs="黑体"/>
          <w:b/>
          <w:color w:val="auto"/>
          <w:sz w:val="36"/>
          <w:szCs w:val="36"/>
        </w:rPr>
      </w:pPr>
    </w:p>
    <w:p w14:paraId="24F79024">
      <w:pPr>
        <w:ind w:firstLine="2891" w:firstLineChars="800"/>
        <w:rPr>
          <w:rFonts w:hint="eastAsia" w:ascii="黑体" w:hAnsi="黑体" w:eastAsia="黑体" w:cs="黑体"/>
          <w:b/>
          <w:color w:val="auto"/>
          <w:sz w:val="36"/>
          <w:szCs w:val="36"/>
        </w:rPr>
      </w:pPr>
    </w:p>
    <w:p w14:paraId="0EF29761">
      <w:pPr>
        <w:ind w:firstLine="2891" w:firstLineChars="800"/>
        <w:rPr>
          <w:rFonts w:hint="eastAsia" w:ascii="黑体" w:hAnsi="黑体" w:eastAsia="黑体" w:cs="黑体"/>
          <w:b/>
          <w:color w:val="auto"/>
          <w:sz w:val="36"/>
          <w:szCs w:val="36"/>
        </w:rPr>
      </w:pPr>
    </w:p>
    <w:p w14:paraId="01F74292">
      <w:pPr>
        <w:ind w:firstLine="2891" w:firstLineChars="800"/>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205" w:name="_Toc504488778"/>
      <w:bookmarkStart w:id="206" w:name="_Toc19475"/>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205"/>
      <w:bookmarkEnd w:id="206"/>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1A668D5C">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3AB01F-D6C4-4D29-A903-EAA8E1A83C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50CECB69-4CB3-49C3-95A9-914096739A06}"/>
  </w:font>
  <w:font w:name="华文仿宋">
    <w:panose1 w:val="02010600040101010101"/>
    <w:charset w:val="86"/>
    <w:family w:val="auto"/>
    <w:pitch w:val="default"/>
    <w:sig w:usb0="00000287" w:usb1="080F0000" w:usb2="00000000" w:usb3="00000000" w:csb0="0004009F" w:csb1="DFD70000"/>
    <w:embedRegular r:id="rId3" w:fontKey="{796817D4-E775-4CE8-9FA2-748333CDAFDF}"/>
  </w:font>
  <w:font w:name="新宋体">
    <w:panose1 w:val="02010609030101010101"/>
    <w:charset w:val="86"/>
    <w:family w:val="auto"/>
    <w:pitch w:val="default"/>
    <w:sig w:usb0="00000203" w:usb1="288F0000" w:usb2="00000006" w:usb3="00000000" w:csb0="00040001" w:csb1="00000000"/>
    <w:embedRegular r:id="rId4" w:fontKey="{3239CEC4-7151-4CFF-A852-521F05F30E29}"/>
  </w:font>
  <w:font w:name="微软雅黑">
    <w:panose1 w:val="020B0503020204020204"/>
    <w:charset w:val="86"/>
    <w:family w:val="auto"/>
    <w:pitch w:val="default"/>
    <w:sig w:usb0="80000287" w:usb1="2ACF3C50" w:usb2="00000016" w:usb3="00000000" w:csb0="0004001F" w:csb1="00000000"/>
    <w:embedRegular r:id="rId5" w:fontKey="{CFA1F98F-42EB-4B0A-9BB2-76C33F42EAED}"/>
  </w:font>
  <w:font w:name="CESI黑体-GB13000">
    <w:altName w:val="黑体"/>
    <w:panose1 w:val="02000500000000000000"/>
    <w:charset w:val="86"/>
    <w:family w:val="auto"/>
    <w:pitch w:val="default"/>
    <w:sig w:usb0="00000000" w:usb1="00000000" w:usb2="00000016" w:usb3="00000000" w:csb0="0004000F" w:csb1="00000000"/>
    <w:embedRegular r:id="rId6" w:fontKey="{D5C54FDF-B1EA-47F6-B5EE-BC0BD7DA0FAF}"/>
  </w:font>
  <w:font w:name="KSOF344FAE8B">
    <w:panose1 w:val="020005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D3687B"/>
    <w:multiLevelType w:val="singleLevel"/>
    <w:tmpl w:val="7CD3687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812177"/>
    <w:rsid w:val="00CB6297"/>
    <w:rsid w:val="01251650"/>
    <w:rsid w:val="01392AFC"/>
    <w:rsid w:val="019F55BF"/>
    <w:rsid w:val="01A67659"/>
    <w:rsid w:val="01E20E54"/>
    <w:rsid w:val="023E2922"/>
    <w:rsid w:val="026A1189"/>
    <w:rsid w:val="029F2C5A"/>
    <w:rsid w:val="02D2752A"/>
    <w:rsid w:val="03766107"/>
    <w:rsid w:val="03DA2F42"/>
    <w:rsid w:val="051379D8"/>
    <w:rsid w:val="05BE40FB"/>
    <w:rsid w:val="05C43745"/>
    <w:rsid w:val="06007F0A"/>
    <w:rsid w:val="06141C07"/>
    <w:rsid w:val="06B03754"/>
    <w:rsid w:val="06D94B8B"/>
    <w:rsid w:val="0715360F"/>
    <w:rsid w:val="073562D9"/>
    <w:rsid w:val="07634152"/>
    <w:rsid w:val="076A5F83"/>
    <w:rsid w:val="07720B9B"/>
    <w:rsid w:val="079175FE"/>
    <w:rsid w:val="07ED44BE"/>
    <w:rsid w:val="083206B8"/>
    <w:rsid w:val="08A92ADB"/>
    <w:rsid w:val="08D00E36"/>
    <w:rsid w:val="08D15B8E"/>
    <w:rsid w:val="08F85810"/>
    <w:rsid w:val="08FA1588"/>
    <w:rsid w:val="09BC2218"/>
    <w:rsid w:val="0AA3355A"/>
    <w:rsid w:val="0B3568A8"/>
    <w:rsid w:val="0CAF4DC4"/>
    <w:rsid w:val="0EC20452"/>
    <w:rsid w:val="102F1EF5"/>
    <w:rsid w:val="10A90B69"/>
    <w:rsid w:val="10AB21FA"/>
    <w:rsid w:val="114161E7"/>
    <w:rsid w:val="11764A48"/>
    <w:rsid w:val="11CE35B2"/>
    <w:rsid w:val="130628D8"/>
    <w:rsid w:val="13B81E24"/>
    <w:rsid w:val="13C609E5"/>
    <w:rsid w:val="13EB5705"/>
    <w:rsid w:val="14221993"/>
    <w:rsid w:val="14D0319D"/>
    <w:rsid w:val="14F74BCE"/>
    <w:rsid w:val="14F90946"/>
    <w:rsid w:val="14FD19B0"/>
    <w:rsid w:val="150A4901"/>
    <w:rsid w:val="15350822"/>
    <w:rsid w:val="154716B1"/>
    <w:rsid w:val="15F829AC"/>
    <w:rsid w:val="16443E43"/>
    <w:rsid w:val="16DE4297"/>
    <w:rsid w:val="16E41182"/>
    <w:rsid w:val="174079F0"/>
    <w:rsid w:val="17725CE9"/>
    <w:rsid w:val="18876269"/>
    <w:rsid w:val="188B3FAB"/>
    <w:rsid w:val="18E0295D"/>
    <w:rsid w:val="194303E2"/>
    <w:rsid w:val="19B65298"/>
    <w:rsid w:val="19BF0744"/>
    <w:rsid w:val="19BF485E"/>
    <w:rsid w:val="19EF056A"/>
    <w:rsid w:val="1AA80497"/>
    <w:rsid w:val="1AEC4493"/>
    <w:rsid w:val="1B177D78"/>
    <w:rsid w:val="1B9E3FF5"/>
    <w:rsid w:val="1C321457"/>
    <w:rsid w:val="1C856F63"/>
    <w:rsid w:val="1D1B7BF3"/>
    <w:rsid w:val="1D905BC0"/>
    <w:rsid w:val="1DA8115B"/>
    <w:rsid w:val="1DB01DBE"/>
    <w:rsid w:val="1DB27CC5"/>
    <w:rsid w:val="1DD30B53"/>
    <w:rsid w:val="1E011134"/>
    <w:rsid w:val="1E1E31CB"/>
    <w:rsid w:val="1E34479D"/>
    <w:rsid w:val="1ED542DB"/>
    <w:rsid w:val="1FBE0451"/>
    <w:rsid w:val="1FC555DF"/>
    <w:rsid w:val="204D790A"/>
    <w:rsid w:val="207E073E"/>
    <w:rsid w:val="20802E7B"/>
    <w:rsid w:val="20F3093F"/>
    <w:rsid w:val="21834158"/>
    <w:rsid w:val="21D42471"/>
    <w:rsid w:val="21E4590F"/>
    <w:rsid w:val="220426D8"/>
    <w:rsid w:val="22F5715A"/>
    <w:rsid w:val="241430A6"/>
    <w:rsid w:val="2452597D"/>
    <w:rsid w:val="24551DD6"/>
    <w:rsid w:val="246742B5"/>
    <w:rsid w:val="25070E5D"/>
    <w:rsid w:val="257B5469"/>
    <w:rsid w:val="25F91530"/>
    <w:rsid w:val="26EC030B"/>
    <w:rsid w:val="27455C6D"/>
    <w:rsid w:val="279EFD0F"/>
    <w:rsid w:val="27CC3C98"/>
    <w:rsid w:val="28033B5E"/>
    <w:rsid w:val="28164F13"/>
    <w:rsid w:val="28213FE4"/>
    <w:rsid w:val="2927562A"/>
    <w:rsid w:val="295C2DFA"/>
    <w:rsid w:val="295F4A04"/>
    <w:rsid w:val="297D349C"/>
    <w:rsid w:val="297D7484"/>
    <w:rsid w:val="29D357B2"/>
    <w:rsid w:val="2A2E0C3A"/>
    <w:rsid w:val="2A4B3DED"/>
    <w:rsid w:val="2A4B5348"/>
    <w:rsid w:val="2AED63FF"/>
    <w:rsid w:val="2B9B22FF"/>
    <w:rsid w:val="2BF61145"/>
    <w:rsid w:val="2CA35285"/>
    <w:rsid w:val="2D331C6F"/>
    <w:rsid w:val="2D463E79"/>
    <w:rsid w:val="2DA95B36"/>
    <w:rsid w:val="2DC36C18"/>
    <w:rsid w:val="2DE05E9B"/>
    <w:rsid w:val="2E033918"/>
    <w:rsid w:val="2EA4771D"/>
    <w:rsid w:val="2EB21E3A"/>
    <w:rsid w:val="2F520F27"/>
    <w:rsid w:val="2FD8767E"/>
    <w:rsid w:val="2FF93E7A"/>
    <w:rsid w:val="31163769"/>
    <w:rsid w:val="31832E12"/>
    <w:rsid w:val="32A1627D"/>
    <w:rsid w:val="32C4038E"/>
    <w:rsid w:val="33260700"/>
    <w:rsid w:val="333C7F24"/>
    <w:rsid w:val="333D3C9C"/>
    <w:rsid w:val="339B5162"/>
    <w:rsid w:val="33A76F60"/>
    <w:rsid w:val="33BDF26E"/>
    <w:rsid w:val="348524E3"/>
    <w:rsid w:val="34DF16EF"/>
    <w:rsid w:val="354E1250"/>
    <w:rsid w:val="3577501F"/>
    <w:rsid w:val="358E6037"/>
    <w:rsid w:val="363870C8"/>
    <w:rsid w:val="36525CB0"/>
    <w:rsid w:val="3656754F"/>
    <w:rsid w:val="36716136"/>
    <w:rsid w:val="37991DE9"/>
    <w:rsid w:val="37B0704E"/>
    <w:rsid w:val="37E96877"/>
    <w:rsid w:val="38172D0E"/>
    <w:rsid w:val="38C369F1"/>
    <w:rsid w:val="38F372D7"/>
    <w:rsid w:val="395064D7"/>
    <w:rsid w:val="39974106"/>
    <w:rsid w:val="39CB382F"/>
    <w:rsid w:val="3A1A18C4"/>
    <w:rsid w:val="3A1D70AA"/>
    <w:rsid w:val="3A3A65D2"/>
    <w:rsid w:val="3A561988"/>
    <w:rsid w:val="3B6B690D"/>
    <w:rsid w:val="3B860E72"/>
    <w:rsid w:val="3B952CE7"/>
    <w:rsid w:val="3BFF184D"/>
    <w:rsid w:val="3CB63F34"/>
    <w:rsid w:val="3CDF5789"/>
    <w:rsid w:val="3CEB6517"/>
    <w:rsid w:val="3CFB6595"/>
    <w:rsid w:val="3CFD6BB7"/>
    <w:rsid w:val="3D34475C"/>
    <w:rsid w:val="3D866B18"/>
    <w:rsid w:val="3DBE3AF9"/>
    <w:rsid w:val="3DCD1354"/>
    <w:rsid w:val="3E3C01FF"/>
    <w:rsid w:val="3E5C76CC"/>
    <w:rsid w:val="3ED37093"/>
    <w:rsid w:val="3FA4757D"/>
    <w:rsid w:val="3FDB6D16"/>
    <w:rsid w:val="3FE9293F"/>
    <w:rsid w:val="3FEF1351"/>
    <w:rsid w:val="405A4224"/>
    <w:rsid w:val="407A652F"/>
    <w:rsid w:val="415648A7"/>
    <w:rsid w:val="415C23B6"/>
    <w:rsid w:val="4194717D"/>
    <w:rsid w:val="427A5715"/>
    <w:rsid w:val="433C5D1E"/>
    <w:rsid w:val="43D9531B"/>
    <w:rsid w:val="44093E52"/>
    <w:rsid w:val="44107006"/>
    <w:rsid w:val="4422068F"/>
    <w:rsid w:val="44920CB0"/>
    <w:rsid w:val="44DF70AD"/>
    <w:rsid w:val="454C4C9E"/>
    <w:rsid w:val="45726E52"/>
    <w:rsid w:val="45A00D58"/>
    <w:rsid w:val="45BB117C"/>
    <w:rsid w:val="460F14C8"/>
    <w:rsid w:val="46637C62"/>
    <w:rsid w:val="46933C70"/>
    <w:rsid w:val="46D5626E"/>
    <w:rsid w:val="478B4B7E"/>
    <w:rsid w:val="48F618EF"/>
    <w:rsid w:val="494E5765"/>
    <w:rsid w:val="49A81A17"/>
    <w:rsid w:val="4A3E412A"/>
    <w:rsid w:val="4A8E6E5F"/>
    <w:rsid w:val="4B450348"/>
    <w:rsid w:val="4B896DF6"/>
    <w:rsid w:val="4C561BFF"/>
    <w:rsid w:val="4CB27A82"/>
    <w:rsid w:val="4CBE77A4"/>
    <w:rsid w:val="4CC0735A"/>
    <w:rsid w:val="4D096C71"/>
    <w:rsid w:val="4D1A47B1"/>
    <w:rsid w:val="4D66647C"/>
    <w:rsid w:val="4DC92292"/>
    <w:rsid w:val="4E6B74B7"/>
    <w:rsid w:val="4F18763F"/>
    <w:rsid w:val="4F2D1733"/>
    <w:rsid w:val="4FA2515B"/>
    <w:rsid w:val="500261D8"/>
    <w:rsid w:val="50610B72"/>
    <w:rsid w:val="509B2FD7"/>
    <w:rsid w:val="515A3F3F"/>
    <w:rsid w:val="51D376E3"/>
    <w:rsid w:val="523676EA"/>
    <w:rsid w:val="524F1A19"/>
    <w:rsid w:val="53220A8C"/>
    <w:rsid w:val="53275046"/>
    <w:rsid w:val="53D77CE1"/>
    <w:rsid w:val="543D7029"/>
    <w:rsid w:val="549E2395"/>
    <w:rsid w:val="54B90F7D"/>
    <w:rsid w:val="54EB7CA8"/>
    <w:rsid w:val="551F0D2D"/>
    <w:rsid w:val="55342CF9"/>
    <w:rsid w:val="55EF7BB3"/>
    <w:rsid w:val="55F20E2B"/>
    <w:rsid w:val="561F7B1C"/>
    <w:rsid w:val="5621327D"/>
    <w:rsid w:val="566D64C3"/>
    <w:rsid w:val="56737851"/>
    <w:rsid w:val="5680683F"/>
    <w:rsid w:val="56951575"/>
    <w:rsid w:val="56F815DC"/>
    <w:rsid w:val="57711FE2"/>
    <w:rsid w:val="57BD0D84"/>
    <w:rsid w:val="58022C3B"/>
    <w:rsid w:val="58F702C5"/>
    <w:rsid w:val="59907EED"/>
    <w:rsid w:val="5A715E56"/>
    <w:rsid w:val="5B97061C"/>
    <w:rsid w:val="5BD41AA4"/>
    <w:rsid w:val="5BFA2589"/>
    <w:rsid w:val="5C02145B"/>
    <w:rsid w:val="5C2B04AE"/>
    <w:rsid w:val="5C594DF3"/>
    <w:rsid w:val="5CF52D6E"/>
    <w:rsid w:val="5D042FB1"/>
    <w:rsid w:val="5D1F7DEB"/>
    <w:rsid w:val="5D2032C3"/>
    <w:rsid w:val="5DA87DE0"/>
    <w:rsid w:val="5DCA09A3"/>
    <w:rsid w:val="5DE132F2"/>
    <w:rsid w:val="5DFE5C52"/>
    <w:rsid w:val="5E370D27"/>
    <w:rsid w:val="5E6301AB"/>
    <w:rsid w:val="5E806DB9"/>
    <w:rsid w:val="5E8D407E"/>
    <w:rsid w:val="5EA92062"/>
    <w:rsid w:val="5EBE2EAC"/>
    <w:rsid w:val="5F1A6ABC"/>
    <w:rsid w:val="5F213A10"/>
    <w:rsid w:val="5F5FB596"/>
    <w:rsid w:val="5F8C5DB5"/>
    <w:rsid w:val="5FDB8E3C"/>
    <w:rsid w:val="5FEBEBAF"/>
    <w:rsid w:val="5FFA069B"/>
    <w:rsid w:val="602C2F4B"/>
    <w:rsid w:val="60675D3C"/>
    <w:rsid w:val="6077565B"/>
    <w:rsid w:val="60C97FB7"/>
    <w:rsid w:val="60D507EB"/>
    <w:rsid w:val="61137C66"/>
    <w:rsid w:val="61483E9A"/>
    <w:rsid w:val="61D92AF5"/>
    <w:rsid w:val="6350271F"/>
    <w:rsid w:val="643248A8"/>
    <w:rsid w:val="647E7AED"/>
    <w:rsid w:val="64B22605"/>
    <w:rsid w:val="65597932"/>
    <w:rsid w:val="657809E0"/>
    <w:rsid w:val="66173D55"/>
    <w:rsid w:val="661E50E3"/>
    <w:rsid w:val="66452F0C"/>
    <w:rsid w:val="6667362D"/>
    <w:rsid w:val="66A7157D"/>
    <w:rsid w:val="66CF3A21"/>
    <w:rsid w:val="66DE2AC5"/>
    <w:rsid w:val="66F67E0E"/>
    <w:rsid w:val="671D4BFD"/>
    <w:rsid w:val="672C3830"/>
    <w:rsid w:val="67670D0C"/>
    <w:rsid w:val="67BF400C"/>
    <w:rsid w:val="68295FC1"/>
    <w:rsid w:val="68365066"/>
    <w:rsid w:val="689A6E14"/>
    <w:rsid w:val="69663C7E"/>
    <w:rsid w:val="69C06F03"/>
    <w:rsid w:val="69E314DA"/>
    <w:rsid w:val="69F446AA"/>
    <w:rsid w:val="6A445335"/>
    <w:rsid w:val="6A6715C4"/>
    <w:rsid w:val="6B36165F"/>
    <w:rsid w:val="6B3929BF"/>
    <w:rsid w:val="6B8A4FC9"/>
    <w:rsid w:val="6BAC3191"/>
    <w:rsid w:val="6BD87931"/>
    <w:rsid w:val="6C2347F8"/>
    <w:rsid w:val="6C553829"/>
    <w:rsid w:val="6C9E1CD6"/>
    <w:rsid w:val="6CCD1611"/>
    <w:rsid w:val="6CE26D5D"/>
    <w:rsid w:val="6D4B142B"/>
    <w:rsid w:val="6D7E290C"/>
    <w:rsid w:val="6DB30807"/>
    <w:rsid w:val="6E1F1379"/>
    <w:rsid w:val="6EAF6227"/>
    <w:rsid w:val="6EEA194B"/>
    <w:rsid w:val="6F4D07E7"/>
    <w:rsid w:val="6F865AA7"/>
    <w:rsid w:val="703561B0"/>
    <w:rsid w:val="70626755"/>
    <w:rsid w:val="707458D8"/>
    <w:rsid w:val="70B054D2"/>
    <w:rsid w:val="719C5A56"/>
    <w:rsid w:val="72071122"/>
    <w:rsid w:val="7258372B"/>
    <w:rsid w:val="727F515C"/>
    <w:rsid w:val="72E3289C"/>
    <w:rsid w:val="72E6D81E"/>
    <w:rsid w:val="72F6B46D"/>
    <w:rsid w:val="735465E8"/>
    <w:rsid w:val="736305DA"/>
    <w:rsid w:val="7386251A"/>
    <w:rsid w:val="73A00CA7"/>
    <w:rsid w:val="73AD5CF9"/>
    <w:rsid w:val="73D6524F"/>
    <w:rsid w:val="74F622B6"/>
    <w:rsid w:val="74F87447"/>
    <w:rsid w:val="7530098F"/>
    <w:rsid w:val="7671125F"/>
    <w:rsid w:val="76987E92"/>
    <w:rsid w:val="76F31C74"/>
    <w:rsid w:val="777803CC"/>
    <w:rsid w:val="77BDEB3C"/>
    <w:rsid w:val="78E068EC"/>
    <w:rsid w:val="7930196F"/>
    <w:rsid w:val="7A293BFF"/>
    <w:rsid w:val="7AE219CA"/>
    <w:rsid w:val="7AFC5C5A"/>
    <w:rsid w:val="7BCAC2B2"/>
    <w:rsid w:val="7BF73FB5"/>
    <w:rsid w:val="7C4B2553"/>
    <w:rsid w:val="7CCD8B1A"/>
    <w:rsid w:val="7D33726F"/>
    <w:rsid w:val="7D8E0949"/>
    <w:rsid w:val="7E3C65F7"/>
    <w:rsid w:val="7F06435D"/>
    <w:rsid w:val="7F0D7F93"/>
    <w:rsid w:val="7F442849"/>
    <w:rsid w:val="7F7F4B3F"/>
    <w:rsid w:val="7FBB179D"/>
    <w:rsid w:val="7FBE4825"/>
    <w:rsid w:val="7FBF665D"/>
    <w:rsid w:val="7FBFED36"/>
    <w:rsid w:val="7FD01E11"/>
    <w:rsid w:val="7FD12D6F"/>
    <w:rsid w:val="9EF414DE"/>
    <w:rsid w:val="A6BCD779"/>
    <w:rsid w:val="B16FB10A"/>
    <w:rsid w:val="B99FA05D"/>
    <w:rsid w:val="BEFF17BE"/>
    <w:rsid w:val="BF15ADF9"/>
    <w:rsid w:val="BFCF7E26"/>
    <w:rsid w:val="C7FBFF89"/>
    <w:rsid w:val="D7FC7776"/>
    <w:rsid w:val="D7FE4134"/>
    <w:rsid w:val="DB3B7016"/>
    <w:rsid w:val="DCEB95BB"/>
    <w:rsid w:val="DDD76FCC"/>
    <w:rsid w:val="DFB49DA4"/>
    <w:rsid w:val="DFFE910B"/>
    <w:rsid w:val="E3D3240D"/>
    <w:rsid w:val="EBC3F2CD"/>
    <w:rsid w:val="ED7BEE42"/>
    <w:rsid w:val="EDB54C7C"/>
    <w:rsid w:val="EDEEDE89"/>
    <w:rsid w:val="EDFFD0E2"/>
    <w:rsid w:val="EF3F83FC"/>
    <w:rsid w:val="EF7F0021"/>
    <w:rsid w:val="EFF70BE7"/>
    <w:rsid w:val="FBA7120E"/>
    <w:rsid w:val="FBF8AECF"/>
    <w:rsid w:val="FCE3CBB6"/>
    <w:rsid w:val="FE718D5C"/>
    <w:rsid w:val="FE7E577F"/>
    <w:rsid w:val="FF73DA40"/>
    <w:rsid w:val="FF7FE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3027</Words>
  <Characters>3171</Characters>
  <Lines>0</Lines>
  <Paragraphs>0</Paragraphs>
  <TotalTime>1</TotalTime>
  <ScaleCrop>false</ScaleCrop>
  <LinksUpToDate>false</LinksUpToDate>
  <CharactersWithSpaces>3194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2025-03-01T23:34:00Z</dcterms:created>
  <dc:creator>雷建军</dc:creator>
  <cp:lastModifiedBy>把风吹落</cp:lastModifiedBy>
  <cp:lastPrinted>2026-05-26T23:56:00Z</cp:lastPrinted>
  <dcterms:modified xsi:type="dcterms:W3CDTF">2026-07-06T08:10:10Z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7B45DB9A7B6440F18A01E498AC8328F5_13</vt:lpwstr>
  </property>
  <property fmtid="{D5CDD505-2E9C-101B-9397-08002B2CF9AE}" pid="4" name="KSOTemplateDocerSaveRecord">
    <vt:lpwstr>eyJoZGlkIjoiYjVjZDVhYWVmMTBiNTBjNzdjNjhhM2FmZTAyYmQ1ZTgiLCJ1c2VySWQiOiI1MTc5NjM0MDUifQ==</vt:lpwstr>
  </property>
</Properties>
</file>